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507A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bookmarkStart w:id="0" w:name="_GoBack"/>
      <w:bookmarkEnd w:id="0"/>
    </w:p>
    <w:p w14:paraId="1E42DE21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2F5B383F" w14:textId="3DC8533D" w:rsidR="000952AD" w:rsidRPr="002452FA" w:rsidRDefault="000952AD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>
        <w:rPr>
          <w:rFonts w:ascii="ITC Avant Garde" w:hAnsi="ITC Avant Garde"/>
          <w:sz w:val="22"/>
          <w:szCs w:val="22"/>
        </w:rPr>
        <w:t xml:space="preserve">a </w:t>
      </w:r>
      <w:r w:rsidR="0095454C">
        <w:rPr>
          <w:rFonts w:ascii="ITC Avant Garde" w:hAnsi="ITC Avant Garde"/>
          <w:sz w:val="22"/>
          <w:szCs w:val="22"/>
        </w:rPr>
        <w:t>7</w:t>
      </w:r>
      <w:r w:rsidR="00D12495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de</w:t>
      </w:r>
      <w:r w:rsidR="0095454C">
        <w:rPr>
          <w:rFonts w:ascii="ITC Avant Garde" w:hAnsi="ITC Avant Garde"/>
          <w:sz w:val="22"/>
          <w:szCs w:val="22"/>
        </w:rPr>
        <w:t xml:space="preserve"> marzo</w:t>
      </w:r>
      <w:r w:rsidRPr="002452FA">
        <w:rPr>
          <w:rFonts w:ascii="ITC Avant Garde" w:hAnsi="ITC Avant Garde"/>
          <w:sz w:val="22"/>
          <w:szCs w:val="22"/>
        </w:rPr>
        <w:t xml:space="preserve"> de 202</w:t>
      </w:r>
      <w:r w:rsidR="005F695A">
        <w:rPr>
          <w:rFonts w:ascii="ITC Avant Garde" w:hAnsi="ITC Avant Garde"/>
          <w:sz w:val="22"/>
          <w:szCs w:val="22"/>
        </w:rPr>
        <w:t>2</w:t>
      </w:r>
    </w:p>
    <w:p w14:paraId="59899204" w14:textId="35B53238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CC. Consejeros del Consejo Consultivo</w:t>
      </w:r>
      <w:r w:rsidR="000B3E42">
        <w:rPr>
          <w:rFonts w:ascii="ITC Avant Garde" w:hAnsi="ITC Avant Garde"/>
          <w:b/>
          <w:sz w:val="22"/>
          <w:szCs w:val="22"/>
        </w:rPr>
        <w:t xml:space="preserve"> </w:t>
      </w:r>
      <w:r w:rsidRPr="004B395A">
        <w:rPr>
          <w:rFonts w:ascii="ITC Avant Garde" w:hAnsi="ITC Avant Garde"/>
          <w:b/>
          <w:sz w:val="22"/>
          <w:szCs w:val="22"/>
        </w:rPr>
        <w:t xml:space="preserve"> </w:t>
      </w:r>
    </w:p>
    <w:p w14:paraId="0DB38816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3B78654C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3801D0D8" w14:textId="79FF3639" w:rsidR="0008520C" w:rsidRDefault="000952AD" w:rsidP="00DD37B6">
      <w:pPr>
        <w:tabs>
          <w:tab w:val="left" w:pos="142"/>
        </w:tabs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AE3867">
        <w:rPr>
          <w:rFonts w:ascii="ITC Avant Garde" w:hAnsi="ITC Avant Garde"/>
          <w:b/>
          <w:sz w:val="22"/>
          <w:szCs w:val="22"/>
        </w:rPr>
        <w:t>I</w:t>
      </w:r>
      <w:r w:rsidR="00F8465D">
        <w:rPr>
          <w:rFonts w:ascii="ITC Avant Garde" w:hAnsi="ITC Avant Garde"/>
          <w:b/>
          <w:sz w:val="22"/>
          <w:szCs w:val="22"/>
        </w:rPr>
        <w:t>I</w:t>
      </w:r>
      <w:r w:rsidR="00F54FB5">
        <w:rPr>
          <w:rFonts w:ascii="ITC Avant Garde" w:hAnsi="ITC Avant Garde"/>
          <w:b/>
          <w:sz w:val="22"/>
          <w:szCs w:val="22"/>
        </w:rPr>
        <w:t>I</w:t>
      </w:r>
      <w:r w:rsidR="00AE3867">
        <w:rPr>
          <w:rFonts w:ascii="ITC Avant Garde" w:hAnsi="ITC Avant Garde"/>
          <w:b/>
          <w:sz w:val="22"/>
          <w:szCs w:val="22"/>
        </w:rPr>
        <w:t xml:space="preserve"> </w:t>
      </w:r>
      <w:r w:rsidRPr="00570FB3">
        <w:rPr>
          <w:rFonts w:ascii="ITC Avant Garde" w:hAnsi="ITC Avant Garde"/>
          <w:b/>
          <w:sz w:val="22"/>
          <w:szCs w:val="22"/>
        </w:rPr>
        <w:t xml:space="preserve">Sesión Ordinaria a celebrarse el próximo jueves </w:t>
      </w:r>
      <w:r w:rsidR="00DD37B6">
        <w:rPr>
          <w:rFonts w:ascii="ITC Avant Garde" w:hAnsi="ITC Avant Garde"/>
          <w:b/>
          <w:sz w:val="22"/>
          <w:szCs w:val="22"/>
        </w:rPr>
        <w:t>1</w:t>
      </w:r>
      <w:r w:rsidR="00603E89">
        <w:rPr>
          <w:rFonts w:ascii="ITC Avant Garde" w:hAnsi="ITC Avant Garde"/>
          <w:b/>
          <w:sz w:val="22"/>
          <w:szCs w:val="22"/>
        </w:rPr>
        <w:t>0</w:t>
      </w:r>
      <w:r w:rsidRPr="00570FB3">
        <w:rPr>
          <w:rFonts w:ascii="ITC Avant Garde" w:hAnsi="ITC Avant Garde"/>
          <w:b/>
          <w:sz w:val="22"/>
          <w:szCs w:val="22"/>
        </w:rPr>
        <w:t xml:space="preserve"> de </w:t>
      </w:r>
      <w:r w:rsidR="005D15B8">
        <w:rPr>
          <w:rFonts w:ascii="ITC Avant Garde" w:hAnsi="ITC Avant Garde"/>
          <w:b/>
          <w:sz w:val="22"/>
          <w:szCs w:val="22"/>
        </w:rPr>
        <w:t>marzo</w:t>
      </w:r>
      <w:r w:rsidR="007378C8">
        <w:rPr>
          <w:rFonts w:ascii="ITC Avant Garde" w:hAnsi="ITC Avant Garde"/>
          <w:b/>
          <w:sz w:val="22"/>
          <w:szCs w:val="22"/>
        </w:rPr>
        <w:t xml:space="preserve"> de 202</w:t>
      </w:r>
      <w:r w:rsidR="00DD37B6">
        <w:rPr>
          <w:rFonts w:ascii="ITC Avant Garde" w:hAnsi="ITC Avant Garde"/>
          <w:b/>
          <w:sz w:val="22"/>
          <w:szCs w:val="22"/>
        </w:rPr>
        <w:t>2</w:t>
      </w:r>
      <w:r w:rsidRPr="00570FB3">
        <w:rPr>
          <w:rFonts w:ascii="ITC Avant Garde" w:hAnsi="ITC Avant Garde"/>
          <w:b/>
          <w:sz w:val="22"/>
          <w:szCs w:val="22"/>
        </w:rPr>
        <w:t>, a las 1</w:t>
      </w:r>
      <w:r w:rsidR="007378C8">
        <w:rPr>
          <w:rFonts w:ascii="ITC Avant Garde" w:hAnsi="ITC Avant Garde"/>
          <w:b/>
          <w:sz w:val="22"/>
          <w:szCs w:val="22"/>
        </w:rPr>
        <w:t>5</w:t>
      </w:r>
      <w:r w:rsidRPr="00570FB3">
        <w:rPr>
          <w:rFonts w:ascii="ITC Avant Garde" w:hAnsi="ITC Avant Garde"/>
          <w:b/>
          <w:sz w:val="22"/>
          <w:szCs w:val="22"/>
        </w:rPr>
        <w:t>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</w:t>
      </w:r>
      <w:r w:rsidR="005D15B8">
        <w:rPr>
          <w:rFonts w:ascii="ITC Avant Garde" w:hAnsi="ITC Avant Garde"/>
          <w:sz w:val="22"/>
          <w:szCs w:val="22"/>
        </w:rPr>
        <w:t xml:space="preserve"> y de forma presencial, para quién así lo desee, en el </w:t>
      </w:r>
      <w:r w:rsidR="005D15B8">
        <w:rPr>
          <w:rFonts w:ascii="ITC Avant Garde" w:hAnsi="ITC Avant Garde"/>
          <w:color w:val="000000"/>
          <w:sz w:val="22"/>
          <w:szCs w:val="22"/>
          <w:lang w:val="es-ES_tradnl"/>
        </w:rPr>
        <w:t>Auditorio del Instituto</w:t>
      </w:r>
      <w:r w:rsidR="005D15B8">
        <w:rPr>
          <w:rFonts w:ascii="ITC Avant Garde" w:hAnsi="ITC Avant Garde"/>
          <w:sz w:val="22"/>
          <w:szCs w:val="22"/>
        </w:rPr>
        <w:t xml:space="preserve"> Federal de Telecomunicaciones</w:t>
      </w:r>
      <w:r w:rsidR="005D15B8">
        <w:rPr>
          <w:rFonts w:ascii="ITC Avant Garde" w:hAnsi="ITC Avant Garde"/>
          <w:color w:val="000000"/>
          <w:sz w:val="22"/>
          <w:szCs w:val="22"/>
          <w:lang w:val="es-ES_tradnl"/>
        </w:rPr>
        <w:t>, ubicado en Insurgentes Sur No. 1143, primer piso</w:t>
      </w:r>
      <w:r w:rsidR="005D15B8">
        <w:rPr>
          <w:rFonts w:ascii="ITC Avant Garde" w:hAnsi="ITC Avant Garde"/>
          <w:sz w:val="22"/>
          <w:szCs w:val="22"/>
        </w:rPr>
        <w:t>, Colonia Nochebuena, Código Postal 03720.</w:t>
      </w:r>
    </w:p>
    <w:p w14:paraId="4ED02AA2" w14:textId="77777777" w:rsidR="00DC6D61" w:rsidRDefault="00DC6D61" w:rsidP="00DD37B6">
      <w:pPr>
        <w:tabs>
          <w:tab w:val="left" w:pos="142"/>
        </w:tabs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72854FB0" w14:textId="1F2E3991" w:rsidR="007378C8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 xml:space="preserve">Dicha sesión se llevará a cabo bajo el siguiente Orden del Día, a ser aprobado por los </w:t>
      </w:r>
      <w:proofErr w:type="gramStart"/>
      <w:r w:rsidRPr="004B395A">
        <w:rPr>
          <w:rFonts w:ascii="ITC Avant Garde" w:hAnsi="ITC Avant Garde"/>
          <w:sz w:val="22"/>
          <w:szCs w:val="22"/>
        </w:rPr>
        <w:t>Consejeros</w:t>
      </w:r>
      <w:proofErr w:type="gramEnd"/>
      <w:r w:rsidRPr="004B395A">
        <w:rPr>
          <w:rFonts w:ascii="ITC Avant Garde" w:hAnsi="ITC Avant Garde"/>
          <w:sz w:val="22"/>
          <w:szCs w:val="22"/>
        </w:rPr>
        <w:t>:</w:t>
      </w:r>
      <w:r w:rsidR="00C3589D">
        <w:rPr>
          <w:rFonts w:ascii="ITC Avant Garde" w:hAnsi="ITC Avant Garde"/>
          <w:sz w:val="22"/>
          <w:szCs w:val="22"/>
        </w:rPr>
        <w:t xml:space="preserve"> </w:t>
      </w:r>
    </w:p>
    <w:p w14:paraId="13CCC9CC" w14:textId="77777777" w:rsidR="007378C8" w:rsidRPr="004B395A" w:rsidRDefault="007378C8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FCD2AAE" w14:textId="77777777" w:rsidR="000952AD" w:rsidRDefault="000952AD" w:rsidP="000952AD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59446BC2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0E6C5FF" w14:textId="44777EB0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</w:t>
      </w:r>
    </w:p>
    <w:p w14:paraId="20469D48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500C9E3C" w14:textId="3743F1EB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</w:t>
      </w:r>
    </w:p>
    <w:p w14:paraId="0F1F3DCA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C9227A1" w14:textId="44A48A5B" w:rsidR="000952AD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</w:t>
      </w:r>
    </w:p>
    <w:p w14:paraId="17537BC6" w14:textId="77777777" w:rsidR="002E713E" w:rsidRDefault="002E713E" w:rsidP="002E713E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4D267CCA" w14:textId="2834B765" w:rsidR="00D82E1A" w:rsidRPr="006F5ECF" w:rsidRDefault="002E713E" w:rsidP="006F5ECF">
      <w:pPr>
        <w:spacing w:after="0" w:line="276" w:lineRule="auto"/>
        <w:ind w:left="708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2E713E">
        <w:rPr>
          <w:rFonts w:ascii="ITC Avant Garde" w:hAnsi="ITC Avant Garde"/>
          <w:b/>
          <w:sz w:val="22"/>
          <w:szCs w:val="22"/>
        </w:rPr>
        <w:t>1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Aprobación del Acta de la </w:t>
      </w:r>
      <w:r w:rsidR="00603E89">
        <w:rPr>
          <w:rFonts w:ascii="ITC Avant Garde" w:eastAsiaTheme="minorEastAsia" w:hAnsi="ITC Avant Garde"/>
          <w:sz w:val="22"/>
          <w:szCs w:val="22"/>
        </w:rPr>
        <w:t>I</w:t>
      </w:r>
      <w:r w:rsidR="00E51C2F">
        <w:rPr>
          <w:rFonts w:ascii="ITC Avant Garde" w:eastAsiaTheme="minorEastAsia" w:hAnsi="ITC Avant Garde"/>
          <w:sz w:val="22"/>
          <w:szCs w:val="22"/>
        </w:rPr>
        <w:t>I</w:t>
      </w:r>
      <w:r w:rsidR="00603E89">
        <w:rPr>
          <w:rFonts w:ascii="ITC Avant Garde" w:eastAsiaTheme="minorEastAsia" w:hAnsi="ITC Avant Garde"/>
          <w:sz w:val="22"/>
          <w:szCs w:val="22"/>
        </w:rPr>
        <w:t xml:space="preserve"> </w:t>
      </w:r>
      <w:r w:rsidRPr="00474B48">
        <w:rPr>
          <w:rFonts w:ascii="ITC Avant Garde" w:eastAsiaTheme="minorEastAsia" w:hAnsi="ITC Avant Garde"/>
          <w:sz w:val="22"/>
          <w:szCs w:val="22"/>
        </w:rPr>
        <w:t>Sesión Ordinaria del V</w:t>
      </w:r>
      <w:r>
        <w:rPr>
          <w:rFonts w:ascii="ITC Avant Garde" w:eastAsiaTheme="minorEastAsia" w:hAnsi="ITC Avant Garde"/>
          <w:sz w:val="22"/>
          <w:szCs w:val="22"/>
        </w:rPr>
        <w:t>I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Cons</w:t>
      </w:r>
      <w:r>
        <w:rPr>
          <w:rFonts w:ascii="ITC Avant Garde" w:eastAsiaTheme="minorEastAsia" w:hAnsi="ITC Avant Garde"/>
          <w:sz w:val="22"/>
          <w:szCs w:val="22"/>
        </w:rPr>
        <w:t xml:space="preserve">ejo Consultivo, celebrada el </w:t>
      </w:r>
      <w:r w:rsidR="00E51C2F">
        <w:rPr>
          <w:rFonts w:ascii="ITC Avant Garde" w:eastAsiaTheme="minorEastAsia" w:hAnsi="ITC Avant Garde"/>
          <w:sz w:val="22"/>
          <w:szCs w:val="22"/>
        </w:rPr>
        <w:t>10 d</w:t>
      </w:r>
      <w:r w:rsidR="006F5ECF">
        <w:rPr>
          <w:rFonts w:ascii="ITC Avant Garde" w:eastAsiaTheme="minorEastAsia" w:hAnsi="ITC Avant Garde"/>
          <w:sz w:val="22"/>
          <w:szCs w:val="22"/>
        </w:rPr>
        <w:t xml:space="preserve">e </w:t>
      </w:r>
      <w:r w:rsidR="00E51C2F">
        <w:rPr>
          <w:rFonts w:ascii="ITC Avant Garde" w:eastAsiaTheme="minorEastAsia" w:hAnsi="ITC Avant Garde"/>
          <w:sz w:val="22"/>
          <w:szCs w:val="22"/>
        </w:rPr>
        <w:t xml:space="preserve">febrero </w:t>
      </w:r>
      <w:r w:rsidR="00603E89">
        <w:rPr>
          <w:rFonts w:ascii="ITC Avant Garde" w:eastAsiaTheme="minorEastAsia" w:hAnsi="ITC Avant Garde"/>
          <w:sz w:val="22"/>
          <w:szCs w:val="22"/>
        </w:rPr>
        <w:t>de 2022</w:t>
      </w:r>
    </w:p>
    <w:p w14:paraId="618D1655" w14:textId="77777777" w:rsidR="00D82E1A" w:rsidRDefault="00D82E1A" w:rsidP="002E713E">
      <w:pPr>
        <w:spacing w:after="0" w:line="276" w:lineRule="auto"/>
        <w:ind w:left="1440"/>
        <w:jc w:val="left"/>
        <w:rPr>
          <w:rFonts w:ascii="ITC Avant Garde" w:eastAsiaTheme="minorEastAsia" w:hAnsi="ITC Avant Garde"/>
          <w:sz w:val="22"/>
          <w:szCs w:val="22"/>
        </w:rPr>
      </w:pPr>
    </w:p>
    <w:p w14:paraId="6484A337" w14:textId="12B3B271" w:rsidR="006F5ECF" w:rsidRDefault="002E713E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bCs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 xml:space="preserve">III. </w:t>
      </w:r>
      <w:r w:rsidR="0046237D">
        <w:rPr>
          <w:rFonts w:ascii="ITC Avant Garde" w:hAnsi="ITC Avant Garde"/>
          <w:b/>
          <w:sz w:val="22"/>
          <w:szCs w:val="22"/>
        </w:rPr>
        <w:t>2</w:t>
      </w:r>
      <w:r>
        <w:rPr>
          <w:rFonts w:ascii="ITC Avant Garde" w:eastAsiaTheme="minorEastAsia" w:hAnsi="ITC Avant Garde"/>
          <w:b/>
          <w:bCs/>
          <w:sz w:val="22"/>
          <w:szCs w:val="22"/>
        </w:rPr>
        <w:t xml:space="preserve"> </w:t>
      </w:r>
      <w:r w:rsidR="00997A13">
        <w:rPr>
          <w:rFonts w:ascii="ITC Avant Garde" w:eastAsiaTheme="minorEastAsia" w:hAnsi="ITC Avant Garde"/>
          <w:bCs/>
          <w:sz w:val="22"/>
          <w:szCs w:val="22"/>
        </w:rPr>
        <w:t>Cambio de Comisionado Presidente (por sustitución por vacancia)</w:t>
      </w:r>
    </w:p>
    <w:p w14:paraId="73BE504C" w14:textId="77777777" w:rsidR="006F5ECF" w:rsidRPr="006F5ECF" w:rsidRDefault="006F5ECF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bCs/>
          <w:sz w:val="22"/>
          <w:szCs w:val="22"/>
        </w:rPr>
      </w:pPr>
    </w:p>
    <w:p w14:paraId="11427ACD" w14:textId="4FEFBF18" w:rsidR="00997A13" w:rsidRDefault="006F5ECF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6F5ECF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6F5ECF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997A13">
        <w:rPr>
          <w:rFonts w:ascii="ITC Avant Garde" w:eastAsiaTheme="minorEastAsia" w:hAnsi="ITC Avant Garde"/>
          <w:sz w:val="22"/>
          <w:szCs w:val="22"/>
        </w:rPr>
        <w:t>Avance de los grupos de trabajo (Informativo)</w:t>
      </w:r>
    </w:p>
    <w:p w14:paraId="3FB94F62" w14:textId="77777777" w:rsidR="006B235C" w:rsidRDefault="006B235C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</w:p>
    <w:p w14:paraId="23B252DC" w14:textId="713ED664" w:rsidR="00997A13" w:rsidRDefault="006B235C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6B235C">
        <w:rPr>
          <w:rFonts w:ascii="ITC Avant Garde" w:eastAsiaTheme="minorEastAsia" w:hAnsi="ITC Avant Garde"/>
          <w:b/>
          <w:sz w:val="22"/>
          <w:szCs w:val="22"/>
        </w:rPr>
        <w:t>III. 4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997A13">
        <w:rPr>
          <w:rFonts w:ascii="ITC Avant Garde" w:eastAsiaTheme="minorEastAsia" w:hAnsi="ITC Avant Garde"/>
          <w:sz w:val="22"/>
          <w:szCs w:val="22"/>
        </w:rPr>
        <w:t>Reuniones con las áreas del Instituto (Informativo)</w:t>
      </w:r>
    </w:p>
    <w:p w14:paraId="036E9D57" w14:textId="77777777" w:rsidR="00997A13" w:rsidRDefault="00997A13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</w:p>
    <w:p w14:paraId="12A645D7" w14:textId="0CA89F52" w:rsidR="002E713E" w:rsidRDefault="00997A13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997A13">
        <w:rPr>
          <w:rFonts w:ascii="ITC Avant Garde" w:eastAsiaTheme="minorEastAsia" w:hAnsi="ITC Avant Garde"/>
          <w:b/>
          <w:sz w:val="22"/>
          <w:szCs w:val="22"/>
        </w:rPr>
        <w:t>III. 5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2E713E" w:rsidRPr="002E713E">
        <w:rPr>
          <w:rFonts w:ascii="ITC Avant Garde" w:eastAsiaTheme="minorEastAsia" w:hAnsi="ITC Avant Garde"/>
          <w:sz w:val="22"/>
          <w:szCs w:val="22"/>
        </w:rPr>
        <w:t>Recomendaciones, Opiniones y Propuestas (Resolutivo)</w:t>
      </w:r>
    </w:p>
    <w:p w14:paraId="54B3D95C" w14:textId="77777777" w:rsidR="002E713E" w:rsidRDefault="002E713E" w:rsidP="006B235C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69EABC2" w14:textId="38301A7D" w:rsidR="002E713E" w:rsidRDefault="002E713E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997A13">
        <w:rPr>
          <w:rFonts w:ascii="ITC Avant Garde" w:hAnsi="ITC Avant Garde"/>
          <w:b/>
          <w:sz w:val="22"/>
          <w:szCs w:val="22"/>
        </w:rPr>
        <w:t>5</w:t>
      </w:r>
      <w:r>
        <w:rPr>
          <w:rFonts w:ascii="ITC Avant Garde" w:hAnsi="ITC Avant Garde"/>
          <w:b/>
          <w:sz w:val="22"/>
          <w:szCs w:val="22"/>
        </w:rPr>
        <w:t>.</w:t>
      </w:r>
      <w:r w:rsidR="006B235C">
        <w:rPr>
          <w:rFonts w:ascii="ITC Avant Garde" w:hAnsi="ITC Avant Garde"/>
          <w:b/>
          <w:sz w:val="22"/>
          <w:szCs w:val="22"/>
        </w:rPr>
        <w:t>1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="00CC6E47">
        <w:rPr>
          <w:rFonts w:ascii="ITC Avant Garde" w:eastAsiaTheme="minorEastAsia" w:hAnsi="ITC Avant Garde"/>
          <w:sz w:val="22"/>
          <w:szCs w:val="22"/>
        </w:rPr>
        <w:t>Propuesta de Recomendación sobre la obligación del IFT recién impuesta referente a la verificación del avance del programa de digitalización (EHM)</w:t>
      </w:r>
    </w:p>
    <w:p w14:paraId="6E7690F2" w14:textId="77777777" w:rsidR="00D82E1A" w:rsidRDefault="00D82E1A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</w:p>
    <w:p w14:paraId="6A562D54" w14:textId="2B53F3B9" w:rsidR="00CC6E47" w:rsidRDefault="002E713E" w:rsidP="00341F32">
      <w:pPr>
        <w:spacing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 w:rsidRPr="00341F32">
        <w:rPr>
          <w:rFonts w:ascii="ITC Avant Garde" w:eastAsiaTheme="minorEastAsia" w:hAnsi="ITC Avant Garde"/>
          <w:b/>
          <w:sz w:val="22"/>
          <w:szCs w:val="22"/>
        </w:rPr>
        <w:t>III.</w:t>
      </w:r>
      <w:r w:rsidR="00997A13">
        <w:rPr>
          <w:rFonts w:ascii="ITC Avant Garde" w:eastAsiaTheme="minorEastAsia" w:hAnsi="ITC Avant Garde"/>
          <w:b/>
          <w:sz w:val="22"/>
          <w:szCs w:val="22"/>
        </w:rPr>
        <w:t>5</w:t>
      </w:r>
      <w:r w:rsidRPr="00341F32">
        <w:rPr>
          <w:rFonts w:ascii="ITC Avant Garde" w:eastAsiaTheme="minorEastAsia" w:hAnsi="ITC Avant Garde"/>
          <w:b/>
          <w:sz w:val="22"/>
          <w:szCs w:val="22"/>
        </w:rPr>
        <w:t>.</w:t>
      </w:r>
      <w:r w:rsidR="006B235C">
        <w:rPr>
          <w:rFonts w:ascii="ITC Avant Garde" w:eastAsiaTheme="minorEastAsia" w:hAnsi="ITC Avant Garde"/>
          <w:b/>
          <w:sz w:val="22"/>
          <w:szCs w:val="22"/>
        </w:rPr>
        <w:t>2</w:t>
      </w:r>
      <w:r w:rsidRPr="00341F32">
        <w:rPr>
          <w:rFonts w:ascii="ITC Avant Garde" w:eastAsiaTheme="minorEastAsia" w:hAnsi="ITC Avant Garde"/>
          <w:sz w:val="22"/>
          <w:szCs w:val="22"/>
        </w:rPr>
        <w:t xml:space="preserve"> </w:t>
      </w:r>
      <w:r w:rsidR="00CC6E47" w:rsidRPr="00CC6E47">
        <w:rPr>
          <w:rFonts w:ascii="ITC Avant Garde" w:eastAsiaTheme="minorEastAsia" w:hAnsi="ITC Avant Garde"/>
          <w:sz w:val="22"/>
          <w:szCs w:val="22"/>
        </w:rPr>
        <w:t xml:space="preserve">Propuesta de Recomendación que emite el </w:t>
      </w:r>
      <w:r w:rsidR="00CC6E47">
        <w:rPr>
          <w:rFonts w:ascii="ITC Avant Garde" w:eastAsiaTheme="minorEastAsia" w:hAnsi="ITC Avant Garde"/>
          <w:sz w:val="22"/>
          <w:szCs w:val="22"/>
        </w:rPr>
        <w:t>C</w:t>
      </w:r>
      <w:r w:rsidR="00CC6E47" w:rsidRPr="00CC6E47">
        <w:rPr>
          <w:rFonts w:ascii="ITC Avant Garde" w:eastAsiaTheme="minorEastAsia" w:hAnsi="ITC Avant Garde"/>
          <w:sz w:val="22"/>
          <w:szCs w:val="22"/>
        </w:rPr>
        <w:t xml:space="preserve">onsejo </w:t>
      </w:r>
      <w:r w:rsidR="00CC6E47">
        <w:rPr>
          <w:rFonts w:ascii="ITC Avant Garde" w:eastAsiaTheme="minorEastAsia" w:hAnsi="ITC Avant Garde"/>
          <w:sz w:val="22"/>
          <w:szCs w:val="22"/>
        </w:rPr>
        <w:t>C</w:t>
      </w:r>
      <w:r w:rsidR="00CC6E47" w:rsidRPr="00CC6E47">
        <w:rPr>
          <w:rFonts w:ascii="ITC Avant Garde" w:eastAsiaTheme="minorEastAsia" w:hAnsi="ITC Avant Garde"/>
          <w:sz w:val="22"/>
          <w:szCs w:val="22"/>
        </w:rPr>
        <w:t>onsultivo del IFT para eliminar barreras de entrada económicas y regulatorias al mercado SMS en México (GGA)</w:t>
      </w:r>
    </w:p>
    <w:p w14:paraId="4EB9D540" w14:textId="3881A930" w:rsidR="00997A13" w:rsidRDefault="00997A13" w:rsidP="00341F32">
      <w:pPr>
        <w:spacing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b/>
          <w:sz w:val="22"/>
          <w:szCs w:val="22"/>
        </w:rPr>
        <w:t xml:space="preserve">III.5.3 </w:t>
      </w:r>
      <w:r>
        <w:rPr>
          <w:rFonts w:ascii="ITC Avant Garde" w:eastAsiaTheme="minorEastAsia" w:hAnsi="ITC Avant Garde"/>
          <w:sz w:val="22"/>
          <w:szCs w:val="22"/>
        </w:rPr>
        <w:t>Recomendación que emite el Consejo Consultivo del IFT para mejorar el diseño de subastas de espectro radioeléctrico que lleva a cabo el IFT (EFR)</w:t>
      </w:r>
    </w:p>
    <w:p w14:paraId="614463D6" w14:textId="5AC17716" w:rsidR="00C44BAC" w:rsidRPr="00C44BAC" w:rsidRDefault="00C44BAC" w:rsidP="00341F32">
      <w:pPr>
        <w:spacing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b/>
          <w:sz w:val="22"/>
          <w:szCs w:val="22"/>
        </w:rPr>
        <w:t xml:space="preserve">III.5.4. </w:t>
      </w:r>
      <w:r>
        <w:rPr>
          <w:rFonts w:ascii="ITC Avant Garde" w:eastAsiaTheme="minorEastAsia" w:hAnsi="ITC Avant Garde"/>
          <w:sz w:val="22"/>
          <w:szCs w:val="22"/>
        </w:rPr>
        <w:t xml:space="preserve">Recomendación sobre procedimientos de tercera parte para evaluación de la conformidad y actualización de disposiciones técnicas (GGA) </w:t>
      </w:r>
      <w:r w:rsidR="00592E97">
        <w:rPr>
          <w:rFonts w:ascii="ITC Avant Garde" w:eastAsiaTheme="minorEastAsia" w:hAnsi="ITC Avant Garde"/>
          <w:sz w:val="22"/>
          <w:szCs w:val="22"/>
        </w:rPr>
        <w:t>a</w:t>
      </w:r>
      <w:r>
        <w:rPr>
          <w:rFonts w:ascii="ITC Avant Garde" w:eastAsiaTheme="minorEastAsia" w:hAnsi="ITC Avant Garde"/>
          <w:sz w:val="22"/>
          <w:szCs w:val="22"/>
        </w:rPr>
        <w:t>ntes (Recomendación que emite el Consejo Consultivo del IFT</w:t>
      </w:r>
      <w:r w:rsidR="00D21CBC">
        <w:rPr>
          <w:rFonts w:ascii="ITC Avant Garde" w:eastAsiaTheme="minorEastAsia" w:hAnsi="ITC Avant Garde"/>
          <w:sz w:val="22"/>
          <w:szCs w:val="22"/>
        </w:rPr>
        <w:t xml:space="preserve"> sobre el Anteproyecto de Acuerdo mediante el cual se emiten las directrices generales para la presentación de información técnica, económica y programática por parte de los concesionarios del servicio de radiodifusión)</w:t>
      </w:r>
    </w:p>
    <w:p w14:paraId="7BE8AC08" w14:textId="77777777" w:rsidR="002E713E" w:rsidRPr="00D82E1A" w:rsidRDefault="002E713E" w:rsidP="00D82E1A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27223EB9" w14:textId="16BFE2B4" w:rsidR="000952AD" w:rsidRDefault="000952AD" w:rsidP="00C3589D">
      <w:pPr>
        <w:pStyle w:val="Prrafodelista"/>
        <w:numPr>
          <w:ilvl w:val="0"/>
          <w:numId w:val="1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</w:p>
    <w:p w14:paraId="5A68CC7C" w14:textId="77777777" w:rsidR="00CC6E47" w:rsidRDefault="00CC6E47" w:rsidP="00CC6E47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4A83AE1E" w14:textId="3A4F4B2E" w:rsidR="00CC6E47" w:rsidRDefault="00CC6E47" w:rsidP="00CC6E47">
      <w:pPr>
        <w:pStyle w:val="Prrafodelista"/>
        <w:spacing w:after="0"/>
        <w:ind w:left="1440"/>
        <w:jc w:val="both"/>
        <w:rPr>
          <w:rFonts w:ascii="ITC Avant Garde" w:hAnsi="ITC Avant Garde"/>
          <w:sz w:val="22"/>
          <w:szCs w:val="22"/>
          <w:lang w:val="en-US"/>
        </w:rPr>
      </w:pPr>
      <w:r w:rsidRPr="00997A13">
        <w:rPr>
          <w:rFonts w:ascii="ITC Avant Garde" w:hAnsi="ITC Avant Garde"/>
          <w:b/>
          <w:sz w:val="22"/>
          <w:szCs w:val="22"/>
          <w:lang w:val="en-US"/>
        </w:rPr>
        <w:t xml:space="preserve">IV.1 </w:t>
      </w:r>
      <w:r w:rsidR="00997A13" w:rsidRPr="00997A13">
        <w:rPr>
          <w:rFonts w:ascii="ITC Avant Garde" w:hAnsi="ITC Avant Garde"/>
          <w:sz w:val="22"/>
          <w:szCs w:val="22"/>
          <w:lang w:val="en-US"/>
        </w:rPr>
        <w:t>World Telecommunication Standardization A</w:t>
      </w:r>
      <w:r w:rsidR="00997A13">
        <w:rPr>
          <w:rFonts w:ascii="ITC Avant Garde" w:hAnsi="ITC Avant Garde"/>
          <w:sz w:val="22"/>
          <w:szCs w:val="22"/>
          <w:lang w:val="en-US"/>
        </w:rPr>
        <w:t>ssembly (WTSA-20)</w:t>
      </w:r>
    </w:p>
    <w:p w14:paraId="0F03E8E0" w14:textId="60AC3976" w:rsidR="00997A13" w:rsidRDefault="00997A13" w:rsidP="00CC6E47">
      <w:pPr>
        <w:pStyle w:val="Prrafodelista"/>
        <w:spacing w:after="0"/>
        <w:ind w:left="1440"/>
        <w:jc w:val="both"/>
        <w:rPr>
          <w:rFonts w:ascii="ITC Avant Garde" w:hAnsi="ITC Avant Garde"/>
          <w:sz w:val="22"/>
          <w:szCs w:val="22"/>
        </w:rPr>
      </w:pPr>
      <w:r w:rsidRPr="00997A13">
        <w:rPr>
          <w:rFonts w:ascii="ITC Avant Garde" w:hAnsi="ITC Avant Garde"/>
          <w:b/>
          <w:sz w:val="22"/>
          <w:szCs w:val="22"/>
        </w:rPr>
        <w:t xml:space="preserve">IV.2 </w:t>
      </w:r>
      <w:r w:rsidRPr="00997A13">
        <w:rPr>
          <w:rFonts w:ascii="ITC Avant Garde" w:hAnsi="ITC Avant Garde"/>
          <w:sz w:val="22"/>
          <w:szCs w:val="22"/>
        </w:rPr>
        <w:t>Modalidad de las sesiones del CCIFT</w:t>
      </w:r>
    </w:p>
    <w:p w14:paraId="7248E24E" w14:textId="77777777" w:rsidR="00CF72F8" w:rsidRPr="008C3C7F" w:rsidRDefault="00AD794E" w:rsidP="00CF72F8">
      <w:pPr>
        <w:spacing w:after="0" w:line="276" w:lineRule="auto"/>
        <w:ind w:left="1416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IV.3 </w:t>
      </w:r>
      <w:r w:rsidR="00CF72F8" w:rsidRPr="008C3C7F">
        <w:rPr>
          <w:rFonts w:ascii="ITC Avant Garde" w:hAnsi="ITC Avant Garde"/>
          <w:bCs/>
          <w:sz w:val="22"/>
          <w:szCs w:val="22"/>
        </w:rPr>
        <w:t>Recomendación que emite el Consejo Consultivo del Instituto Federal de</w:t>
      </w:r>
    </w:p>
    <w:p w14:paraId="711ECC7C" w14:textId="77777777" w:rsidR="00CF72F8" w:rsidRPr="008C3C7F" w:rsidRDefault="00CF72F8" w:rsidP="00CF72F8">
      <w:pPr>
        <w:spacing w:after="0" w:line="276" w:lineRule="auto"/>
        <w:ind w:left="1416"/>
        <w:rPr>
          <w:rFonts w:ascii="ITC Avant Garde" w:hAnsi="ITC Avant Garde"/>
          <w:bCs/>
          <w:sz w:val="22"/>
          <w:szCs w:val="22"/>
        </w:rPr>
      </w:pPr>
      <w:r w:rsidRPr="008C3C7F">
        <w:rPr>
          <w:rFonts w:ascii="ITC Avant Garde" w:hAnsi="ITC Avant Garde"/>
          <w:bCs/>
          <w:sz w:val="22"/>
          <w:szCs w:val="22"/>
        </w:rPr>
        <w:t>Telecomunicaciones sobre el impacto de la posible implementación de nuevas</w:t>
      </w:r>
    </w:p>
    <w:p w14:paraId="45979E84" w14:textId="77777777" w:rsidR="00CF72F8" w:rsidRPr="008C3C7F" w:rsidRDefault="00CF72F8" w:rsidP="00CF72F8">
      <w:pPr>
        <w:spacing w:after="0" w:line="276" w:lineRule="auto"/>
        <w:ind w:left="1416"/>
        <w:rPr>
          <w:rFonts w:ascii="ITC Avant Garde" w:hAnsi="ITC Avant Garde"/>
          <w:bCs/>
          <w:sz w:val="22"/>
          <w:szCs w:val="22"/>
        </w:rPr>
      </w:pPr>
      <w:r w:rsidRPr="008C3C7F">
        <w:rPr>
          <w:rFonts w:ascii="ITC Avant Garde" w:hAnsi="ITC Avant Garde"/>
          <w:bCs/>
          <w:sz w:val="22"/>
          <w:szCs w:val="22"/>
        </w:rPr>
        <w:t>reglas técnicas para la radiodifusión en AM y en FM, en la zona fronteriza de los</w:t>
      </w:r>
    </w:p>
    <w:p w14:paraId="64A91654" w14:textId="45CA6F54" w:rsidR="00CF72F8" w:rsidRDefault="00CF72F8" w:rsidP="00CF72F8">
      <w:pPr>
        <w:spacing w:after="0" w:line="276" w:lineRule="auto"/>
        <w:ind w:left="1416"/>
        <w:rPr>
          <w:rFonts w:ascii="ITC Avant Garde" w:hAnsi="ITC Avant Garde"/>
          <w:sz w:val="22"/>
          <w:szCs w:val="22"/>
        </w:rPr>
      </w:pPr>
      <w:r w:rsidRPr="008C3C7F">
        <w:rPr>
          <w:rFonts w:ascii="ITC Avant Garde" w:hAnsi="ITC Avant Garde"/>
          <w:bCs/>
          <w:sz w:val="22"/>
          <w:szCs w:val="22"/>
        </w:rPr>
        <w:t>Estados Unidos de América con México</w:t>
      </w:r>
    </w:p>
    <w:p w14:paraId="4A253C0F" w14:textId="3F76A5D6" w:rsidR="00AD794E" w:rsidRPr="00997A13" w:rsidRDefault="00AD794E" w:rsidP="00CC6E47">
      <w:pPr>
        <w:pStyle w:val="Prrafodelista"/>
        <w:spacing w:after="0"/>
        <w:ind w:left="1440"/>
        <w:jc w:val="both"/>
        <w:rPr>
          <w:rFonts w:ascii="ITC Avant Garde" w:hAnsi="ITC Avant Garde"/>
          <w:b/>
          <w:sz w:val="22"/>
          <w:szCs w:val="22"/>
        </w:rPr>
      </w:pPr>
    </w:p>
    <w:p w14:paraId="38A0FA4D" w14:textId="1BF798CF" w:rsidR="00C3589D" w:rsidRPr="00997A13" w:rsidRDefault="00C3589D" w:rsidP="00C3589D">
      <w:pPr>
        <w:spacing w:after="0" w:line="240" w:lineRule="auto"/>
        <w:jc w:val="center"/>
        <w:rPr>
          <w:rFonts w:ascii="ITC Avant Garde" w:hAnsi="ITC Avant Garde"/>
          <w:b/>
          <w:sz w:val="22"/>
          <w:szCs w:val="22"/>
        </w:rPr>
      </w:pPr>
    </w:p>
    <w:p w14:paraId="668DBFC9" w14:textId="77777777" w:rsidR="00C3589D" w:rsidRPr="00997A13" w:rsidRDefault="00C3589D" w:rsidP="00C3589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0880063C" w14:textId="77777777" w:rsidR="00C3589D" w:rsidRPr="00997A13" w:rsidRDefault="00C3589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6687D7F7" w14:textId="6703667F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0474FC78" w14:textId="77777777" w:rsidR="000952AD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27E70FF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7C1BB15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Rebeca Escobar Briones </w:t>
      </w:r>
    </w:p>
    <w:p w14:paraId="1E32E34E" w14:textId="77777777" w:rsidR="000952AD" w:rsidRPr="006651C3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</w:t>
      </w:r>
      <w:r>
        <w:rPr>
          <w:rFonts w:ascii="ITC Avant Garde" w:hAnsi="ITC Avant Garde"/>
          <w:sz w:val="22"/>
          <w:szCs w:val="22"/>
        </w:rPr>
        <w:t>a</w:t>
      </w:r>
      <w:r w:rsidRPr="004B395A">
        <w:rPr>
          <w:rFonts w:ascii="ITC Avant Garde" w:hAnsi="ITC Avant Garde"/>
          <w:sz w:val="22"/>
          <w:szCs w:val="22"/>
        </w:rPr>
        <w:t xml:space="preserve"> del Consejo Consultivo</w:t>
      </w:r>
    </w:p>
    <w:p w14:paraId="72DBCED8" w14:textId="77777777" w:rsidR="00731508" w:rsidRDefault="00731508"/>
    <w:sectPr w:rsidR="00731508" w:rsidSect="0068060B">
      <w:headerReference w:type="even" r:id="rId8"/>
      <w:headerReference w:type="default" r:id="rId9"/>
      <w:headerReference w:type="first" r:id="rId10"/>
      <w:pgSz w:w="12240" w:h="15840" w:code="1"/>
      <w:pgMar w:top="1701" w:right="1134" w:bottom="1134" w:left="1134" w:header="425" w:footer="62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6B175" w16cex:dateUtc="2021-10-29T22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983F4" w14:textId="77777777" w:rsidR="00A47C49" w:rsidRDefault="00A47C49" w:rsidP="0068060B">
      <w:pPr>
        <w:spacing w:after="0" w:line="240" w:lineRule="auto"/>
      </w:pPr>
      <w:r>
        <w:separator/>
      </w:r>
    </w:p>
  </w:endnote>
  <w:endnote w:type="continuationSeparator" w:id="0">
    <w:p w14:paraId="43E7D163" w14:textId="77777777" w:rsidR="00A47C49" w:rsidRDefault="00A47C49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34485" w14:textId="77777777" w:rsidR="00A47C49" w:rsidRDefault="00A47C49" w:rsidP="0068060B">
      <w:pPr>
        <w:spacing w:after="0" w:line="240" w:lineRule="auto"/>
      </w:pPr>
      <w:r>
        <w:separator/>
      </w:r>
    </w:p>
  </w:footnote>
  <w:footnote w:type="continuationSeparator" w:id="0">
    <w:p w14:paraId="6416CA9D" w14:textId="77777777" w:rsidR="00A47C49" w:rsidRDefault="00A47C49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204E" w14:textId="77777777" w:rsidR="0068060B" w:rsidRDefault="00A47C49">
    <w:pPr>
      <w:pStyle w:val="Encabezado"/>
    </w:pPr>
    <w:r>
      <w:rPr>
        <w:noProof/>
        <w:lang w:eastAsia="es-MX"/>
      </w:rPr>
      <w:pict w14:anchorId="67B86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5" o:spid="_x0000_s2053" type="#_x0000_t75" style="position:absolute;left:0;text-align:left;margin-left:0;margin-top:0;width:609.6pt;height:793.9pt;z-index:-251657216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1EE0" w14:textId="77777777" w:rsidR="0068060B" w:rsidRDefault="00A47C49">
    <w:pPr>
      <w:pStyle w:val="Encabezado"/>
    </w:pPr>
    <w:r>
      <w:rPr>
        <w:noProof/>
        <w:lang w:eastAsia="es-MX"/>
      </w:rPr>
      <w:pict w14:anchorId="28A1A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6" o:spid="_x0000_s2054" type="#_x0000_t75" style="position:absolute;left:0;text-align:left;margin-left:0;margin-top:0;width:609.6pt;height:793.9pt;z-index:-251656192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40B8" w14:textId="77777777" w:rsidR="00A77687" w:rsidRDefault="00A47C49">
    <w:pPr>
      <w:pStyle w:val="Encabezado"/>
    </w:pPr>
    <w:r>
      <w:rPr>
        <w:noProof/>
        <w:lang w:eastAsia="es-MX"/>
      </w:rPr>
      <w:pict w14:anchorId="5C3F3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4" o:spid="_x0000_s2052" type="#_x0000_t75" style="position:absolute;left:0;text-align:left;margin-left:-55.6pt;margin-top:-85.4pt;width:609.6pt;height:793.9pt;z-index:-251658240;mso-position-horizontal-relative:margin;mso-position-vertical-relative:margin" o:allowincell="f">
          <v:imagedata r:id="rId1" o:title="VI CC logo (hoja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BCE87F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4E5A74"/>
    <w:multiLevelType w:val="multilevel"/>
    <w:tmpl w:val="9BB4EE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0B"/>
    <w:rsid w:val="0004036C"/>
    <w:rsid w:val="0004164C"/>
    <w:rsid w:val="0008520C"/>
    <w:rsid w:val="000952AD"/>
    <w:rsid w:val="000B3CB5"/>
    <w:rsid w:val="000B3E42"/>
    <w:rsid w:val="000C07AD"/>
    <w:rsid w:val="000C2A68"/>
    <w:rsid w:val="00150570"/>
    <w:rsid w:val="00173B72"/>
    <w:rsid w:val="00174CCB"/>
    <w:rsid w:val="001B4153"/>
    <w:rsid w:val="001C0064"/>
    <w:rsid w:val="002E713E"/>
    <w:rsid w:val="003352B8"/>
    <w:rsid w:val="00341F32"/>
    <w:rsid w:val="003C06D0"/>
    <w:rsid w:val="003C4ECE"/>
    <w:rsid w:val="003D6975"/>
    <w:rsid w:val="00403B94"/>
    <w:rsid w:val="0046237D"/>
    <w:rsid w:val="004A198B"/>
    <w:rsid w:val="004B4E06"/>
    <w:rsid w:val="00500B88"/>
    <w:rsid w:val="00511239"/>
    <w:rsid w:val="00550D78"/>
    <w:rsid w:val="00586F77"/>
    <w:rsid w:val="00592E97"/>
    <w:rsid w:val="005D15B8"/>
    <w:rsid w:val="005F695A"/>
    <w:rsid w:val="00603E89"/>
    <w:rsid w:val="00607E52"/>
    <w:rsid w:val="00630125"/>
    <w:rsid w:val="006400A4"/>
    <w:rsid w:val="00646171"/>
    <w:rsid w:val="00656F57"/>
    <w:rsid w:val="00676CC8"/>
    <w:rsid w:val="0068060B"/>
    <w:rsid w:val="006B235C"/>
    <w:rsid w:val="006C6F57"/>
    <w:rsid w:val="006F16DA"/>
    <w:rsid w:val="006F5ECF"/>
    <w:rsid w:val="00731508"/>
    <w:rsid w:val="007378C8"/>
    <w:rsid w:val="007439C6"/>
    <w:rsid w:val="00764AA8"/>
    <w:rsid w:val="00771C7E"/>
    <w:rsid w:val="00773D6D"/>
    <w:rsid w:val="007B6B8F"/>
    <w:rsid w:val="00837128"/>
    <w:rsid w:val="008747A3"/>
    <w:rsid w:val="008925F4"/>
    <w:rsid w:val="008E599E"/>
    <w:rsid w:val="00914239"/>
    <w:rsid w:val="0095454C"/>
    <w:rsid w:val="00955049"/>
    <w:rsid w:val="00961826"/>
    <w:rsid w:val="00972341"/>
    <w:rsid w:val="00972B09"/>
    <w:rsid w:val="00997A13"/>
    <w:rsid w:val="009C1E64"/>
    <w:rsid w:val="009E78D7"/>
    <w:rsid w:val="00A47C49"/>
    <w:rsid w:val="00A52FE7"/>
    <w:rsid w:val="00A547B6"/>
    <w:rsid w:val="00A752DF"/>
    <w:rsid w:val="00A77687"/>
    <w:rsid w:val="00AD20F1"/>
    <w:rsid w:val="00AD42DD"/>
    <w:rsid w:val="00AD794E"/>
    <w:rsid w:val="00AE3867"/>
    <w:rsid w:val="00B17808"/>
    <w:rsid w:val="00B93485"/>
    <w:rsid w:val="00C3589D"/>
    <w:rsid w:val="00C44BAC"/>
    <w:rsid w:val="00CA66EC"/>
    <w:rsid w:val="00CB2648"/>
    <w:rsid w:val="00CC404F"/>
    <w:rsid w:val="00CC6E47"/>
    <w:rsid w:val="00CF72F8"/>
    <w:rsid w:val="00D12495"/>
    <w:rsid w:val="00D21CBC"/>
    <w:rsid w:val="00D36A0B"/>
    <w:rsid w:val="00D54870"/>
    <w:rsid w:val="00D82E1A"/>
    <w:rsid w:val="00DC6D61"/>
    <w:rsid w:val="00DD37B6"/>
    <w:rsid w:val="00E02FCE"/>
    <w:rsid w:val="00E251CF"/>
    <w:rsid w:val="00E33812"/>
    <w:rsid w:val="00E51C2F"/>
    <w:rsid w:val="00EC6DD7"/>
    <w:rsid w:val="00ED2477"/>
    <w:rsid w:val="00F54FB5"/>
    <w:rsid w:val="00F837BC"/>
    <w:rsid w:val="00F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356F22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0952AD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3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713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713E"/>
  </w:style>
  <w:style w:type="character" w:styleId="Refdenotaalpie">
    <w:name w:val="footnote reference"/>
    <w:basedOn w:val="Fuentedeprrafopredeter"/>
    <w:uiPriority w:val="99"/>
    <w:semiHidden/>
    <w:unhideWhenUsed/>
    <w:rsid w:val="002E713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8C8"/>
    <w:pPr>
      <w:spacing w:after="0" w:line="240" w:lineRule="auto"/>
      <w:jc w:val="left"/>
    </w:pPr>
    <w:rPr>
      <w:rFonts w:ascii="Calibri" w:hAnsi="Calibri" w:cs="Calibri"/>
      <w:sz w:val="22"/>
      <w:szCs w:val="2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62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37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3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C7B2-FAF6-48CE-9091-F345E947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2333</Characters>
  <Application>Microsoft Office Word</Application>
  <DocSecurity>0</DocSecurity>
  <Lines>70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Isabel Reza</cp:lastModifiedBy>
  <cp:revision>2</cp:revision>
  <dcterms:created xsi:type="dcterms:W3CDTF">2022-03-07T19:46:00Z</dcterms:created>
  <dcterms:modified xsi:type="dcterms:W3CDTF">2022-03-07T19:46:00Z</dcterms:modified>
</cp:coreProperties>
</file>