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507A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1E42DE21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2F5B383F" w14:textId="3BF33AC3" w:rsidR="000952AD" w:rsidRPr="002452FA" w:rsidRDefault="000952AD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D12495">
        <w:rPr>
          <w:rFonts w:ascii="ITC Avant Garde" w:hAnsi="ITC Avant Garde"/>
          <w:sz w:val="22"/>
          <w:szCs w:val="22"/>
        </w:rPr>
        <w:t xml:space="preserve">04 </w:t>
      </w:r>
      <w:r>
        <w:rPr>
          <w:rFonts w:ascii="ITC Avant Garde" w:hAnsi="ITC Avant Garde"/>
          <w:sz w:val="22"/>
          <w:szCs w:val="22"/>
        </w:rPr>
        <w:t xml:space="preserve">de </w:t>
      </w:r>
      <w:r w:rsidR="00E33812">
        <w:rPr>
          <w:rFonts w:ascii="ITC Avant Garde" w:hAnsi="ITC Avant Garde"/>
          <w:sz w:val="22"/>
          <w:szCs w:val="22"/>
        </w:rPr>
        <w:t>octubre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>
        <w:rPr>
          <w:rFonts w:ascii="ITC Avant Garde" w:hAnsi="ITC Avant Garde"/>
          <w:sz w:val="22"/>
          <w:szCs w:val="22"/>
        </w:rPr>
        <w:t>1.</w:t>
      </w:r>
    </w:p>
    <w:p w14:paraId="59899204" w14:textId="509438AC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D2DC05" w14:textId="71459102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E33812">
        <w:rPr>
          <w:rFonts w:ascii="ITC Avant Garde" w:hAnsi="ITC Avant Garde"/>
          <w:b/>
          <w:sz w:val="22"/>
          <w:szCs w:val="22"/>
        </w:rPr>
        <w:t>V</w:t>
      </w:r>
      <w:r w:rsidRPr="00570FB3">
        <w:rPr>
          <w:rFonts w:ascii="ITC Avant Garde" w:hAnsi="ITC Avant Garde"/>
          <w:b/>
          <w:sz w:val="22"/>
          <w:szCs w:val="22"/>
        </w:rPr>
        <w:t xml:space="preserve"> Sesión Ordinaria a celebrarse el próximo jueves </w:t>
      </w:r>
      <w:r w:rsidR="00E33812">
        <w:rPr>
          <w:rFonts w:ascii="ITC Avant Garde" w:hAnsi="ITC Avant Garde"/>
          <w:b/>
          <w:sz w:val="22"/>
          <w:szCs w:val="22"/>
        </w:rPr>
        <w:t>07</w:t>
      </w:r>
      <w:r w:rsidRPr="00570FB3">
        <w:rPr>
          <w:rFonts w:ascii="ITC Avant Garde" w:hAnsi="ITC Avant Garde"/>
          <w:b/>
          <w:sz w:val="22"/>
          <w:szCs w:val="22"/>
        </w:rPr>
        <w:t xml:space="preserve"> de </w:t>
      </w:r>
      <w:r w:rsidR="00E33812">
        <w:rPr>
          <w:rFonts w:ascii="ITC Avant Garde" w:hAnsi="ITC Avant Garde"/>
          <w:b/>
          <w:sz w:val="22"/>
          <w:szCs w:val="22"/>
        </w:rPr>
        <w:t>octubre</w:t>
      </w:r>
      <w:r w:rsidRPr="00570FB3">
        <w:rPr>
          <w:rFonts w:ascii="ITC Avant Garde" w:hAnsi="ITC Avant Garde"/>
          <w:b/>
          <w:sz w:val="22"/>
          <w:szCs w:val="22"/>
        </w:rPr>
        <w:t xml:space="preserve"> de 202</w:t>
      </w:r>
      <w:r>
        <w:rPr>
          <w:rFonts w:ascii="ITC Avant Garde" w:hAnsi="ITC Avant Garde"/>
          <w:b/>
          <w:sz w:val="22"/>
          <w:szCs w:val="22"/>
        </w:rPr>
        <w:t>1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>
        <w:rPr>
          <w:rFonts w:ascii="ITC Avant Garde" w:hAnsi="ITC Avant Garde"/>
          <w:b/>
          <w:sz w:val="22"/>
          <w:szCs w:val="22"/>
        </w:rPr>
        <w:t>6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784F6343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89FEB11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4A09AA0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77777777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77777777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C9227A1" w14:textId="0731AA00" w:rsidR="000952AD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17537BC6" w14:textId="77777777" w:rsidR="002E713E" w:rsidRDefault="002E713E" w:rsidP="002E713E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560E5225" w14:textId="690703B7" w:rsidR="002E713E" w:rsidRDefault="002E713E" w:rsidP="002E713E">
      <w:pPr>
        <w:spacing w:after="0" w:line="276" w:lineRule="auto"/>
        <w:ind w:left="708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Aprobación del Acta de la </w:t>
      </w:r>
      <w:r>
        <w:rPr>
          <w:rFonts w:ascii="ITC Avant Garde" w:eastAsiaTheme="minorEastAsia" w:hAnsi="ITC Avant Garde"/>
          <w:sz w:val="22"/>
          <w:szCs w:val="22"/>
        </w:rPr>
        <w:t>IV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Sesión Ordinaria del V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Cons</w:t>
      </w:r>
      <w:r>
        <w:rPr>
          <w:rFonts w:ascii="ITC Avant Garde" w:eastAsiaTheme="minorEastAsia" w:hAnsi="ITC Avant Garde"/>
          <w:sz w:val="22"/>
          <w:szCs w:val="22"/>
        </w:rPr>
        <w:t>ejo Consultivo, celebrada el 2 de septiembre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de 202</w:t>
      </w:r>
      <w:r>
        <w:rPr>
          <w:rFonts w:ascii="ITC Avant Garde" w:eastAsiaTheme="minorEastAsia" w:hAnsi="ITC Avant Garde"/>
          <w:sz w:val="22"/>
          <w:szCs w:val="22"/>
        </w:rPr>
        <w:t>1</w:t>
      </w:r>
      <w:r w:rsidRPr="00474B48">
        <w:rPr>
          <w:rFonts w:ascii="ITC Avant Garde" w:eastAsiaTheme="minorEastAsia" w:hAnsi="ITC Avant Garde"/>
          <w:sz w:val="22"/>
          <w:szCs w:val="22"/>
        </w:rPr>
        <w:t>.</w:t>
      </w:r>
    </w:p>
    <w:p w14:paraId="4D267CCA" w14:textId="77777777" w:rsidR="00D82E1A" w:rsidRDefault="00D82E1A" w:rsidP="002E713E">
      <w:pPr>
        <w:spacing w:after="0" w:line="276" w:lineRule="auto"/>
        <w:ind w:left="708"/>
        <w:rPr>
          <w:rFonts w:ascii="ITC Avant Garde" w:hAnsi="ITC Avant Garde"/>
          <w:b/>
          <w:sz w:val="22"/>
          <w:szCs w:val="22"/>
        </w:rPr>
      </w:pPr>
    </w:p>
    <w:p w14:paraId="281CA66B" w14:textId="7A1F1618" w:rsidR="002E713E" w:rsidRPr="002E713E" w:rsidRDefault="00ED2477" w:rsidP="002E713E">
      <w:pPr>
        <w:spacing w:after="0" w:line="276" w:lineRule="auto"/>
        <w:ind w:left="708"/>
        <w:rPr>
          <w:rFonts w:ascii="ITC Avant Garde" w:eastAsiaTheme="minorEastAsia" w:hAnsi="ITC Avant Garde"/>
          <w:sz w:val="22"/>
          <w:szCs w:val="22"/>
        </w:rPr>
      </w:pPr>
      <w:r w:rsidRPr="00ED2477">
        <w:rPr>
          <w:rFonts w:ascii="ITC Avant Garde" w:eastAsiaTheme="minorEastAsia" w:hAnsi="ITC Avant Garde"/>
          <w:b/>
          <w:bCs/>
          <w:sz w:val="22"/>
          <w:szCs w:val="22"/>
        </w:rPr>
        <w:t>III. 2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2E713E" w:rsidRPr="002E713E">
        <w:rPr>
          <w:rFonts w:ascii="ITC Avant Garde" w:eastAsiaTheme="minorEastAsia" w:hAnsi="ITC Avant Garde"/>
          <w:sz w:val="22"/>
          <w:szCs w:val="22"/>
        </w:rPr>
        <w:t>Aspectos operativos</w:t>
      </w:r>
    </w:p>
    <w:p w14:paraId="55BDEAED" w14:textId="2836B8FF" w:rsidR="002E713E" w:rsidRDefault="002E713E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eastAsiaTheme="minorEastAsia" w:hAnsi="ITC Avant Garde"/>
          <w:b/>
          <w:bCs/>
          <w:sz w:val="22"/>
          <w:szCs w:val="22"/>
        </w:rPr>
        <w:t>III.</w:t>
      </w:r>
      <w:r w:rsidR="00ED2477">
        <w:rPr>
          <w:rFonts w:ascii="ITC Avant Garde" w:eastAsiaTheme="minorEastAsia" w:hAnsi="ITC Avant Garde"/>
          <w:b/>
          <w:bCs/>
          <w:sz w:val="22"/>
          <w:szCs w:val="22"/>
        </w:rPr>
        <w:t>2</w:t>
      </w:r>
      <w:r w:rsidRPr="002E713E">
        <w:rPr>
          <w:rFonts w:ascii="ITC Avant Garde" w:eastAsiaTheme="minorEastAsia" w:hAnsi="ITC Avant Garde"/>
          <w:b/>
          <w:bCs/>
          <w:sz w:val="22"/>
          <w:szCs w:val="22"/>
        </w:rPr>
        <w:t>.1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Pr="002E713E">
        <w:rPr>
          <w:rFonts w:ascii="ITC Avant Garde" w:eastAsiaTheme="minorEastAsia" w:hAnsi="ITC Avant Garde"/>
          <w:sz w:val="22"/>
          <w:szCs w:val="22"/>
        </w:rPr>
        <w:t>Horario de las sesiones</w:t>
      </w:r>
      <w:r>
        <w:rPr>
          <w:rFonts w:ascii="ITC Avant Garde" w:eastAsiaTheme="minorEastAsia" w:hAnsi="ITC Avant Garde"/>
          <w:sz w:val="22"/>
          <w:szCs w:val="22"/>
        </w:rPr>
        <w:t>.</w:t>
      </w:r>
    </w:p>
    <w:p w14:paraId="3BA09A6A" w14:textId="4DAA323B" w:rsidR="002E713E" w:rsidRDefault="002E713E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eastAsiaTheme="minorEastAsia" w:hAnsi="ITC Avant Garde"/>
          <w:b/>
          <w:bCs/>
          <w:sz w:val="22"/>
          <w:szCs w:val="22"/>
        </w:rPr>
        <w:t>III.</w:t>
      </w:r>
      <w:r w:rsidR="00ED2477">
        <w:rPr>
          <w:rFonts w:ascii="ITC Avant Garde" w:eastAsiaTheme="minorEastAsia" w:hAnsi="ITC Avant Garde"/>
          <w:b/>
          <w:bCs/>
          <w:sz w:val="22"/>
          <w:szCs w:val="22"/>
        </w:rPr>
        <w:t>2</w:t>
      </w:r>
      <w:r w:rsidRPr="002E713E">
        <w:rPr>
          <w:rFonts w:ascii="ITC Avant Garde" w:eastAsiaTheme="minorEastAsia" w:hAnsi="ITC Avant Garde"/>
          <w:b/>
          <w:bCs/>
          <w:sz w:val="22"/>
          <w:szCs w:val="22"/>
        </w:rPr>
        <w:t>.2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Pr="002E713E">
        <w:rPr>
          <w:rFonts w:ascii="ITC Avant Garde" w:eastAsiaTheme="minorEastAsia" w:hAnsi="ITC Avant Garde"/>
          <w:sz w:val="22"/>
          <w:szCs w:val="22"/>
        </w:rPr>
        <w:t>Procedimientos de votación electrónica</w:t>
      </w:r>
      <w:r>
        <w:rPr>
          <w:rFonts w:ascii="ITC Avant Garde" w:eastAsiaTheme="minorEastAsia" w:hAnsi="ITC Avant Garde"/>
          <w:sz w:val="22"/>
          <w:szCs w:val="22"/>
        </w:rPr>
        <w:t>.</w:t>
      </w:r>
    </w:p>
    <w:p w14:paraId="69381836" w14:textId="588E2E25" w:rsidR="002E713E" w:rsidRDefault="002E713E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b/>
          <w:bCs/>
          <w:sz w:val="22"/>
          <w:szCs w:val="22"/>
        </w:rPr>
        <w:t>III.</w:t>
      </w:r>
      <w:r w:rsidR="00ED2477">
        <w:rPr>
          <w:rFonts w:ascii="ITC Avant Garde" w:eastAsiaTheme="minorEastAsia" w:hAnsi="ITC Avant Garde"/>
          <w:b/>
          <w:bCs/>
          <w:sz w:val="22"/>
          <w:szCs w:val="22"/>
        </w:rPr>
        <w:t>2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.3 </w:t>
      </w:r>
      <w:r w:rsidRPr="002E713E">
        <w:rPr>
          <w:rFonts w:ascii="ITC Avant Garde" w:eastAsiaTheme="minorEastAsia" w:hAnsi="ITC Avant Garde"/>
          <w:sz w:val="22"/>
          <w:szCs w:val="22"/>
        </w:rPr>
        <w:t>Rediseño de sitio web del CCIFT</w:t>
      </w:r>
      <w:r>
        <w:rPr>
          <w:rFonts w:ascii="ITC Avant Garde" w:eastAsiaTheme="minorEastAsia" w:hAnsi="ITC Avant Garde"/>
          <w:sz w:val="22"/>
          <w:szCs w:val="22"/>
        </w:rPr>
        <w:t>.</w:t>
      </w:r>
    </w:p>
    <w:p w14:paraId="618D1655" w14:textId="77777777" w:rsidR="00D82E1A" w:rsidRDefault="00D82E1A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</w:p>
    <w:p w14:paraId="12A645D7" w14:textId="6F53D39E" w:rsidR="002E713E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D82E1A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 </w:t>
      </w:r>
      <w:r w:rsidRPr="002E713E">
        <w:rPr>
          <w:rFonts w:ascii="ITC Avant Garde" w:eastAsiaTheme="minorEastAsia" w:hAnsi="ITC Avant Garde"/>
          <w:sz w:val="22"/>
          <w:szCs w:val="22"/>
        </w:rPr>
        <w:t>Recomendaciones, Opiniones y Propuestas (Resolutivo)</w:t>
      </w:r>
    </w:p>
    <w:p w14:paraId="73EA9DF8" w14:textId="21C0853B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D82E1A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hAnsi="ITC Avant Garde"/>
          <w:b/>
          <w:sz w:val="22"/>
          <w:szCs w:val="22"/>
        </w:rPr>
        <w:t xml:space="preserve">.1 </w:t>
      </w:r>
      <w:r w:rsidRPr="002E713E">
        <w:rPr>
          <w:rFonts w:ascii="ITC Avant Garde" w:eastAsiaTheme="minorEastAsia" w:hAnsi="ITC Avant Garde"/>
          <w:sz w:val="22"/>
          <w:szCs w:val="22"/>
        </w:rPr>
        <w:t>Recomendación que emite el Consejo Consultivo del Instituto Federal de Telecomunicaciones sobre el impacto de la posible implementación de nuevas reglas técnicas para la radiodifusión en AM y en FM, en la zona fronteriza de los Estados Unidos de América con México</w:t>
      </w:r>
      <w:r>
        <w:rPr>
          <w:rStyle w:val="Refdenotaalpie"/>
          <w:rFonts w:ascii="ITC Avant Garde" w:eastAsiaTheme="minorEastAsia" w:hAnsi="ITC Avant Garde"/>
          <w:sz w:val="22"/>
          <w:szCs w:val="22"/>
        </w:rPr>
        <w:footnoteReference w:id="1"/>
      </w:r>
      <w:r w:rsidRPr="002E713E">
        <w:rPr>
          <w:rFonts w:ascii="ITC Avant Garde" w:eastAsiaTheme="minorEastAsia" w:hAnsi="ITC Avant Garde"/>
          <w:sz w:val="22"/>
          <w:szCs w:val="22"/>
        </w:rPr>
        <w:t>.</w:t>
      </w:r>
    </w:p>
    <w:p w14:paraId="71C3EF33" w14:textId="77777777" w:rsidR="00630125" w:rsidRDefault="00630125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6B9B1FF5" w14:textId="1B69420D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D82E1A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hAnsi="ITC Avant Garde"/>
          <w:b/>
          <w:sz w:val="22"/>
          <w:szCs w:val="22"/>
        </w:rPr>
        <w:t xml:space="preserve">.2 </w:t>
      </w:r>
      <w:r w:rsidRPr="002E713E">
        <w:rPr>
          <w:rFonts w:ascii="ITC Avant Garde" w:eastAsiaTheme="minorEastAsia" w:hAnsi="ITC Avant Garde"/>
          <w:sz w:val="22"/>
          <w:szCs w:val="22"/>
        </w:rPr>
        <w:t>Recomendación que emite el Consejo Consultivo del Instituto Federal de Telecomunicaciones referente a la creación y publicación de un reporte anual sobre el estado que guarda la Internet en nuestro país.</w:t>
      </w:r>
    </w:p>
    <w:p w14:paraId="54B3D95C" w14:textId="77777777" w:rsidR="002E713E" w:rsidRDefault="002E713E" w:rsidP="002E713E">
      <w:pPr>
        <w:spacing w:after="0" w:line="276" w:lineRule="auto"/>
        <w:ind w:left="1416"/>
        <w:rPr>
          <w:rFonts w:ascii="ITC Avant Garde" w:hAnsi="ITC Avant Garde"/>
          <w:b/>
          <w:sz w:val="22"/>
          <w:szCs w:val="22"/>
        </w:rPr>
      </w:pPr>
    </w:p>
    <w:p w14:paraId="369EABC2" w14:textId="4DC089E2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D82E1A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hAnsi="ITC Avant Garde"/>
          <w:b/>
          <w:sz w:val="22"/>
          <w:szCs w:val="22"/>
        </w:rPr>
        <w:t xml:space="preserve">.3 </w:t>
      </w:r>
      <w:r w:rsidRPr="002E713E">
        <w:rPr>
          <w:rFonts w:ascii="ITC Avant Garde" w:eastAsiaTheme="minorEastAsia" w:hAnsi="ITC Avant Garde"/>
          <w:sz w:val="22"/>
          <w:szCs w:val="22"/>
        </w:rPr>
        <w:t>Recomendación que emite el Consejo Consultivo del Instituto Federal de Telecomunicaciones referente al proyecto de Directrices Generales para la presentación de información técnica, económica y programática por parte de los concesionarios del servicio de radiodifusión</w:t>
      </w:r>
      <w:r>
        <w:rPr>
          <w:rFonts w:ascii="ITC Avant Garde" w:eastAsiaTheme="minorEastAsia" w:hAnsi="ITC Avant Garde"/>
          <w:sz w:val="22"/>
          <w:szCs w:val="22"/>
        </w:rPr>
        <w:t>.</w:t>
      </w:r>
    </w:p>
    <w:p w14:paraId="6E7690F2" w14:textId="77777777" w:rsidR="00D82E1A" w:rsidRDefault="00D82E1A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51359A75" w14:textId="47577A51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D82E1A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hAnsi="ITC Avant Garde"/>
          <w:b/>
          <w:sz w:val="22"/>
          <w:szCs w:val="22"/>
        </w:rPr>
        <w:t xml:space="preserve">.4 </w:t>
      </w:r>
      <w:r w:rsidRPr="002E713E">
        <w:rPr>
          <w:rFonts w:ascii="ITC Avant Garde" w:eastAsiaTheme="minorEastAsia" w:hAnsi="ITC Avant Garde"/>
          <w:sz w:val="22"/>
          <w:szCs w:val="22"/>
        </w:rPr>
        <w:t>Recomendación que emite el Consejo Consultivo para mejorar las subastas para asignación de espectro radioeléctrico</w:t>
      </w:r>
      <w:r>
        <w:rPr>
          <w:rFonts w:ascii="ITC Avant Garde" w:eastAsiaTheme="minorEastAsia" w:hAnsi="ITC Avant Garde"/>
          <w:sz w:val="22"/>
          <w:szCs w:val="22"/>
        </w:rPr>
        <w:t>.</w:t>
      </w:r>
    </w:p>
    <w:p w14:paraId="01FC4FDE" w14:textId="77777777" w:rsidR="00D82E1A" w:rsidRDefault="00D82E1A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35868483" w14:textId="15634C65" w:rsidR="002E713E" w:rsidRP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D82E1A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hAnsi="ITC Avant Garde"/>
          <w:b/>
          <w:sz w:val="22"/>
          <w:szCs w:val="22"/>
        </w:rPr>
        <w:t xml:space="preserve">.5 </w:t>
      </w:r>
      <w:r>
        <w:rPr>
          <w:rFonts w:ascii="ITC Avant Garde" w:hAnsi="ITC Avant Garde"/>
          <w:bCs/>
          <w:sz w:val="22"/>
          <w:szCs w:val="22"/>
        </w:rPr>
        <w:t>O</w:t>
      </w:r>
      <w:r w:rsidRPr="002E713E">
        <w:rPr>
          <w:rFonts w:ascii="ITC Avant Garde" w:eastAsiaTheme="minorEastAsia" w:hAnsi="ITC Avant Garde"/>
          <w:sz w:val="22"/>
          <w:szCs w:val="22"/>
        </w:rPr>
        <w:t>pinión que emite el Consejo Consultivo del Instituto Federal de Telecomunicaciones sobre el manejo, atención y comunicación de problemas de género al interior del IFT</w:t>
      </w:r>
      <w:r>
        <w:rPr>
          <w:rFonts w:ascii="ITC Avant Garde" w:eastAsiaTheme="minorEastAsia" w:hAnsi="ITC Avant Garde"/>
          <w:sz w:val="22"/>
          <w:szCs w:val="22"/>
        </w:rPr>
        <w:t>.</w:t>
      </w:r>
    </w:p>
    <w:p w14:paraId="04965A4E" w14:textId="77777777" w:rsidR="002E713E" w:rsidRPr="002E713E" w:rsidRDefault="002E713E" w:rsidP="002E713E">
      <w:pPr>
        <w:ind w:left="1440"/>
        <w:rPr>
          <w:rFonts w:ascii="ITC Avant Garde" w:eastAsiaTheme="minorEastAsia" w:hAnsi="ITC Avant Garde"/>
          <w:sz w:val="22"/>
          <w:szCs w:val="22"/>
        </w:rPr>
      </w:pPr>
    </w:p>
    <w:p w14:paraId="0E1BD2FB" w14:textId="09C8E170" w:rsidR="002E713E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D82E1A">
        <w:rPr>
          <w:rFonts w:ascii="ITC Avant Garde" w:hAnsi="ITC Avant Garde"/>
          <w:b/>
          <w:sz w:val="22"/>
          <w:szCs w:val="22"/>
        </w:rPr>
        <w:t>4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Pr="002E713E">
        <w:rPr>
          <w:rFonts w:ascii="ITC Avant Garde" w:eastAsiaTheme="minorEastAsia" w:hAnsi="ITC Avant Garde"/>
          <w:sz w:val="22"/>
          <w:szCs w:val="22"/>
        </w:rPr>
        <w:t>Avance de Grupos de Trabajo (Informativo)</w:t>
      </w:r>
    </w:p>
    <w:p w14:paraId="7A7D345D" w14:textId="77777777" w:rsidR="00586F77" w:rsidRDefault="00586F77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</w:p>
    <w:p w14:paraId="51C4FF91" w14:textId="095C3560" w:rsidR="002E713E" w:rsidRPr="002E713E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III. </w:t>
      </w:r>
      <w:r w:rsidR="00D82E1A">
        <w:rPr>
          <w:rFonts w:ascii="ITC Avant Garde" w:hAnsi="ITC Avant Garde"/>
          <w:b/>
          <w:sz w:val="22"/>
          <w:szCs w:val="22"/>
        </w:rPr>
        <w:t>5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eastAsiaTheme="minorEastAsia" w:hAnsi="ITC Avant Garde"/>
          <w:sz w:val="22"/>
          <w:szCs w:val="22"/>
        </w:rPr>
        <w:t>Varios</w:t>
      </w:r>
    </w:p>
    <w:p w14:paraId="0D8D4B73" w14:textId="1DAC3695" w:rsidR="002E713E" w:rsidRDefault="00D82E1A" w:rsidP="00D82E1A">
      <w:pPr>
        <w:ind w:left="1416"/>
        <w:rPr>
          <w:rFonts w:ascii="ITC Avant Garde" w:eastAsiaTheme="minorEastAsia" w:hAnsi="ITC Avant Garde"/>
          <w:sz w:val="22"/>
          <w:szCs w:val="22"/>
        </w:rPr>
      </w:pPr>
      <w:r w:rsidRPr="00D82E1A">
        <w:rPr>
          <w:rFonts w:ascii="ITC Avant Garde" w:eastAsiaTheme="minorEastAsia" w:hAnsi="ITC Avant Garde"/>
          <w:b/>
          <w:bCs/>
          <w:sz w:val="22"/>
          <w:szCs w:val="22"/>
        </w:rPr>
        <w:t>III.5.1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2E713E" w:rsidRPr="002E713E">
        <w:rPr>
          <w:rFonts w:ascii="ITC Avant Garde" w:eastAsiaTheme="minorEastAsia" w:hAnsi="ITC Avant Garde"/>
          <w:sz w:val="22"/>
          <w:szCs w:val="22"/>
        </w:rPr>
        <w:t>Presentación del Sumario de las sesiones del Pleno del IFT, por parte de la Secretaria del Consejo Consultivo</w:t>
      </w:r>
      <w:r w:rsidR="00630125">
        <w:rPr>
          <w:rFonts w:ascii="ITC Avant Garde" w:eastAsiaTheme="minorEastAsia" w:hAnsi="ITC Avant Garde"/>
          <w:sz w:val="22"/>
          <w:szCs w:val="22"/>
        </w:rPr>
        <w:t>.</w:t>
      </w:r>
      <w:r w:rsidR="002E713E">
        <w:rPr>
          <w:rStyle w:val="Refdenotaalpie"/>
          <w:rFonts w:ascii="ITC Avant Garde" w:eastAsiaTheme="minorEastAsia" w:hAnsi="ITC Avant Garde"/>
          <w:sz w:val="22"/>
          <w:szCs w:val="22"/>
        </w:rPr>
        <w:footnoteReference w:id="2"/>
      </w:r>
    </w:p>
    <w:p w14:paraId="03BF37F4" w14:textId="21C1AA3A" w:rsidR="00D82E1A" w:rsidRPr="002E713E" w:rsidRDefault="00D82E1A" w:rsidP="00D82E1A">
      <w:pPr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III.5.2 </w:t>
      </w:r>
      <w:r w:rsidRPr="00D82E1A">
        <w:rPr>
          <w:rFonts w:ascii="ITC Avant Garde" w:eastAsiaTheme="minorEastAsia" w:hAnsi="ITC Avant Garde"/>
          <w:sz w:val="22"/>
          <w:szCs w:val="22"/>
        </w:rPr>
        <w:t>Puntos relevantes de los comentarios del IDET Ley Federal de derechos por uso del espectro</w:t>
      </w:r>
      <w:r w:rsidR="00630125">
        <w:rPr>
          <w:rFonts w:ascii="ITC Avant Garde" w:eastAsiaTheme="minorEastAsia" w:hAnsi="ITC Avant Garde"/>
          <w:sz w:val="22"/>
          <w:szCs w:val="22"/>
        </w:rPr>
        <w:t>.</w:t>
      </w:r>
    </w:p>
    <w:p w14:paraId="7BE8AC08" w14:textId="77777777" w:rsidR="002E713E" w:rsidRPr="00D82E1A" w:rsidRDefault="002E713E" w:rsidP="00D82E1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223EB9" w14:textId="0650501D" w:rsidR="000952AD" w:rsidRDefault="000952AD" w:rsidP="000952A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  <w:r w:rsidRPr="00212931">
        <w:rPr>
          <w:rFonts w:ascii="ITC Avant Garde" w:hAnsi="ITC Avant Garde"/>
          <w:b/>
          <w:sz w:val="22"/>
          <w:szCs w:val="22"/>
        </w:rPr>
        <w:t xml:space="preserve"> </w:t>
      </w:r>
    </w:p>
    <w:p w14:paraId="67CD1479" w14:textId="77777777" w:rsidR="000952AD" w:rsidRPr="00D82E1A" w:rsidRDefault="000952AD" w:rsidP="00D82E1A">
      <w:pPr>
        <w:spacing w:after="0"/>
        <w:rPr>
          <w:rFonts w:ascii="ITC Avant Garde" w:hAnsi="ITC Avant Garde"/>
          <w:b/>
          <w:sz w:val="22"/>
          <w:szCs w:val="22"/>
        </w:rPr>
      </w:pPr>
    </w:p>
    <w:p w14:paraId="41975AEC" w14:textId="77777777" w:rsidR="000952AD" w:rsidRPr="002F399F" w:rsidRDefault="000952AD" w:rsidP="000952AD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6687D7F7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1E32E34E" w14:textId="77777777" w:rsidR="000952AD" w:rsidRPr="006651C3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p w14:paraId="72DBCED8" w14:textId="77777777" w:rsidR="00731508" w:rsidRDefault="00731508"/>
    <w:sectPr w:rsidR="00731508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637C" w14:textId="77777777" w:rsidR="00D36A0B" w:rsidRDefault="00D36A0B" w:rsidP="0068060B">
      <w:pPr>
        <w:spacing w:after="0" w:line="240" w:lineRule="auto"/>
      </w:pPr>
      <w:r>
        <w:separator/>
      </w:r>
    </w:p>
  </w:endnote>
  <w:endnote w:type="continuationSeparator" w:id="0">
    <w:p w14:paraId="64965B75" w14:textId="77777777" w:rsidR="00D36A0B" w:rsidRDefault="00D36A0B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0CEA" w14:textId="77777777" w:rsidR="00D36A0B" w:rsidRDefault="00D36A0B" w:rsidP="0068060B">
      <w:pPr>
        <w:spacing w:after="0" w:line="240" w:lineRule="auto"/>
      </w:pPr>
      <w:r>
        <w:separator/>
      </w:r>
    </w:p>
  </w:footnote>
  <w:footnote w:type="continuationSeparator" w:id="0">
    <w:p w14:paraId="36D89D31" w14:textId="77777777" w:rsidR="00D36A0B" w:rsidRDefault="00D36A0B" w:rsidP="0068060B">
      <w:pPr>
        <w:spacing w:after="0" w:line="240" w:lineRule="auto"/>
      </w:pPr>
      <w:r>
        <w:continuationSeparator/>
      </w:r>
    </w:p>
  </w:footnote>
  <w:footnote w:id="1">
    <w:p w14:paraId="47404E0E" w14:textId="05F7129D" w:rsidR="002E713E" w:rsidRPr="00630125" w:rsidRDefault="002E713E">
      <w:pPr>
        <w:pStyle w:val="Textonotapie"/>
        <w:rPr>
          <w:sz w:val="12"/>
          <w:szCs w:val="12"/>
        </w:rPr>
      </w:pPr>
      <w:r w:rsidRPr="00630125">
        <w:rPr>
          <w:rStyle w:val="Refdenotaalpie"/>
          <w:sz w:val="16"/>
          <w:szCs w:val="16"/>
        </w:rPr>
        <w:footnoteRef/>
      </w:r>
      <w:r w:rsidRPr="00630125">
        <w:rPr>
          <w:sz w:val="16"/>
          <w:szCs w:val="16"/>
        </w:rPr>
        <w:t xml:space="preserve"> </w:t>
      </w:r>
      <w:r w:rsidRPr="00630125">
        <w:rPr>
          <w:rFonts w:ascii="ITC Avant Garde" w:eastAsiaTheme="minorEastAsia" w:hAnsi="ITC Avant Garde"/>
          <w:sz w:val="14"/>
          <w:szCs w:val="14"/>
        </w:rPr>
        <w:t>Pendiente sesión anterior, III.4.3</w:t>
      </w:r>
    </w:p>
  </w:footnote>
  <w:footnote w:id="2">
    <w:p w14:paraId="77ECFDC1" w14:textId="7D472D1A" w:rsidR="002E713E" w:rsidRDefault="002E713E">
      <w:pPr>
        <w:pStyle w:val="Textonotapie"/>
      </w:pPr>
      <w:r w:rsidRPr="00630125">
        <w:rPr>
          <w:rStyle w:val="Refdenotaalpie"/>
          <w:sz w:val="12"/>
          <w:szCs w:val="12"/>
        </w:rPr>
        <w:footnoteRef/>
      </w:r>
      <w:r w:rsidRPr="00630125">
        <w:rPr>
          <w:sz w:val="12"/>
          <w:szCs w:val="12"/>
        </w:rPr>
        <w:t xml:space="preserve"> </w:t>
      </w:r>
      <w:r w:rsidRPr="00630125">
        <w:rPr>
          <w:rFonts w:ascii="ITC Avant Garde" w:eastAsiaTheme="minorEastAsia" w:hAnsi="ITC Avant Garde"/>
          <w:sz w:val="14"/>
          <w:szCs w:val="14"/>
        </w:rPr>
        <w:t>Pendiente sesión anterior</w:t>
      </w:r>
      <w:r w:rsidR="00D82E1A" w:rsidRPr="00630125">
        <w:rPr>
          <w:rFonts w:ascii="ITC Avant Garde" w:eastAsiaTheme="minorEastAsia" w:hAnsi="ITC Avant Garde"/>
          <w:sz w:val="14"/>
          <w:szCs w:val="14"/>
        </w:rPr>
        <w:t>, IV.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204E" w14:textId="77777777" w:rsidR="0068060B" w:rsidRDefault="00D36A0B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1EE0" w14:textId="77777777" w:rsidR="0068060B" w:rsidRDefault="00D36A0B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40B8" w14:textId="77777777" w:rsidR="00A77687" w:rsidRDefault="00D36A0B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BCE87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4E5A74"/>
    <w:multiLevelType w:val="multilevel"/>
    <w:tmpl w:val="9BB4E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4036C"/>
    <w:rsid w:val="000952AD"/>
    <w:rsid w:val="000B3CB5"/>
    <w:rsid w:val="001B4153"/>
    <w:rsid w:val="001C0064"/>
    <w:rsid w:val="002E713E"/>
    <w:rsid w:val="003352B8"/>
    <w:rsid w:val="003C06D0"/>
    <w:rsid w:val="003C4ECE"/>
    <w:rsid w:val="003D6975"/>
    <w:rsid w:val="00586F77"/>
    <w:rsid w:val="00607E52"/>
    <w:rsid w:val="00630125"/>
    <w:rsid w:val="0068060B"/>
    <w:rsid w:val="006F16DA"/>
    <w:rsid w:val="00731508"/>
    <w:rsid w:val="007439C6"/>
    <w:rsid w:val="00764AA8"/>
    <w:rsid w:val="00773D6D"/>
    <w:rsid w:val="00837128"/>
    <w:rsid w:val="00955049"/>
    <w:rsid w:val="00961826"/>
    <w:rsid w:val="00972B09"/>
    <w:rsid w:val="00A52FE7"/>
    <w:rsid w:val="00A547B6"/>
    <w:rsid w:val="00A77687"/>
    <w:rsid w:val="00CB2648"/>
    <w:rsid w:val="00CC404F"/>
    <w:rsid w:val="00D12495"/>
    <w:rsid w:val="00D36A0B"/>
    <w:rsid w:val="00D82E1A"/>
    <w:rsid w:val="00E02FCE"/>
    <w:rsid w:val="00E251CF"/>
    <w:rsid w:val="00E33812"/>
    <w:rsid w:val="00ED2477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3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13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13E"/>
  </w:style>
  <w:style w:type="character" w:styleId="Refdenotaalpie">
    <w:name w:val="footnote reference"/>
    <w:basedOn w:val="Fuentedeprrafopredeter"/>
    <w:uiPriority w:val="99"/>
    <w:semiHidden/>
    <w:unhideWhenUsed/>
    <w:rsid w:val="002E7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05E5-7253-47B5-A05A-DA4EBFDD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Isabel Reza</cp:lastModifiedBy>
  <cp:revision>2</cp:revision>
  <dcterms:created xsi:type="dcterms:W3CDTF">2021-10-04T19:47:00Z</dcterms:created>
  <dcterms:modified xsi:type="dcterms:W3CDTF">2021-10-04T19:47:00Z</dcterms:modified>
</cp:coreProperties>
</file>