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B184E" w14:textId="77777777" w:rsidR="00731508" w:rsidRDefault="00731508" w:rsidP="004E4D2B">
      <w:pPr>
        <w:spacing w:line="276" w:lineRule="auto"/>
      </w:pPr>
    </w:p>
    <w:p w14:paraId="1D905B47" w14:textId="77777777" w:rsidR="00570FB3" w:rsidRPr="002452FA" w:rsidRDefault="00570FB3" w:rsidP="000A6AD3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>
        <w:rPr>
          <w:rFonts w:ascii="ITC Avant Garde" w:hAnsi="ITC Avant Garde"/>
          <w:sz w:val="22"/>
          <w:szCs w:val="22"/>
        </w:rPr>
        <w:t>a 6 de jul</w:t>
      </w:r>
      <w:r w:rsidRPr="002452FA">
        <w:rPr>
          <w:rFonts w:ascii="ITC Avant Garde" w:hAnsi="ITC Avant Garde"/>
          <w:sz w:val="22"/>
          <w:szCs w:val="22"/>
        </w:rPr>
        <w:t>io de 2020</w:t>
      </w:r>
      <w:r>
        <w:rPr>
          <w:rFonts w:ascii="ITC Avant Garde" w:hAnsi="ITC Avant Garde"/>
          <w:sz w:val="22"/>
          <w:szCs w:val="22"/>
        </w:rPr>
        <w:t>.</w:t>
      </w:r>
    </w:p>
    <w:p w14:paraId="460A7ED8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14:paraId="1BB10C52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7232762F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4ECE575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 w:rsidR="006651C3"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="00CA1065" w:rsidRPr="00570FB3">
        <w:rPr>
          <w:rFonts w:ascii="ITC Avant Garde" w:hAnsi="ITC Avant Garde"/>
          <w:b/>
          <w:sz w:val="22"/>
          <w:szCs w:val="22"/>
        </w:rPr>
        <w:t>I</w:t>
      </w:r>
      <w:r w:rsidRPr="00570FB3">
        <w:rPr>
          <w:rFonts w:ascii="ITC Avant Garde" w:hAnsi="ITC Avant Garde"/>
          <w:b/>
          <w:sz w:val="22"/>
          <w:szCs w:val="22"/>
        </w:rPr>
        <w:t>I Sesión Ordinaria a</w:t>
      </w:r>
      <w:r w:rsidR="00466ACD" w:rsidRPr="00570FB3">
        <w:rPr>
          <w:rFonts w:ascii="ITC Avant Garde" w:hAnsi="ITC Avant Garde"/>
          <w:b/>
          <w:sz w:val="22"/>
          <w:szCs w:val="22"/>
        </w:rPr>
        <w:t xml:space="preserve"> celebrarse el próximo jueves 9 de jul</w:t>
      </w:r>
      <w:r w:rsidRPr="00570FB3">
        <w:rPr>
          <w:rFonts w:ascii="ITC Avant Garde" w:hAnsi="ITC Avant Garde"/>
          <w:b/>
          <w:sz w:val="22"/>
          <w:szCs w:val="22"/>
        </w:rPr>
        <w:t>io de 2020, a las 15:00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 w:rsidR="006651C3">
        <w:rPr>
          <w:rFonts w:ascii="ITC Avant Garde" w:hAnsi="ITC Avant Garde"/>
          <w:sz w:val="22"/>
          <w:szCs w:val="22"/>
        </w:rPr>
        <w:t xml:space="preserve">y que se realizará </w:t>
      </w:r>
      <w:r w:rsidR="00E94764">
        <w:rPr>
          <w:rFonts w:ascii="ITC Avant Garde" w:hAnsi="ITC Avant Garde"/>
          <w:sz w:val="22"/>
          <w:szCs w:val="22"/>
        </w:rPr>
        <w:t>a través de medios electrónicos de comunicación a distancia.</w:t>
      </w:r>
    </w:p>
    <w:p w14:paraId="5F2B810F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23030833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Dicha sesión se llevará a cabo bajo el siguiente Orden del Día, a ser aprobado por los Consejeros:</w:t>
      </w:r>
    </w:p>
    <w:p w14:paraId="465E47A5" w14:textId="77777777" w:rsidR="004E4D2B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  <w:bookmarkStart w:id="0" w:name="_GoBack"/>
      <w:bookmarkEnd w:id="0"/>
    </w:p>
    <w:p w14:paraId="29EF6AD8" w14:textId="77777777" w:rsidR="000A6AD3" w:rsidRPr="004B395A" w:rsidRDefault="000A6AD3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0E2BB81" w14:textId="77777777" w:rsidR="004E4D2B" w:rsidRDefault="004E4D2B" w:rsidP="000A6AD3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7540384D" w14:textId="77777777" w:rsidR="004E4D2B" w:rsidRDefault="004E4D2B" w:rsidP="000A6AD3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</w:p>
    <w:p w14:paraId="3BBCC627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540A9A76" w14:textId="77777777" w:rsidR="004E4D2B" w:rsidRPr="004B395A" w:rsidRDefault="004E4D2B" w:rsidP="000A6AD3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14:paraId="35D487F8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35710C89" w14:textId="77777777" w:rsidR="004E4D2B" w:rsidRPr="004B395A" w:rsidRDefault="004E4D2B" w:rsidP="000A6AD3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14:paraId="4CFABCA2" w14:textId="77777777" w:rsidR="004E4D2B" w:rsidRPr="004B395A" w:rsidRDefault="004E4D2B" w:rsidP="000A6AD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4A237D06" w14:textId="77777777" w:rsidR="004E4D2B" w:rsidRDefault="004E4D2B" w:rsidP="000A6AD3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14:paraId="4E8037C7" w14:textId="77777777" w:rsidR="004E4D2B" w:rsidRPr="004B395A" w:rsidRDefault="004E4D2B" w:rsidP="000A6AD3">
      <w:pPr>
        <w:pStyle w:val="Prrafodelista"/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27E8BD03" w14:textId="77777777" w:rsidR="00474B48" w:rsidRPr="00474B48" w:rsidRDefault="00474B48" w:rsidP="000A6AD3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sz w:val="22"/>
          <w:szCs w:val="22"/>
        </w:rPr>
        <w:t>III.1</w:t>
      </w:r>
      <w:r>
        <w:rPr>
          <w:rFonts w:ascii="ITC Avant Garde" w:eastAsiaTheme="minorEastAsia" w:hAnsi="ITC Avant Garde"/>
          <w:sz w:val="22"/>
          <w:szCs w:val="22"/>
        </w:rPr>
        <w:tab/>
      </w:r>
      <w:r>
        <w:rPr>
          <w:rFonts w:ascii="ITC Avant Garde" w:eastAsiaTheme="minorEastAsia" w:hAnsi="ITC Avant Garde"/>
          <w:sz w:val="22"/>
          <w:szCs w:val="22"/>
        </w:rPr>
        <w:tab/>
      </w:r>
      <w:r w:rsidR="00466ACD" w:rsidRPr="00474B48">
        <w:rPr>
          <w:rFonts w:ascii="ITC Avant Garde" w:eastAsiaTheme="minorEastAsia" w:hAnsi="ITC Avant Garde"/>
          <w:sz w:val="22"/>
          <w:szCs w:val="22"/>
        </w:rPr>
        <w:t>Aprobación del Acta de la I Sesión Ordinaria del V Cons</w:t>
      </w:r>
      <w:r>
        <w:rPr>
          <w:rFonts w:ascii="ITC Avant Garde" w:eastAsiaTheme="minorEastAsia" w:hAnsi="ITC Avant Garde"/>
          <w:sz w:val="22"/>
          <w:szCs w:val="22"/>
        </w:rPr>
        <w:t xml:space="preserve">ejo Consultivo, celebrada el 11 </w:t>
      </w:r>
      <w:r w:rsidR="00466ACD" w:rsidRPr="00474B48">
        <w:rPr>
          <w:rFonts w:ascii="ITC Avant Garde" w:eastAsiaTheme="minorEastAsia" w:hAnsi="ITC Avant Garde"/>
          <w:sz w:val="22"/>
          <w:szCs w:val="22"/>
        </w:rPr>
        <w:t>de junio de 2020.</w:t>
      </w:r>
    </w:p>
    <w:p w14:paraId="26A7EF43" w14:textId="77777777" w:rsidR="00466ACD" w:rsidRDefault="00466ACD" w:rsidP="000A6AD3">
      <w:pPr>
        <w:tabs>
          <w:tab w:val="left" w:pos="567"/>
        </w:tabs>
        <w:spacing w:after="100" w:afterAutospacing="1" w:line="276" w:lineRule="auto"/>
        <w:ind w:left="567" w:hanging="425"/>
        <w:rPr>
          <w:rFonts w:ascii="ITC Avant Garde" w:hAnsi="ITC Avant Garde"/>
          <w:sz w:val="22"/>
          <w:szCs w:val="22"/>
        </w:rPr>
      </w:pPr>
      <w:r w:rsidRPr="00474B48">
        <w:rPr>
          <w:rFonts w:ascii="ITC Avant Garde" w:eastAsiaTheme="minorEastAsia" w:hAnsi="ITC Avant Garde"/>
          <w:sz w:val="22"/>
          <w:szCs w:val="22"/>
        </w:rPr>
        <w:t xml:space="preserve">III.2 </w:t>
      </w:r>
      <w:r w:rsidR="00474B48">
        <w:rPr>
          <w:rFonts w:ascii="ITC Avant Garde" w:eastAsiaTheme="minorEastAsia" w:hAnsi="ITC Avant Garde"/>
          <w:sz w:val="22"/>
          <w:szCs w:val="22"/>
        </w:rPr>
        <w:tab/>
      </w:r>
      <w:r w:rsidR="00474B48">
        <w:rPr>
          <w:rFonts w:ascii="ITC Avant Garde" w:eastAsiaTheme="minorEastAsia" w:hAnsi="ITC Avant Garde"/>
          <w:sz w:val="22"/>
          <w:szCs w:val="22"/>
        </w:rPr>
        <w:tab/>
      </w:r>
      <w:r w:rsidRPr="00474B48">
        <w:rPr>
          <w:rFonts w:ascii="ITC Avant Garde" w:eastAsiaTheme="minorEastAsia" w:hAnsi="ITC Avant Garde"/>
          <w:sz w:val="22"/>
          <w:szCs w:val="22"/>
        </w:rPr>
        <w:t>Plan Anual de Trabajo 2020-2021</w:t>
      </w:r>
      <w:r w:rsidR="001113A5" w:rsidRPr="00474B48">
        <w:rPr>
          <w:rFonts w:ascii="ITC Avant Garde" w:eastAsiaTheme="minorEastAsia" w:hAnsi="ITC Avant Garde"/>
          <w:sz w:val="22"/>
          <w:szCs w:val="22"/>
        </w:rPr>
        <w:t>.</w:t>
      </w:r>
    </w:p>
    <w:p w14:paraId="1392A8A5" w14:textId="77777777" w:rsidR="00142C79" w:rsidRPr="00474B48" w:rsidRDefault="006F7E03" w:rsidP="000A6AD3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  <w:r w:rsidRPr="00474B48">
        <w:rPr>
          <w:rFonts w:ascii="ITC Avant Garde" w:eastAsiaTheme="minorEastAsia" w:hAnsi="ITC Avant Garde"/>
          <w:sz w:val="22"/>
          <w:szCs w:val="22"/>
        </w:rPr>
        <w:t xml:space="preserve">III.3 </w:t>
      </w:r>
      <w:r w:rsidR="00474B48">
        <w:rPr>
          <w:rFonts w:ascii="ITC Avant Garde" w:eastAsiaTheme="minorEastAsia" w:hAnsi="ITC Avant Garde"/>
          <w:sz w:val="22"/>
          <w:szCs w:val="22"/>
        </w:rPr>
        <w:tab/>
      </w:r>
      <w:r w:rsidR="00474B48">
        <w:rPr>
          <w:rFonts w:ascii="ITC Avant Garde" w:eastAsiaTheme="minorEastAsia" w:hAnsi="ITC Avant Garde"/>
          <w:sz w:val="22"/>
          <w:szCs w:val="22"/>
        </w:rPr>
        <w:tab/>
      </w:r>
      <w:r w:rsidR="00873543">
        <w:rPr>
          <w:rFonts w:ascii="ITC Avant Garde" w:hAnsi="ITC Avant Garde"/>
          <w:sz w:val="22"/>
          <w:szCs w:val="22"/>
        </w:rPr>
        <w:t>Recomendación que emite el Consejo Consultivo del Instituto Federal de Telecomunicaciones respecto de la flexibilidad Regulatoria para las Comunicaciones de Emergencia.</w:t>
      </w:r>
    </w:p>
    <w:p w14:paraId="7C5C8A78" w14:textId="1D4B1C54" w:rsidR="00873543" w:rsidRDefault="006F7E03" w:rsidP="000A6AD3">
      <w:pPr>
        <w:spacing w:before="240" w:after="100" w:afterAutospacing="1" w:line="276" w:lineRule="auto"/>
        <w:ind w:left="709" w:hanging="567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III.4 </w:t>
      </w:r>
      <w:r w:rsidR="00B44169">
        <w:rPr>
          <w:rFonts w:ascii="ITC Avant Garde" w:hAnsi="ITC Avant Garde"/>
          <w:sz w:val="22"/>
          <w:szCs w:val="22"/>
        </w:rPr>
        <w:tab/>
      </w:r>
      <w:r w:rsidR="00873543">
        <w:rPr>
          <w:rFonts w:ascii="ITC Avant Garde" w:hAnsi="ITC Avant Garde"/>
          <w:sz w:val="22"/>
          <w:szCs w:val="22"/>
        </w:rPr>
        <w:t>Recomendación que emite el Consejo Consultivo del Instituto Federal de Telecomunicaciones respecto de</w:t>
      </w:r>
      <w:r w:rsidR="00FE707A">
        <w:rPr>
          <w:rFonts w:ascii="ITC Avant Garde" w:hAnsi="ITC Avant Garde"/>
          <w:sz w:val="22"/>
          <w:szCs w:val="22"/>
        </w:rPr>
        <w:t>l</w:t>
      </w:r>
      <w:r w:rsidR="00873543">
        <w:rPr>
          <w:rFonts w:ascii="ITC Avant Garde" w:hAnsi="ITC Avant Garde"/>
          <w:sz w:val="22"/>
          <w:szCs w:val="22"/>
        </w:rPr>
        <w:t xml:space="preserve"> </w:t>
      </w:r>
      <w:r w:rsidR="00FE707A">
        <w:rPr>
          <w:rFonts w:ascii="ITC Avant Garde" w:hAnsi="ITC Avant Garde"/>
          <w:sz w:val="22"/>
          <w:szCs w:val="22"/>
        </w:rPr>
        <w:t>Acceso Universal a la Radiodifusión S</w:t>
      </w:r>
      <w:r w:rsidR="00FE707A" w:rsidRPr="00FE707A">
        <w:rPr>
          <w:rFonts w:ascii="ITC Avant Garde" w:hAnsi="ITC Avant Garde"/>
          <w:sz w:val="22"/>
          <w:szCs w:val="22"/>
        </w:rPr>
        <w:t>onora para mitigar el impacto n</w:t>
      </w:r>
      <w:r w:rsidR="00FE707A">
        <w:rPr>
          <w:rFonts w:ascii="ITC Avant Garde" w:hAnsi="ITC Avant Garde"/>
          <w:sz w:val="22"/>
          <w:szCs w:val="22"/>
        </w:rPr>
        <w:t>egativo de la pandemia por la CO</w:t>
      </w:r>
      <w:r w:rsidR="00FE707A" w:rsidRPr="00FE707A">
        <w:rPr>
          <w:rFonts w:ascii="ITC Avant Garde" w:hAnsi="ITC Avant Garde"/>
          <w:sz w:val="22"/>
          <w:szCs w:val="22"/>
        </w:rPr>
        <w:t>ViD-19 en la educación y el desarrollo socioeconómico</w:t>
      </w:r>
      <w:r w:rsidR="00FE707A">
        <w:rPr>
          <w:rFonts w:ascii="ITC Avant Garde" w:hAnsi="ITC Avant Garde"/>
          <w:sz w:val="22"/>
          <w:szCs w:val="22"/>
        </w:rPr>
        <w:t>.</w:t>
      </w:r>
      <w:r w:rsidR="00A027F2" w:rsidRPr="00A027F2">
        <w:rPr>
          <w:rFonts w:ascii="ITC Avant Garde" w:hAnsi="ITC Avant Garde"/>
          <w:b/>
          <w:noProof/>
          <w:sz w:val="22"/>
          <w:szCs w:val="22"/>
          <w:lang w:eastAsia="es-MX"/>
        </w:rPr>
        <w:t xml:space="preserve"> </w:t>
      </w:r>
    </w:p>
    <w:p w14:paraId="593A11D3" w14:textId="38143DA0" w:rsidR="00212931" w:rsidRDefault="00212931" w:rsidP="00A027F2">
      <w:pPr>
        <w:spacing w:after="0"/>
        <w:rPr>
          <w:rFonts w:ascii="ITC Avant Garde" w:hAnsi="ITC Avant Garde"/>
          <w:b/>
          <w:sz w:val="22"/>
          <w:szCs w:val="22"/>
        </w:rPr>
      </w:pPr>
    </w:p>
    <w:p w14:paraId="2F27B0DD" w14:textId="4A525E60" w:rsidR="00212931" w:rsidRDefault="00212931" w:rsidP="00212931">
      <w:pPr>
        <w:spacing w:after="0"/>
        <w:jc w:val="right"/>
        <w:rPr>
          <w:rFonts w:ascii="ITC Avant Garde" w:hAnsi="ITC Avant Garde"/>
          <w:b/>
          <w:sz w:val="22"/>
          <w:szCs w:val="22"/>
        </w:rPr>
      </w:pPr>
    </w:p>
    <w:p w14:paraId="54FB663C" w14:textId="710D1F33" w:rsidR="00A027F2" w:rsidRDefault="00A027F2" w:rsidP="00212931">
      <w:pPr>
        <w:spacing w:after="0"/>
        <w:jc w:val="right"/>
        <w:rPr>
          <w:rFonts w:ascii="ITC Avant Garde" w:hAnsi="ITC Avant Garde"/>
          <w:b/>
          <w:sz w:val="22"/>
          <w:szCs w:val="22"/>
        </w:rPr>
      </w:pPr>
    </w:p>
    <w:p w14:paraId="1F72CA36" w14:textId="77777777" w:rsidR="00A027F2" w:rsidRDefault="00A027F2" w:rsidP="00212931">
      <w:pPr>
        <w:spacing w:after="0"/>
        <w:jc w:val="right"/>
        <w:rPr>
          <w:rFonts w:ascii="ITC Avant Garde" w:hAnsi="ITC Avant Garde"/>
          <w:b/>
          <w:sz w:val="22"/>
          <w:szCs w:val="22"/>
        </w:rPr>
      </w:pPr>
    </w:p>
    <w:p w14:paraId="6CA8D398" w14:textId="77777777" w:rsidR="00212931" w:rsidRPr="00FE707A" w:rsidRDefault="00212931" w:rsidP="00212931">
      <w:pPr>
        <w:spacing w:after="0"/>
        <w:jc w:val="right"/>
        <w:rPr>
          <w:rFonts w:ascii="ITC Avant Garde" w:hAnsi="ITC Avant Garde"/>
          <w:b/>
          <w:sz w:val="22"/>
          <w:szCs w:val="22"/>
        </w:rPr>
      </w:pPr>
    </w:p>
    <w:p w14:paraId="31CD0666" w14:textId="7E8975F6" w:rsidR="004E4D2B" w:rsidRPr="000A6AD3" w:rsidRDefault="004E4D2B" w:rsidP="004E4D2B">
      <w:pPr>
        <w:pStyle w:val="Prrafodelista"/>
        <w:numPr>
          <w:ilvl w:val="0"/>
          <w:numId w:val="12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  <w:r w:rsidRPr="004B395A">
        <w:rPr>
          <w:rFonts w:ascii="ITC Avant Garde" w:hAnsi="ITC Avant Garde"/>
          <w:b/>
          <w:sz w:val="22"/>
          <w:szCs w:val="22"/>
        </w:rPr>
        <w:t>.</w:t>
      </w:r>
      <w:r w:rsidR="00212931" w:rsidRPr="00212931">
        <w:rPr>
          <w:rFonts w:ascii="ITC Avant Garde" w:hAnsi="ITC Avant Garde"/>
          <w:b/>
          <w:sz w:val="22"/>
          <w:szCs w:val="22"/>
        </w:rPr>
        <w:t xml:space="preserve"> </w:t>
      </w:r>
    </w:p>
    <w:p w14:paraId="217B46A1" w14:textId="2501FE6A" w:rsidR="004E4D2B" w:rsidRDefault="000A6AD3" w:rsidP="000A6AD3">
      <w:pPr>
        <w:spacing w:before="240" w:after="100" w:afterAutospacing="1" w:line="276" w:lineRule="auto"/>
        <w:ind w:left="709" w:hanging="567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IV.1 </w:t>
      </w:r>
      <w:r w:rsidR="00714E6C">
        <w:rPr>
          <w:rFonts w:ascii="ITC Avant Garde" w:hAnsi="ITC Avant Garde"/>
          <w:sz w:val="22"/>
          <w:szCs w:val="22"/>
        </w:rPr>
        <w:tab/>
        <w:t>P</w:t>
      </w:r>
      <w:r w:rsidR="00B44169">
        <w:rPr>
          <w:rFonts w:ascii="ITC Avant Garde" w:hAnsi="ITC Avant Garde"/>
          <w:sz w:val="22"/>
          <w:szCs w:val="22"/>
        </w:rPr>
        <w:t>resentación del p</w:t>
      </w:r>
      <w:r w:rsidR="00714E6C">
        <w:rPr>
          <w:rFonts w:ascii="ITC Avant Garde" w:hAnsi="ITC Avant Garde"/>
          <w:sz w:val="22"/>
          <w:szCs w:val="22"/>
        </w:rPr>
        <w:t xml:space="preserve">royecto de investigación sobre la Brecha Digital en México (colaboración y coautoría del Dr. Enrique </w:t>
      </w:r>
      <w:proofErr w:type="spellStart"/>
      <w:r w:rsidR="00714E6C">
        <w:rPr>
          <w:rFonts w:ascii="ITC Avant Garde" w:hAnsi="ITC Avant Garde"/>
          <w:sz w:val="22"/>
          <w:szCs w:val="22"/>
        </w:rPr>
        <w:t>Seira</w:t>
      </w:r>
      <w:proofErr w:type="spellEnd"/>
      <w:r w:rsidR="00714E6C">
        <w:rPr>
          <w:rFonts w:ascii="ITC Avant Garde" w:hAnsi="ITC Avant Garde"/>
          <w:sz w:val="22"/>
          <w:szCs w:val="22"/>
        </w:rPr>
        <w:t xml:space="preserve"> Bejarano, Director del Centro de I</w:t>
      </w:r>
      <w:r w:rsidR="00E22FC6">
        <w:rPr>
          <w:rFonts w:ascii="ITC Avant Garde" w:hAnsi="ITC Avant Garde"/>
          <w:sz w:val="22"/>
          <w:szCs w:val="22"/>
        </w:rPr>
        <w:t>nvestigación Económica del ITAM, con académicos de las Universidades de Stanford y Nueva York)</w:t>
      </w:r>
      <w:r w:rsidR="004351AA">
        <w:rPr>
          <w:rFonts w:ascii="ITC Avant Garde" w:hAnsi="ITC Avant Garde"/>
          <w:sz w:val="22"/>
          <w:szCs w:val="22"/>
        </w:rPr>
        <w:t>.</w:t>
      </w:r>
    </w:p>
    <w:p w14:paraId="11516496" w14:textId="0F3E1325" w:rsidR="00E22FC6" w:rsidRPr="004B395A" w:rsidRDefault="00E22FC6" w:rsidP="000A6AD3">
      <w:pPr>
        <w:spacing w:before="240" w:after="100" w:afterAutospacing="1" w:line="276" w:lineRule="auto"/>
        <w:ind w:left="709" w:hanging="567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IV.2</w:t>
      </w:r>
      <w:r>
        <w:rPr>
          <w:rFonts w:ascii="ITC Avant Garde" w:hAnsi="ITC Avant Garde"/>
          <w:sz w:val="22"/>
          <w:szCs w:val="22"/>
        </w:rPr>
        <w:tab/>
      </w:r>
      <w:r w:rsidR="004351AA" w:rsidRPr="004351AA">
        <w:rPr>
          <w:rFonts w:ascii="ITC Avant Garde" w:hAnsi="ITC Avant Garde"/>
          <w:sz w:val="22"/>
          <w:szCs w:val="22"/>
        </w:rPr>
        <w:t>Guía de escritura para Recomendaciones, artículos, definiciones y documentos de posicionamiento</w:t>
      </w:r>
      <w:r w:rsidR="004351AA">
        <w:rPr>
          <w:rFonts w:ascii="ITC Avant Garde" w:hAnsi="ITC Avant Garde"/>
          <w:sz w:val="22"/>
          <w:szCs w:val="22"/>
        </w:rPr>
        <w:t>.</w:t>
      </w:r>
    </w:p>
    <w:p w14:paraId="7A8C76A7" w14:textId="77777777" w:rsidR="004E4D2B" w:rsidRDefault="004E4D2B" w:rsidP="004E4D2B">
      <w:pPr>
        <w:spacing w:after="0" w:line="240" w:lineRule="auto"/>
        <w:rPr>
          <w:rFonts w:ascii="ITC Avant Garde" w:hAnsi="ITC Avant Garde"/>
          <w:sz w:val="22"/>
          <w:szCs w:val="22"/>
        </w:rPr>
      </w:pPr>
    </w:p>
    <w:p w14:paraId="79B0CC4A" w14:textId="77777777" w:rsidR="00E22FC6" w:rsidRDefault="00E22FC6" w:rsidP="004E4D2B">
      <w:pPr>
        <w:spacing w:after="0" w:line="240" w:lineRule="auto"/>
        <w:rPr>
          <w:rFonts w:ascii="ITC Avant Garde" w:hAnsi="ITC Avant Garde"/>
          <w:sz w:val="22"/>
          <w:szCs w:val="22"/>
        </w:rPr>
      </w:pPr>
    </w:p>
    <w:p w14:paraId="0E9A3B2E" w14:textId="77777777" w:rsidR="00E22FC6" w:rsidRDefault="00E22FC6" w:rsidP="004E4D2B">
      <w:pPr>
        <w:spacing w:after="0" w:line="240" w:lineRule="auto"/>
        <w:rPr>
          <w:rFonts w:ascii="ITC Avant Garde" w:hAnsi="ITC Avant Garde"/>
          <w:sz w:val="22"/>
          <w:szCs w:val="22"/>
        </w:rPr>
      </w:pPr>
    </w:p>
    <w:p w14:paraId="4DDD16C5" w14:textId="77777777" w:rsidR="00E22FC6" w:rsidRDefault="00E22FC6" w:rsidP="004E4D2B">
      <w:pPr>
        <w:spacing w:after="0" w:line="240" w:lineRule="auto"/>
        <w:rPr>
          <w:rFonts w:ascii="ITC Avant Garde" w:hAnsi="ITC Avant Garde"/>
          <w:sz w:val="22"/>
          <w:szCs w:val="22"/>
        </w:rPr>
      </w:pPr>
    </w:p>
    <w:p w14:paraId="35BF7336" w14:textId="77777777" w:rsidR="00E22FC6" w:rsidRDefault="00E22FC6" w:rsidP="004E4D2B">
      <w:pPr>
        <w:spacing w:after="0" w:line="240" w:lineRule="auto"/>
        <w:rPr>
          <w:rFonts w:ascii="ITC Avant Garde" w:hAnsi="ITC Avant Garde"/>
          <w:sz w:val="22"/>
          <w:szCs w:val="22"/>
        </w:rPr>
      </w:pPr>
    </w:p>
    <w:p w14:paraId="0CB3AAD3" w14:textId="77777777" w:rsidR="00E22FC6" w:rsidRPr="004B395A" w:rsidRDefault="00E22FC6" w:rsidP="004E4D2B">
      <w:pPr>
        <w:spacing w:after="0" w:line="240" w:lineRule="auto"/>
        <w:rPr>
          <w:rFonts w:ascii="ITC Avant Garde" w:hAnsi="ITC Avant Garde"/>
          <w:sz w:val="22"/>
          <w:szCs w:val="22"/>
        </w:rPr>
      </w:pPr>
    </w:p>
    <w:p w14:paraId="63AD09B6" w14:textId="77777777" w:rsidR="004E4D2B" w:rsidRDefault="004E4D2B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005A79A4" w14:textId="77777777" w:rsidR="004E4D2B" w:rsidRDefault="004E4D2B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29F938FC" w14:textId="77777777" w:rsidR="004E4D2B" w:rsidRPr="004B395A" w:rsidRDefault="004E4D2B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14:paraId="590BDC0F" w14:textId="77777777" w:rsidR="004E4D2B" w:rsidRDefault="004E4D2B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70622BC" w14:textId="77777777" w:rsidR="004E4D2B" w:rsidRDefault="004E4D2B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016F66BC" w14:textId="7E3D4854" w:rsidR="004E4D2B" w:rsidRDefault="004E4D2B" w:rsidP="00212931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29C4E502" w14:textId="77777777" w:rsidR="004E4D2B" w:rsidRPr="004B395A" w:rsidRDefault="004E4D2B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019245BD" w14:textId="77777777" w:rsidR="004E4D2B" w:rsidRPr="004B395A" w:rsidRDefault="004E4D2B" w:rsidP="004E4D2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Juan José Crispín Borbolla</w:t>
      </w:r>
    </w:p>
    <w:p w14:paraId="638A11A0" w14:textId="77777777" w:rsidR="004E4D2B" w:rsidRPr="006651C3" w:rsidRDefault="004E4D2B" w:rsidP="006651C3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</w:p>
    <w:sectPr w:rsidR="004E4D2B" w:rsidRPr="006651C3" w:rsidSect="00E22F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134" w:left="1134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D25F6" w14:textId="77777777" w:rsidR="00012AFA" w:rsidRDefault="00012AFA" w:rsidP="0068060B">
      <w:pPr>
        <w:spacing w:after="0" w:line="240" w:lineRule="auto"/>
      </w:pPr>
      <w:r>
        <w:separator/>
      </w:r>
    </w:p>
  </w:endnote>
  <w:endnote w:type="continuationSeparator" w:id="0">
    <w:p w14:paraId="3C050459" w14:textId="77777777" w:rsidR="00012AFA" w:rsidRDefault="00012AFA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Avant Garde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440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26A87B9D" w14:textId="2AB126B3" w:rsidR="00E22FC6" w:rsidRPr="00E22FC6" w:rsidRDefault="00E22FC6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9510B7" w:rsidRPr="009510B7">
          <w:rPr>
            <w:rFonts w:ascii="ITC Avant Garde" w:hAnsi="ITC Avant Garde"/>
            <w:noProof/>
            <w:sz w:val="16"/>
            <w:szCs w:val="16"/>
            <w:lang w:val="es-ES"/>
          </w:rPr>
          <w:t>2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289AFCB2" w14:textId="77777777" w:rsidR="00E22FC6" w:rsidRDefault="00E22F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9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4A7D6DBB" w14:textId="77777777" w:rsidR="00E22FC6" w:rsidRPr="00E22FC6" w:rsidRDefault="00E22FC6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48E76E35" w14:textId="77777777" w:rsidR="00E22FC6" w:rsidRDefault="00E22F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5BADB" w14:textId="77777777" w:rsidR="00012AFA" w:rsidRDefault="00012AFA" w:rsidP="0068060B">
      <w:pPr>
        <w:spacing w:after="0" w:line="240" w:lineRule="auto"/>
      </w:pPr>
      <w:r>
        <w:separator/>
      </w:r>
    </w:p>
  </w:footnote>
  <w:footnote w:type="continuationSeparator" w:id="0">
    <w:p w14:paraId="3CC9F0EC" w14:textId="77777777" w:rsidR="00012AFA" w:rsidRDefault="00012AFA" w:rsidP="006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43B0" w14:textId="1D534427" w:rsidR="0068060B" w:rsidRDefault="009510B7" w:rsidP="009510B7">
    <w:pPr>
      <w:pStyle w:val="Encabezado"/>
      <w:ind w:left="4419" w:hanging="4419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49" type="#_x0000_t75" style="position:absolute;left:0;text-align:left;margin-left:-56.85pt;margin-top:-84.3pt;width:609.6pt;height:793.9pt;z-index:-251658240;mso-position-horizontal-relative:margin;mso-position-vertical-relative:margin" o:allowincell="f">
          <v:imagedata r:id="rId1" o:title="V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7FBE" w14:textId="0F8E11D3" w:rsidR="004E4D2B" w:rsidRDefault="004E4D2B">
    <w:pPr>
      <w:pStyle w:val="Encabezado"/>
    </w:pPr>
  </w:p>
  <w:p w14:paraId="0EEB5712" w14:textId="77777777" w:rsidR="004E4D2B" w:rsidRDefault="004E4D2B">
    <w:pPr>
      <w:pStyle w:val="Encabezado"/>
    </w:pPr>
  </w:p>
  <w:p w14:paraId="7578061B" w14:textId="77777777" w:rsidR="0068060B" w:rsidRDefault="006806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0B"/>
    <w:rsid w:val="00012AFA"/>
    <w:rsid w:val="00053388"/>
    <w:rsid w:val="000A6AD3"/>
    <w:rsid w:val="000B3CB5"/>
    <w:rsid w:val="001113A5"/>
    <w:rsid w:val="00142C79"/>
    <w:rsid w:val="0014707D"/>
    <w:rsid w:val="001A67C7"/>
    <w:rsid w:val="00212931"/>
    <w:rsid w:val="003118BD"/>
    <w:rsid w:val="00385E2C"/>
    <w:rsid w:val="004351AA"/>
    <w:rsid w:val="00466ACD"/>
    <w:rsid w:val="00470FA8"/>
    <w:rsid w:val="00474B48"/>
    <w:rsid w:val="004E4D2B"/>
    <w:rsid w:val="005507C0"/>
    <w:rsid w:val="00570FB3"/>
    <w:rsid w:val="00607E52"/>
    <w:rsid w:val="006651C3"/>
    <w:rsid w:val="0068060B"/>
    <w:rsid w:val="006F16DA"/>
    <w:rsid w:val="006F7E03"/>
    <w:rsid w:val="00707E54"/>
    <w:rsid w:val="00714E6C"/>
    <w:rsid w:val="00731508"/>
    <w:rsid w:val="007439C6"/>
    <w:rsid w:val="00773D6D"/>
    <w:rsid w:val="007A1974"/>
    <w:rsid w:val="00821522"/>
    <w:rsid w:val="00863FDB"/>
    <w:rsid w:val="00873543"/>
    <w:rsid w:val="009510B7"/>
    <w:rsid w:val="00955049"/>
    <w:rsid w:val="00972B09"/>
    <w:rsid w:val="00A027F2"/>
    <w:rsid w:val="00A547B6"/>
    <w:rsid w:val="00B44169"/>
    <w:rsid w:val="00BC79CF"/>
    <w:rsid w:val="00C37A7D"/>
    <w:rsid w:val="00CA1065"/>
    <w:rsid w:val="00D14337"/>
    <w:rsid w:val="00E02FCE"/>
    <w:rsid w:val="00E22FC6"/>
    <w:rsid w:val="00E251CF"/>
    <w:rsid w:val="00E93DF6"/>
    <w:rsid w:val="00E94764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7FC02F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4E4D2B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441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4169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41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41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416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B5E3-1738-4039-93FF-4B8F47FC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Eunice Rosales Cruz</cp:lastModifiedBy>
  <cp:revision>5</cp:revision>
  <cp:lastPrinted>2020-07-06T19:27:00Z</cp:lastPrinted>
  <dcterms:created xsi:type="dcterms:W3CDTF">2020-07-06T22:08:00Z</dcterms:created>
  <dcterms:modified xsi:type="dcterms:W3CDTF">2020-07-06T22:14:00Z</dcterms:modified>
</cp:coreProperties>
</file>