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3B" w:rsidRDefault="004F2AF6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 xml:space="preserve">En la Ciudad de México, </w:t>
      </w:r>
      <w:bookmarkStart w:id="0" w:name="_GoBack"/>
      <w:bookmarkEnd w:id="0"/>
      <w:r w:rsidRPr="007D598D">
        <w:rPr>
          <w:rFonts w:eastAsia="Times New Roman"/>
          <w:sz w:val="24"/>
          <w:szCs w:val="24"/>
          <w:lang w:val="es-ES" w:eastAsia="es-ES"/>
        </w:rPr>
        <w:t xml:space="preserve">siendo las </w:t>
      </w:r>
      <w:r w:rsidR="003F27CC" w:rsidRPr="003F27CC">
        <w:rPr>
          <w:rFonts w:eastAsia="Times New Roman"/>
          <w:sz w:val="24"/>
          <w:szCs w:val="24"/>
          <w:lang w:val="es-ES" w:eastAsia="es-ES"/>
        </w:rPr>
        <w:t>15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horas con </w:t>
      </w:r>
      <w:r w:rsidR="003F27CC" w:rsidRPr="003F27CC">
        <w:rPr>
          <w:rFonts w:eastAsia="Times New Roman"/>
          <w:sz w:val="24"/>
          <w:szCs w:val="24"/>
          <w:lang w:val="es-ES" w:eastAsia="es-ES"/>
        </w:rPr>
        <w:t>33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minutos del </w:t>
      </w:r>
      <w:r w:rsidR="008233D6">
        <w:rPr>
          <w:rFonts w:eastAsia="Times New Roman"/>
          <w:sz w:val="24"/>
          <w:szCs w:val="24"/>
          <w:lang w:val="es-ES" w:eastAsia="es-ES"/>
        </w:rPr>
        <w:t>31</w:t>
      </w:r>
      <w:r w:rsidR="00C7464D">
        <w:rPr>
          <w:rFonts w:eastAsia="Times New Roman"/>
          <w:sz w:val="24"/>
          <w:szCs w:val="24"/>
          <w:lang w:val="es-ES" w:eastAsia="es-ES"/>
        </w:rPr>
        <w:t xml:space="preserve"> de agosto de 2017</w:t>
      </w:r>
      <w:r w:rsidRPr="007D598D">
        <w:rPr>
          <w:rFonts w:eastAsia="Times New Roman"/>
          <w:sz w:val="24"/>
          <w:szCs w:val="24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B2373B" w:rsidRPr="00B2373B" w:rsidRDefault="00A87856" w:rsidP="00B2373B">
      <w:pPr>
        <w:pStyle w:val="Ttulo1"/>
        <w:spacing w:after="160"/>
        <w:jc w:val="center"/>
        <w:rPr>
          <w:rFonts w:asciiTheme="minorHAnsi" w:eastAsia="Times New Roman" w:hAnsiTheme="minorHAnsi"/>
          <w:b/>
          <w:color w:val="auto"/>
          <w:sz w:val="24"/>
          <w:lang w:val="es-ES" w:eastAsia="es-ES"/>
        </w:rPr>
      </w:pPr>
      <w:r w:rsidRPr="00B2373B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>SEGUNDA</w:t>
      </w:r>
      <w:r w:rsidR="004F2AF6" w:rsidRPr="00B2373B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 xml:space="preserve"> SESIÓN DE 201</w:t>
      </w:r>
      <w:r w:rsidR="00C7464D" w:rsidRPr="00B2373B">
        <w:rPr>
          <w:rFonts w:asciiTheme="minorHAnsi" w:eastAsia="Times New Roman" w:hAnsiTheme="minorHAnsi"/>
          <w:b/>
          <w:color w:val="auto"/>
          <w:sz w:val="24"/>
          <w:lang w:val="es-ES" w:eastAsia="es-ES"/>
        </w:rPr>
        <w:t>7</w:t>
      </w:r>
    </w:p>
    <w:p w:rsidR="00B2373B" w:rsidRDefault="00C7464D" w:rsidP="00B2373B">
      <w:pPr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center"/>
        <w:rPr>
          <w:rFonts w:eastAsia="Times New Roman"/>
          <w:b/>
          <w:bCs/>
          <w:sz w:val="24"/>
          <w:szCs w:val="24"/>
          <w:lang w:val="es-ES" w:eastAsia="es-ES"/>
        </w:rPr>
      </w:pPr>
      <w:r>
        <w:rPr>
          <w:rFonts w:eastAsia="Times New Roman"/>
          <w:b/>
          <w:bCs/>
          <w:sz w:val="24"/>
          <w:szCs w:val="24"/>
          <w:lang w:val="es-ES" w:eastAsia="es-ES"/>
        </w:rPr>
        <w:t>I</w:t>
      </w:r>
      <w:r w:rsidR="004F2AF6">
        <w:rPr>
          <w:rFonts w:eastAsia="Times New Roman"/>
          <w:b/>
          <w:bCs/>
          <w:sz w:val="24"/>
          <w:szCs w:val="24"/>
          <w:lang w:val="es-ES" w:eastAsia="es-ES"/>
        </w:rPr>
        <w:t xml:space="preserve">II </w:t>
      </w:r>
      <w:r w:rsidR="004F2AF6" w:rsidRPr="007D598D">
        <w:rPr>
          <w:rFonts w:eastAsia="Times New Roman"/>
          <w:b/>
          <w:bCs/>
          <w:sz w:val="24"/>
          <w:szCs w:val="24"/>
          <w:lang w:val="es-ES" w:eastAsia="es-ES"/>
        </w:rPr>
        <w:t>CONSEJO CONSULTIVO DEL</w:t>
      </w:r>
      <w:r w:rsidR="00B2373B">
        <w:rPr>
          <w:rFonts w:eastAsia="Times New Roman"/>
          <w:b/>
          <w:bCs/>
          <w:sz w:val="24"/>
          <w:szCs w:val="24"/>
          <w:lang w:val="es-ES" w:eastAsia="es-ES"/>
        </w:rPr>
        <w:t xml:space="preserve"> </w:t>
      </w:r>
    </w:p>
    <w:p w:rsidR="00B2373B" w:rsidRDefault="004F2AF6" w:rsidP="00B2373B">
      <w:pPr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center"/>
        <w:rPr>
          <w:rFonts w:eastAsia="Times New Roman"/>
          <w:b/>
          <w:bCs/>
          <w:sz w:val="24"/>
          <w:szCs w:val="24"/>
          <w:lang w:val="es-ES" w:eastAsia="es-ES"/>
        </w:rPr>
      </w:pPr>
      <w:r w:rsidRPr="007D598D">
        <w:rPr>
          <w:rFonts w:eastAsia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:rsidR="00B2373B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>En la</w:t>
      </w:r>
      <w:r>
        <w:rPr>
          <w:rFonts w:eastAsia="Times New Roman"/>
          <w:sz w:val="24"/>
          <w:szCs w:val="24"/>
          <w:lang w:val="es-ES" w:eastAsia="es-ES"/>
        </w:rPr>
        <w:t xml:space="preserve"> sesión estuvieron presentes sus siguientes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in</w:t>
      </w:r>
      <w:r>
        <w:rPr>
          <w:rFonts w:eastAsia="Times New Roman"/>
          <w:sz w:val="24"/>
          <w:szCs w:val="24"/>
          <w:lang w:val="es-ES" w:eastAsia="es-ES"/>
        </w:rPr>
        <w:t>tegrantes</w:t>
      </w:r>
      <w:r w:rsidRPr="007D598D">
        <w:rPr>
          <w:rFonts w:eastAsia="Times New Roman"/>
          <w:sz w:val="24"/>
          <w:szCs w:val="24"/>
          <w:lang w:val="es-ES" w:eastAsia="es-ES"/>
        </w:rPr>
        <w:t>:</w:t>
      </w:r>
    </w:p>
    <w:p w:rsidR="004F2AF6" w:rsidRPr="003F27CC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Rodolfo de la Rosa Rábago</w:t>
      </w:r>
    </w:p>
    <w:p w:rsidR="004F2AF6" w:rsidRPr="003F27CC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 xml:space="preserve">Ernesto M. Flores-Roux </w:t>
      </w:r>
    </w:p>
    <w:p w:rsidR="004F2AF6" w:rsidRPr="003F27CC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 xml:space="preserve">Gerardo Francisco González Abarca </w:t>
      </w:r>
      <w:r w:rsidR="00C7464D" w:rsidRPr="003F27CC">
        <w:rPr>
          <w:rFonts w:eastAsia="Times New Roman"/>
          <w:sz w:val="24"/>
          <w:szCs w:val="24"/>
          <w:lang w:val="es-ES" w:eastAsia="es-ES"/>
        </w:rPr>
        <w:t>(por Webex)</w:t>
      </w:r>
    </w:p>
    <w:p w:rsidR="004F2AF6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 xml:space="preserve">Santiago Gutiérrez Fernández </w:t>
      </w:r>
    </w:p>
    <w:p w:rsidR="003F27CC" w:rsidRPr="003F27CC" w:rsidRDefault="003F27CC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Erick Huesca Morales</w:t>
      </w:r>
    </w:p>
    <w:p w:rsidR="004F2AF6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Federico Kuhlmann Rodríguez</w:t>
      </w:r>
    </w:p>
    <w:p w:rsidR="003F27CC" w:rsidRPr="003F27CC" w:rsidRDefault="003F27CC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Elisa V. Mariscal Medina</w:t>
      </w:r>
    </w:p>
    <w:p w:rsidR="004F2AF6" w:rsidRPr="003F27CC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 xml:space="preserve">Luis Miguel Martínez Cervantes </w:t>
      </w:r>
    </w:p>
    <w:p w:rsidR="004F2AF6" w:rsidRPr="003F27CC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Alejandro Ulises Mendoza Pérez</w:t>
      </w:r>
    </w:p>
    <w:p w:rsidR="00C7464D" w:rsidRPr="003F27CC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Jorge Fernando Negrete Pacheco</w:t>
      </w:r>
    </w:p>
    <w:p w:rsidR="00C7464D" w:rsidRPr="003F27CC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Paola Ricaurte Quijano</w:t>
      </w:r>
    </w:p>
    <w:p w:rsidR="00B2373B" w:rsidRDefault="00C7464D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3F27CC">
        <w:rPr>
          <w:rFonts w:eastAsia="Times New Roman"/>
          <w:sz w:val="24"/>
          <w:szCs w:val="24"/>
          <w:lang w:val="es-ES" w:eastAsia="es-ES"/>
        </w:rPr>
        <w:t>Gabriel Sosa Plata</w:t>
      </w:r>
    </w:p>
    <w:p w:rsidR="00B2373B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>S</w:t>
      </w:r>
      <w:r>
        <w:rPr>
          <w:rFonts w:eastAsia="Times New Roman"/>
          <w:sz w:val="24"/>
          <w:szCs w:val="24"/>
          <w:lang w:val="es-ES" w:eastAsia="es-ES"/>
        </w:rPr>
        <w:t>ecretario</w:t>
      </w:r>
      <w:r w:rsidRPr="007D598D">
        <w:rPr>
          <w:rFonts w:eastAsia="Times New Roman"/>
          <w:sz w:val="24"/>
          <w:szCs w:val="24"/>
          <w:lang w:val="es-ES" w:eastAsia="es-ES"/>
        </w:rPr>
        <w:t>: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val="es-ES_tradnl" w:eastAsia="es-ES"/>
        </w:rPr>
      </w:pPr>
      <w:r w:rsidRPr="007D598D">
        <w:rPr>
          <w:rFonts w:eastAsia="Times New Roman"/>
          <w:sz w:val="24"/>
          <w:szCs w:val="24"/>
          <w:lang w:val="es-ES_tradnl" w:eastAsia="es-ES"/>
        </w:rPr>
        <w:t>Juan José Crispín Borbolla</w:t>
      </w:r>
    </w:p>
    <w:p w:rsidR="00B2373B" w:rsidRDefault="004F2AF6" w:rsidP="00B2373B">
      <w:pPr>
        <w:tabs>
          <w:tab w:val="left" w:pos="4320"/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 xml:space="preserve">Una vez hecho del conocimiento de los Consejeros presentes lo anterior, </w:t>
      </w:r>
      <w:r>
        <w:rPr>
          <w:rFonts w:eastAsia="Times New Roman"/>
          <w:sz w:val="24"/>
          <w:szCs w:val="24"/>
          <w:lang w:val="es-ES" w:eastAsia="es-ES"/>
        </w:rPr>
        <w:t>el Secretario del Consejo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inició la sesión que se realizó de conformidad con el siguiente:</w:t>
      </w:r>
    </w:p>
    <w:p w:rsidR="00B2373B" w:rsidRDefault="004F2AF6" w:rsidP="00B2373B">
      <w:pPr>
        <w:pStyle w:val="Ttulo2"/>
        <w:spacing w:after="160"/>
        <w:jc w:val="center"/>
        <w:rPr>
          <w:rFonts w:asciiTheme="minorHAnsi" w:hAnsiTheme="minorHAnsi"/>
          <w:color w:val="auto"/>
          <w:sz w:val="24"/>
        </w:rPr>
      </w:pPr>
      <w:r w:rsidRPr="00B2373B">
        <w:rPr>
          <w:rFonts w:asciiTheme="minorHAnsi" w:hAnsiTheme="minorHAnsi"/>
          <w:color w:val="auto"/>
          <w:sz w:val="24"/>
        </w:rPr>
        <w:t>ORDEN DEL DÍA</w:t>
      </w:r>
    </w:p>
    <w:p w:rsidR="00B2373B" w:rsidRDefault="004F2AF6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I.- LISTA DE ASISTENCIA.</w:t>
      </w:r>
    </w:p>
    <w:p w:rsidR="00B2373B" w:rsidRDefault="004F2AF6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II.- APROBACIÓN DEL ORDEN DEL DÍA.</w:t>
      </w:r>
    </w:p>
    <w:p w:rsidR="00B2373B" w:rsidRDefault="004F2AF6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B2373B" w:rsidRDefault="004F2AF6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Cs/>
          <w:sz w:val="24"/>
          <w:szCs w:val="24"/>
          <w:lang w:eastAsia="es-ES"/>
        </w:rPr>
      </w:pPr>
      <w:r w:rsidRPr="00FB6E14">
        <w:rPr>
          <w:rFonts w:eastAsia="Times New Roman"/>
          <w:b/>
          <w:bCs/>
          <w:sz w:val="24"/>
          <w:szCs w:val="24"/>
          <w:lang w:eastAsia="es-ES"/>
        </w:rPr>
        <w:t xml:space="preserve">III.1.- </w:t>
      </w:r>
      <w:r w:rsidR="00A87856" w:rsidRPr="00A87856">
        <w:rPr>
          <w:rFonts w:eastAsia="Times New Roman"/>
          <w:bCs/>
          <w:sz w:val="24"/>
          <w:szCs w:val="24"/>
          <w:lang w:eastAsia="es-ES"/>
        </w:rPr>
        <w:t>Aprobación del Acta de la I Sesión Ordinaria del Consejo, celebrada el 17 de agosto de 2017</w:t>
      </w:r>
      <w:r w:rsidRPr="00FB6E14">
        <w:rPr>
          <w:rFonts w:eastAsia="Times New Roman"/>
          <w:bCs/>
          <w:sz w:val="24"/>
          <w:szCs w:val="24"/>
          <w:lang w:eastAsia="es-ES"/>
        </w:rPr>
        <w:t>.</w:t>
      </w:r>
    </w:p>
    <w:p w:rsidR="00B2373B" w:rsidRDefault="004F2AF6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Cs/>
          <w:sz w:val="24"/>
          <w:szCs w:val="24"/>
          <w:lang w:eastAsia="es-ES"/>
        </w:rPr>
      </w:pPr>
      <w:r w:rsidRPr="00FB6E14">
        <w:rPr>
          <w:rFonts w:eastAsia="Times New Roman"/>
          <w:b/>
          <w:bCs/>
          <w:sz w:val="24"/>
          <w:szCs w:val="24"/>
          <w:lang w:eastAsia="es-ES"/>
        </w:rPr>
        <w:t xml:space="preserve">III.2.- </w:t>
      </w:r>
      <w:r w:rsidR="00A87856" w:rsidRPr="00A87856">
        <w:rPr>
          <w:rFonts w:eastAsia="Times New Roman"/>
          <w:bCs/>
          <w:sz w:val="24"/>
          <w:szCs w:val="24"/>
          <w:lang w:eastAsia="es-ES"/>
        </w:rPr>
        <w:t>Plan Anual de Trabajo</w:t>
      </w:r>
      <w:r w:rsidRPr="00FB6E14">
        <w:rPr>
          <w:rFonts w:eastAsia="Times New Roman"/>
          <w:bCs/>
          <w:sz w:val="24"/>
          <w:szCs w:val="24"/>
          <w:lang w:eastAsia="es-ES"/>
        </w:rPr>
        <w:t>.</w:t>
      </w:r>
    </w:p>
    <w:p w:rsidR="00B2373B" w:rsidRDefault="004F2AF6" w:rsidP="00B2373B">
      <w:pPr>
        <w:spacing w:line="240" w:lineRule="auto"/>
        <w:ind w:right="44"/>
        <w:jc w:val="both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IV.- Asuntos Generales.</w:t>
      </w:r>
    </w:p>
    <w:p w:rsidR="00B2373B" w:rsidRDefault="00C7464D" w:rsidP="00B2373B">
      <w:pPr>
        <w:tabs>
          <w:tab w:val="left" w:pos="9900"/>
        </w:tabs>
        <w:spacing w:line="240" w:lineRule="auto"/>
        <w:ind w:right="72"/>
        <w:jc w:val="both"/>
        <w:rPr>
          <w:rFonts w:eastAsia="Times New Roman"/>
          <w:bCs/>
          <w:sz w:val="24"/>
          <w:szCs w:val="24"/>
          <w:lang w:eastAsia="es-ES"/>
        </w:rPr>
      </w:pPr>
      <w:r w:rsidRPr="00C7464D">
        <w:rPr>
          <w:rFonts w:eastAsia="Times New Roman"/>
          <w:b/>
          <w:bCs/>
          <w:sz w:val="24"/>
          <w:szCs w:val="24"/>
          <w:lang w:eastAsia="es-ES"/>
        </w:rPr>
        <w:t>IV.1.-</w:t>
      </w:r>
      <w:r w:rsidRPr="00C7464D">
        <w:rPr>
          <w:rFonts w:eastAsia="Times New Roman"/>
          <w:bCs/>
          <w:sz w:val="24"/>
          <w:szCs w:val="24"/>
          <w:lang w:eastAsia="es-ES"/>
        </w:rPr>
        <w:t xml:space="preserve"> </w:t>
      </w:r>
      <w:r w:rsidR="00A87856" w:rsidRPr="00A87856">
        <w:rPr>
          <w:rFonts w:eastAsia="Times New Roman"/>
          <w:bCs/>
          <w:sz w:val="24"/>
          <w:szCs w:val="24"/>
          <w:lang w:eastAsia="es-ES"/>
        </w:rPr>
        <w:t>Lineamientos para la Acreditación de peritos en materia de telecomunicaciones y radiodifusión</w:t>
      </w:r>
      <w:r w:rsidRPr="00C7464D">
        <w:rPr>
          <w:rFonts w:eastAsia="Times New Roman"/>
          <w:bCs/>
          <w:sz w:val="24"/>
          <w:szCs w:val="24"/>
          <w:lang w:eastAsia="es-ES"/>
        </w:rPr>
        <w:t>.</w:t>
      </w:r>
    </w:p>
    <w:p w:rsidR="00B2373B" w:rsidRDefault="004F2AF6" w:rsidP="00B2373B">
      <w:pPr>
        <w:pStyle w:val="Ttulo3"/>
        <w:spacing w:after="160"/>
        <w:rPr>
          <w:rFonts w:asciiTheme="minorHAnsi" w:hAnsiTheme="minorHAnsi"/>
          <w:b/>
          <w:color w:val="auto"/>
        </w:rPr>
      </w:pPr>
      <w:r w:rsidRPr="00B2373B">
        <w:rPr>
          <w:rFonts w:asciiTheme="minorHAnsi" w:hAnsiTheme="minorHAnsi"/>
          <w:b/>
          <w:color w:val="auto"/>
        </w:rPr>
        <w:lastRenderedPageBreak/>
        <w:t>I.- LISTA DE ASISTENCIA.</w:t>
      </w:r>
    </w:p>
    <w:p w:rsidR="00B2373B" w:rsidRDefault="004F2AF6" w:rsidP="00B2373B">
      <w:pPr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sz w:val="24"/>
          <w:szCs w:val="24"/>
          <w:lang w:eastAsia="es-ES"/>
        </w:rPr>
        <w:t xml:space="preserve">El Secretario </w:t>
      </w:r>
      <w:r w:rsidRPr="007D598D">
        <w:rPr>
          <w:rFonts w:eastAsia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>
        <w:rPr>
          <w:rFonts w:eastAsia="Times New Roman"/>
          <w:sz w:val="24"/>
          <w:szCs w:val="24"/>
          <w:lang w:eastAsia="es-ES"/>
        </w:rPr>
        <w:t>de quien participó</w:t>
      </w:r>
      <w:r w:rsidRPr="007D598D">
        <w:rPr>
          <w:rFonts w:eastAsia="Times New Roman"/>
          <w:sz w:val="24"/>
          <w:szCs w:val="24"/>
          <w:lang w:eastAsia="es-ES"/>
        </w:rPr>
        <w:t xml:space="preserve"> por </w:t>
      </w:r>
      <w:r>
        <w:rPr>
          <w:rFonts w:eastAsia="Times New Roman"/>
          <w:sz w:val="24"/>
          <w:szCs w:val="24"/>
          <w:lang w:eastAsia="es-ES"/>
        </w:rPr>
        <w:t xml:space="preserve">vía </w:t>
      </w:r>
      <w:r w:rsidR="00C7464D">
        <w:rPr>
          <w:rFonts w:eastAsia="Times New Roman"/>
          <w:sz w:val="24"/>
          <w:szCs w:val="24"/>
          <w:lang w:eastAsia="es-ES"/>
        </w:rPr>
        <w:t>Webex</w:t>
      </w:r>
      <w:r w:rsidRPr="007D598D">
        <w:rPr>
          <w:rFonts w:eastAsia="Times New Roman"/>
          <w:sz w:val="24"/>
          <w:szCs w:val="24"/>
          <w:lang w:eastAsia="es-ES"/>
        </w:rPr>
        <w:t>, según se acredita con la lista de asistencia anexa a la presente acta.</w:t>
      </w:r>
    </w:p>
    <w:p w:rsidR="00B2373B" w:rsidRDefault="004F2AF6" w:rsidP="00B2373B">
      <w:pPr>
        <w:pStyle w:val="Ttulo3"/>
        <w:spacing w:after="160"/>
        <w:rPr>
          <w:rFonts w:asciiTheme="minorHAnsi" w:hAnsiTheme="minorHAnsi"/>
          <w:b/>
          <w:color w:val="auto"/>
        </w:rPr>
      </w:pPr>
      <w:r w:rsidRPr="00B2373B">
        <w:rPr>
          <w:rFonts w:asciiTheme="minorHAnsi" w:hAnsiTheme="minorHAnsi"/>
          <w:b/>
          <w:color w:val="auto"/>
        </w:rPr>
        <w:t xml:space="preserve">II.- APROBACIÓN DEL ORDEN DEL DÍA. 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ind w:right="44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 xml:space="preserve">El </w:t>
      </w:r>
      <w:r w:rsidR="00A87856">
        <w:rPr>
          <w:rFonts w:eastAsia="Times New Roman"/>
          <w:sz w:val="24"/>
          <w:szCs w:val="24"/>
          <w:lang w:val="es-ES" w:eastAsia="es-ES"/>
        </w:rPr>
        <w:t>Presidente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sometió a c</w:t>
      </w:r>
      <w:r>
        <w:rPr>
          <w:rFonts w:eastAsia="Times New Roman"/>
          <w:sz w:val="24"/>
          <w:szCs w:val="24"/>
          <w:lang w:val="es-ES" w:eastAsia="es-ES"/>
        </w:rPr>
        <w:t xml:space="preserve">onsideración de los Consejeros 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el Orden del Día. </w:t>
      </w:r>
    </w:p>
    <w:p w:rsidR="00B2373B" w:rsidRDefault="00A87856" w:rsidP="00B2373B">
      <w:pPr>
        <w:autoSpaceDE w:val="0"/>
        <w:autoSpaceDN w:val="0"/>
        <w:adjustRightInd w:val="0"/>
        <w:spacing w:line="240" w:lineRule="auto"/>
        <w:ind w:right="44"/>
        <w:jc w:val="both"/>
        <w:rPr>
          <w:rFonts w:eastAsia="Times New Roman"/>
          <w:sz w:val="24"/>
          <w:szCs w:val="24"/>
          <w:lang w:val="es-ES" w:eastAsia="es-ES"/>
        </w:rPr>
      </w:pPr>
      <w:r>
        <w:rPr>
          <w:rFonts w:eastAsia="Times New Roman"/>
          <w:sz w:val="24"/>
          <w:szCs w:val="24"/>
          <w:lang w:val="es-ES" w:eastAsia="es-ES"/>
        </w:rPr>
        <w:t>E</w:t>
      </w:r>
      <w:r w:rsidRPr="00A87856">
        <w:rPr>
          <w:rFonts w:eastAsia="Times New Roman"/>
          <w:sz w:val="24"/>
          <w:szCs w:val="24"/>
          <w:lang w:val="es-ES" w:eastAsia="es-ES"/>
        </w:rPr>
        <w:t>l Consejero Luis Miguel Martínez solicitó la inclusión en Asuntos Generales del tema Pago de derechos de concesiones de uso social e indígena.</w:t>
      </w:r>
    </w:p>
    <w:p w:rsidR="00B2373B" w:rsidRDefault="00A87856" w:rsidP="00B2373B">
      <w:pPr>
        <w:autoSpaceDE w:val="0"/>
        <w:autoSpaceDN w:val="0"/>
        <w:adjustRightInd w:val="0"/>
        <w:spacing w:line="240" w:lineRule="auto"/>
        <w:ind w:right="44"/>
        <w:jc w:val="both"/>
        <w:rPr>
          <w:rFonts w:eastAsia="Times New Roman"/>
          <w:sz w:val="24"/>
          <w:szCs w:val="24"/>
          <w:lang w:val="es-ES" w:eastAsia="es-ES"/>
        </w:rPr>
      </w:pPr>
      <w:r w:rsidRPr="00A87856">
        <w:rPr>
          <w:rFonts w:eastAsia="Times New Roman"/>
          <w:sz w:val="24"/>
          <w:szCs w:val="24"/>
          <w:lang w:val="es-ES" w:eastAsia="es-ES"/>
        </w:rPr>
        <w:t>Asimismo, la Consejera Paola Ricaurte solicitó se incluyera también en Asuntos Generales el Comunicado para el proceso de elección de Comisionado Presidente del IFT.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ind w:right="44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>Posteriormente, el Consejo</w:t>
      </w:r>
      <w:r>
        <w:rPr>
          <w:rFonts w:eastAsia="Times New Roman"/>
          <w:sz w:val="24"/>
          <w:szCs w:val="24"/>
          <w:lang w:val="es-ES" w:eastAsia="es-ES"/>
        </w:rPr>
        <w:t xml:space="preserve"> aprobó por unanimidad</w:t>
      </w:r>
      <w:r w:rsidR="00A65427">
        <w:rPr>
          <w:rFonts w:eastAsia="Times New Roman"/>
          <w:sz w:val="24"/>
          <w:szCs w:val="24"/>
          <w:lang w:val="es-ES" w:eastAsia="es-ES"/>
        </w:rPr>
        <w:t xml:space="preserve"> el Orden del Día</w:t>
      </w:r>
      <w:r>
        <w:rPr>
          <w:rFonts w:eastAsia="Times New Roman"/>
          <w:sz w:val="24"/>
          <w:szCs w:val="24"/>
          <w:lang w:val="es-ES" w:eastAsia="es-ES"/>
        </w:rPr>
        <w:t>.</w:t>
      </w:r>
    </w:p>
    <w:p w:rsidR="00B2373B" w:rsidRDefault="004F2AF6" w:rsidP="00B2373B">
      <w:pPr>
        <w:pStyle w:val="Ttulo3"/>
        <w:spacing w:after="160"/>
        <w:rPr>
          <w:rFonts w:asciiTheme="minorHAnsi" w:hAnsiTheme="minorHAnsi"/>
          <w:b/>
          <w:color w:val="auto"/>
        </w:rPr>
      </w:pPr>
      <w:r w:rsidRPr="00B2373B">
        <w:rPr>
          <w:rFonts w:asciiTheme="minorHAnsi" w:hAnsiTheme="minorHAnsi"/>
          <w:b/>
          <w:color w:val="auto"/>
        </w:rPr>
        <w:t>III.- ASUNTOS QUE SE SOMETEN A CONSIDERACIÓN DEL PLENO</w:t>
      </w:r>
    </w:p>
    <w:p w:rsidR="00B2373B" w:rsidRDefault="004F2AF6" w:rsidP="00B2373B">
      <w:pPr>
        <w:pStyle w:val="Ttulo4"/>
        <w:spacing w:after="160"/>
        <w:rPr>
          <w:rFonts w:asciiTheme="minorHAnsi" w:hAnsiTheme="minorHAnsi"/>
          <w:b/>
          <w:i w:val="0"/>
          <w:color w:val="auto"/>
        </w:rPr>
      </w:pPr>
      <w:r w:rsidRPr="00B2373B">
        <w:rPr>
          <w:rFonts w:asciiTheme="minorHAnsi" w:hAnsiTheme="minorHAnsi"/>
          <w:b/>
          <w:i w:val="0"/>
          <w:color w:val="auto"/>
        </w:rPr>
        <w:t xml:space="preserve">III.1.- </w:t>
      </w:r>
      <w:r w:rsidR="00A87856" w:rsidRPr="00B2373B">
        <w:rPr>
          <w:rFonts w:asciiTheme="minorHAnsi" w:hAnsiTheme="minorHAnsi"/>
          <w:b/>
          <w:i w:val="0"/>
          <w:color w:val="auto"/>
        </w:rPr>
        <w:t>Aprobación del Acta de la I Sesión Ordinaria del Consejo, celebrada el 17 de agosto de 2017</w:t>
      </w:r>
      <w:r w:rsidRPr="00B2373B">
        <w:rPr>
          <w:rFonts w:asciiTheme="minorHAnsi" w:hAnsiTheme="minorHAnsi"/>
          <w:b/>
          <w:i w:val="0"/>
          <w:color w:val="auto"/>
        </w:rPr>
        <w:t>.</w:t>
      </w:r>
    </w:p>
    <w:p w:rsidR="00B2373B" w:rsidRDefault="00A87856" w:rsidP="00B2373B">
      <w:pPr>
        <w:widowControl w:val="0"/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 w:rsidRPr="00E956A3">
        <w:rPr>
          <w:rFonts w:eastAsia="Times New Roman"/>
          <w:bCs/>
          <w:lang w:val="es-ES_tradnl" w:eastAsia="es-ES"/>
        </w:rPr>
        <w:t>Una vez puesta a consideración de los Consejeros, emitieron su voto.</w:t>
      </w:r>
    </w:p>
    <w:p w:rsidR="00B2373B" w:rsidRDefault="00A87856" w:rsidP="00B2373B">
      <w:pPr>
        <w:widowControl w:val="0"/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  <w:r w:rsidRPr="00E956A3">
        <w:rPr>
          <w:rFonts w:eastAsia="Times New Roman"/>
          <w:b/>
          <w:bCs/>
          <w:lang w:val="es-ES_tradnl" w:eastAsia="es-ES"/>
        </w:rPr>
        <w:t>Votación</w:t>
      </w:r>
    </w:p>
    <w:p w:rsidR="00B2373B" w:rsidRDefault="00A87856" w:rsidP="00B2373B">
      <w:pPr>
        <w:widowControl w:val="0"/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>
        <w:rPr>
          <w:rFonts w:eastAsia="Times New Roman"/>
          <w:bCs/>
          <w:lang w:val="es-ES_tradnl" w:eastAsia="es-ES"/>
        </w:rPr>
        <w:t>El Secretario</w:t>
      </w:r>
      <w:r w:rsidRPr="00E956A3">
        <w:rPr>
          <w:rFonts w:eastAsia="Times New Roman"/>
          <w:bCs/>
          <w:lang w:val="es-ES_tradnl" w:eastAsia="es-ES"/>
        </w:rPr>
        <w:t xml:space="preserve"> dio cuenta de y levantó las votaciones en el siguiente sentido:</w:t>
      </w:r>
    </w:p>
    <w:p w:rsidR="00B2373B" w:rsidRDefault="00A87856" w:rsidP="00B2373B">
      <w:pPr>
        <w:widowControl w:val="0"/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/>
          <w:bCs/>
          <w:lang w:val="es-ES_tradnl" w:eastAsia="es-ES"/>
        </w:rPr>
      </w:pPr>
      <w:r w:rsidRPr="00E956A3">
        <w:rPr>
          <w:rFonts w:eastAsia="Times New Roman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2373B" w:rsidRDefault="00A87856" w:rsidP="00B2373B">
      <w:pPr>
        <w:widowControl w:val="0"/>
        <w:tabs>
          <w:tab w:val="left" w:pos="9900"/>
        </w:tabs>
        <w:autoSpaceDE w:val="0"/>
        <w:autoSpaceDN w:val="0"/>
        <w:adjustRightInd w:val="0"/>
        <w:spacing w:line="240" w:lineRule="auto"/>
        <w:ind w:right="72"/>
        <w:jc w:val="center"/>
        <w:rPr>
          <w:rFonts w:eastAsia="Times New Roman"/>
          <w:b/>
          <w:bCs/>
          <w:lang w:val="es-ES_tradnl" w:eastAsia="es-ES"/>
        </w:rPr>
      </w:pPr>
      <w:r w:rsidRPr="00E956A3">
        <w:rPr>
          <w:rFonts w:eastAsia="Times New Roman"/>
          <w:b/>
          <w:bCs/>
          <w:lang w:val="es-ES_tradnl" w:eastAsia="es-ES"/>
        </w:rPr>
        <w:t>Acuerdo</w:t>
      </w:r>
    </w:p>
    <w:p w:rsidR="00B2373B" w:rsidRDefault="00A87856" w:rsidP="00B2373B">
      <w:pPr>
        <w:spacing w:line="240" w:lineRule="auto"/>
        <w:jc w:val="both"/>
        <w:rPr>
          <w:rFonts w:eastAsia="Times New Roman"/>
          <w:b/>
          <w:lang w:val="es-ES" w:eastAsia="es-ES"/>
        </w:rPr>
      </w:pPr>
      <w:r w:rsidRPr="003F27CC">
        <w:rPr>
          <w:rFonts w:eastAsia="Times New Roman"/>
          <w:b/>
          <w:lang w:val="es-ES" w:eastAsia="es-ES"/>
        </w:rPr>
        <w:t>CC/IFT/</w:t>
      </w:r>
      <w:r w:rsidR="003F27CC" w:rsidRPr="003F27CC">
        <w:rPr>
          <w:rFonts w:eastAsia="Times New Roman"/>
          <w:b/>
          <w:lang w:val="es-ES" w:eastAsia="es-ES"/>
        </w:rPr>
        <w:t>310817/2</w:t>
      </w:r>
    </w:p>
    <w:p w:rsidR="00B2373B" w:rsidRDefault="00A87856" w:rsidP="00B2373B">
      <w:pPr>
        <w:spacing w:line="240" w:lineRule="auto"/>
        <w:jc w:val="both"/>
        <w:rPr>
          <w:rFonts w:eastAsia="Times New Roman"/>
          <w:lang w:val="es-ES" w:eastAsia="es-ES"/>
        </w:rPr>
      </w:pPr>
      <w:r w:rsidRPr="00E956A3">
        <w:rPr>
          <w:rFonts w:eastAsia="Times New Roman"/>
          <w:b/>
          <w:lang w:val="es-ES" w:eastAsia="es-ES"/>
        </w:rPr>
        <w:t xml:space="preserve">PRIMERO. </w:t>
      </w:r>
      <w:r w:rsidRPr="00E956A3">
        <w:rPr>
          <w:rFonts w:eastAsia="Times New Roman"/>
          <w:lang w:val="es-ES" w:eastAsia="es-ES"/>
        </w:rPr>
        <w:t xml:space="preserve">Se aprueba el </w:t>
      </w:r>
      <w:r w:rsidRPr="00A87856">
        <w:rPr>
          <w:rFonts w:eastAsia="Times New Roman"/>
          <w:lang w:val="es-ES" w:eastAsia="es-ES"/>
        </w:rPr>
        <w:t>Acta de la I Sesión Ordinaria del Consejo, celebrada el 17 de agosto de 2017</w:t>
      </w:r>
      <w:r w:rsidRPr="00E956A3">
        <w:rPr>
          <w:rFonts w:eastAsia="Times New Roman"/>
          <w:lang w:val="es-ES" w:eastAsia="es-ES"/>
        </w:rPr>
        <w:t>.</w:t>
      </w:r>
    </w:p>
    <w:p w:rsidR="00B2373B" w:rsidRDefault="00A87856" w:rsidP="00B2373B">
      <w:pPr>
        <w:spacing w:line="240" w:lineRule="auto"/>
        <w:jc w:val="both"/>
        <w:rPr>
          <w:rFonts w:eastAsia="Times New Roman"/>
          <w:lang w:val="es-ES" w:eastAsia="es-ES"/>
        </w:rPr>
      </w:pPr>
      <w:r w:rsidRPr="00E956A3">
        <w:rPr>
          <w:rFonts w:eastAsia="Times New Roman"/>
          <w:b/>
          <w:lang w:val="es-ES" w:eastAsia="es-ES"/>
        </w:rPr>
        <w:t xml:space="preserve">SEGUNDO. </w:t>
      </w:r>
      <w:r w:rsidRPr="00E956A3">
        <w:rPr>
          <w:rFonts w:eastAsia="Times New Roman"/>
          <w:lang w:val="es-ES" w:eastAsia="es-ES"/>
        </w:rPr>
        <w:t xml:space="preserve">Se instruye </w:t>
      </w:r>
      <w:r>
        <w:rPr>
          <w:rFonts w:eastAsia="Times New Roman"/>
          <w:lang w:val="es-ES" w:eastAsia="es-ES"/>
        </w:rPr>
        <w:t xml:space="preserve">al Secretario </w:t>
      </w:r>
      <w:r w:rsidRPr="00E956A3">
        <w:rPr>
          <w:rFonts w:eastAsia="Times New Roman"/>
          <w:lang w:val="es-ES" w:eastAsia="es-ES"/>
        </w:rPr>
        <w:t>a publicar en la página electrónica del Consejo el Acta aprobada en el Acuerdo anterior.</w:t>
      </w:r>
    </w:p>
    <w:p w:rsidR="004F2AF6" w:rsidRDefault="004F2AF6" w:rsidP="00B2373B">
      <w:pPr>
        <w:pStyle w:val="Ttulo4"/>
        <w:spacing w:after="160"/>
        <w:rPr>
          <w:rFonts w:asciiTheme="minorHAnsi" w:hAnsiTheme="minorHAnsi"/>
          <w:b/>
          <w:i w:val="0"/>
          <w:color w:val="auto"/>
        </w:rPr>
      </w:pPr>
      <w:r w:rsidRPr="00B2373B">
        <w:rPr>
          <w:rFonts w:asciiTheme="minorHAnsi" w:hAnsiTheme="minorHAnsi"/>
          <w:b/>
          <w:i w:val="0"/>
          <w:color w:val="auto"/>
        </w:rPr>
        <w:t xml:space="preserve">III.2.- </w:t>
      </w:r>
      <w:r w:rsidR="00A87856" w:rsidRPr="00B2373B">
        <w:rPr>
          <w:rFonts w:asciiTheme="minorHAnsi" w:hAnsiTheme="minorHAnsi"/>
          <w:b/>
          <w:i w:val="0"/>
          <w:color w:val="auto"/>
        </w:rPr>
        <w:t>Plan Anual de Trabajo</w:t>
      </w:r>
      <w:r w:rsidRPr="00B2373B">
        <w:rPr>
          <w:rFonts w:asciiTheme="minorHAnsi" w:hAnsiTheme="minorHAnsi"/>
          <w:b/>
          <w:i w:val="0"/>
          <w:color w:val="auto"/>
        </w:rPr>
        <w:t>.</w:t>
      </w:r>
      <w:r w:rsidR="003B14AE" w:rsidRPr="00B2373B">
        <w:rPr>
          <w:rFonts w:asciiTheme="minorHAnsi" w:hAnsiTheme="minorHAnsi"/>
          <w:b/>
          <w:i w:val="0"/>
          <w:color w:val="auto"/>
        </w:rPr>
        <w:t xml:space="preserve"> </w:t>
      </w:r>
    </w:p>
    <w:p w:rsidR="00563344" w:rsidRPr="00563344" w:rsidRDefault="00563344" w:rsidP="00563344">
      <w:pPr>
        <w:jc w:val="center"/>
      </w:pPr>
      <w:r w:rsidRPr="00B2373B">
        <w:rPr>
          <w:b/>
          <w:sz w:val="24"/>
          <w:szCs w:val="24"/>
        </w:rPr>
        <w:t>Administración del Espectro</w:t>
      </w:r>
    </w:p>
    <w:tbl>
      <w:tblPr>
        <w:tblStyle w:val="Tablaconcuadrcula"/>
        <w:tblW w:w="10031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Plan Anual de Trabajo. "/>
      </w:tblPr>
      <w:tblGrid>
        <w:gridCol w:w="5211"/>
        <w:gridCol w:w="4820"/>
      </w:tblGrid>
      <w:tr w:rsidR="00B2373B" w:rsidRPr="00B2373B" w:rsidTr="00817E74">
        <w:trPr>
          <w:tblHeader/>
          <w:jc w:val="center"/>
        </w:trPr>
        <w:tc>
          <w:tcPr>
            <w:tcW w:w="5211" w:type="dxa"/>
            <w:shd w:val="clear" w:color="auto" w:fill="009999"/>
            <w:vAlign w:val="center"/>
          </w:tcPr>
          <w:p w:rsidR="00A87856" w:rsidRPr="00817E74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7E74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20" w:type="dxa"/>
            <w:shd w:val="clear" w:color="auto" w:fill="009999"/>
            <w:vAlign w:val="center"/>
          </w:tcPr>
          <w:p w:rsidR="00A87856" w:rsidRPr="00817E74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17E74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5211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B2373B">
              <w:rPr>
                <w:rFonts w:eastAsia="Times New Roman" w:cs="Helvetica"/>
                <w:sz w:val="24"/>
                <w:szCs w:val="24"/>
              </w:rPr>
              <w:t>Administración del espectro para la radiodifusión.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 xml:space="preserve">Luis Miguel Martínez, </w:t>
            </w:r>
            <w:r w:rsidRPr="00B2373B">
              <w:rPr>
                <w:sz w:val="24"/>
                <w:szCs w:val="24"/>
              </w:rPr>
              <w:t>Gerardo González Abarca</w:t>
            </w:r>
          </w:p>
        </w:tc>
      </w:tr>
      <w:tr w:rsidR="00B2373B" w:rsidRPr="00B2373B" w:rsidTr="00B2373B">
        <w:trPr>
          <w:jc w:val="center"/>
        </w:trPr>
        <w:tc>
          <w:tcPr>
            <w:tcW w:w="5211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b/>
                <w:u w:val="single"/>
              </w:rPr>
            </w:pPr>
            <w:r w:rsidRPr="00B2373B">
              <w:rPr>
                <w:rFonts w:eastAsia="Times New Roman" w:cs="Helvetica"/>
                <w:sz w:val="24"/>
                <w:szCs w:val="24"/>
              </w:rPr>
              <w:lastRenderedPageBreak/>
              <w:t>Telecomunicaciones y radiodifusión comunitaria con énfasis en las poblaciones indígenas y originarias.</w:t>
            </w:r>
          </w:p>
        </w:tc>
        <w:tc>
          <w:tcPr>
            <w:tcW w:w="4820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Gabriel Sosa Plata,</w:t>
            </w:r>
            <w:r w:rsidRPr="00B2373B">
              <w:rPr>
                <w:sz w:val="24"/>
                <w:szCs w:val="24"/>
              </w:rPr>
              <w:t xml:space="preserve"> Luis Miguel Martínez,</w:t>
            </w:r>
            <w:r w:rsidRPr="00B2373B">
              <w:rPr>
                <w:b/>
                <w:sz w:val="24"/>
                <w:szCs w:val="24"/>
              </w:rPr>
              <w:t xml:space="preserve"> </w:t>
            </w:r>
            <w:r w:rsidRPr="00B2373B">
              <w:rPr>
                <w:sz w:val="24"/>
                <w:szCs w:val="24"/>
              </w:rPr>
              <w:t>Paola Ricaurte</w:t>
            </w:r>
          </w:p>
        </w:tc>
      </w:tr>
      <w:tr w:rsidR="00B2373B" w:rsidRPr="00B2373B" w:rsidTr="00B2373B">
        <w:trPr>
          <w:jc w:val="center"/>
        </w:trPr>
        <w:tc>
          <w:tcPr>
            <w:tcW w:w="521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sz w:val="24"/>
                <w:szCs w:val="24"/>
              </w:rPr>
              <w:t>Licitaciones.</w:t>
            </w:r>
          </w:p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Ernesto Flores</w:t>
            </w:r>
          </w:p>
        </w:tc>
      </w:tr>
    </w:tbl>
    <w:p w:rsidR="00A87856" w:rsidRDefault="00A87856" w:rsidP="00B2373B">
      <w:pPr>
        <w:tabs>
          <w:tab w:val="left" w:pos="8505"/>
        </w:tabs>
        <w:spacing w:line="240" w:lineRule="auto"/>
        <w:ind w:right="333"/>
        <w:contextualSpacing/>
        <w:jc w:val="both"/>
        <w:rPr>
          <w:rFonts w:cs="Arial Hebrew Scholar"/>
          <w:sz w:val="24"/>
          <w:szCs w:val="24"/>
        </w:rPr>
      </w:pPr>
    </w:p>
    <w:p w:rsidR="00563344" w:rsidRDefault="00563344" w:rsidP="00563344">
      <w:pPr>
        <w:tabs>
          <w:tab w:val="left" w:pos="8505"/>
        </w:tabs>
        <w:spacing w:line="240" w:lineRule="auto"/>
        <w:ind w:right="333"/>
        <w:contextualSpacing/>
        <w:jc w:val="center"/>
        <w:rPr>
          <w:rFonts w:cs="Arial Hebrew Scholar"/>
          <w:sz w:val="24"/>
          <w:szCs w:val="24"/>
        </w:rPr>
      </w:pPr>
      <w:r w:rsidRPr="00B2373B">
        <w:rPr>
          <w:b/>
          <w:sz w:val="24"/>
          <w:szCs w:val="24"/>
          <w:u w:val="single"/>
        </w:rPr>
        <w:t>Internet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Plan Anual de Trabajo. "/>
      </w:tblPr>
      <w:tblGrid>
        <w:gridCol w:w="5246"/>
        <w:gridCol w:w="4819"/>
      </w:tblGrid>
      <w:tr w:rsidR="00B2373B" w:rsidRPr="00B2373B" w:rsidTr="00817E74">
        <w:trPr>
          <w:tblHeader/>
          <w:jc w:val="center"/>
        </w:trPr>
        <w:tc>
          <w:tcPr>
            <w:tcW w:w="5246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819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5246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Internet como infraestructura:</w:t>
            </w:r>
          </w:p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2373B">
              <w:rPr>
                <w:sz w:val="24"/>
                <w:szCs w:val="24"/>
              </w:rPr>
              <w:t>IoT</w:t>
            </w:r>
            <w:proofErr w:type="spellEnd"/>
            <w:r w:rsidRPr="00B2373B">
              <w:rPr>
                <w:sz w:val="24"/>
                <w:szCs w:val="24"/>
              </w:rPr>
              <w:t>, IPV6,</w:t>
            </w:r>
            <w:r w:rsidRPr="00B2373B">
              <w:t xml:space="preserve"> Centros de datos, hoteles y puntos de intercambio de tráfico como infraestructura de acceso a ISP y proveedores de contenidos,</w:t>
            </w:r>
            <w:r w:rsidRPr="00B2373B">
              <w:rPr>
                <w:rFonts w:eastAsia="Times New Roman" w:cs="Helvetica"/>
                <w:sz w:val="24"/>
                <w:szCs w:val="24"/>
              </w:rPr>
              <w:t xml:space="preserve"> Neutralidad de la red</w:t>
            </w:r>
            <w:r w:rsidRPr="00B2373B">
              <w:t xml:space="preserve">, </w:t>
            </w:r>
            <w:r w:rsidRPr="00B2373B">
              <w:rPr>
                <w:rFonts w:cs="Arial"/>
                <w:sz w:val="24"/>
                <w:szCs w:val="24"/>
                <w:shd w:val="clear" w:color="auto" w:fill="FFFFFF"/>
              </w:rPr>
              <w:t>Infraestructura disponible para concesionarios y para usuarios</w:t>
            </w:r>
            <w:r w:rsidRPr="00B2373B">
              <w:t>, entre otros.</w:t>
            </w:r>
          </w:p>
        </w:tc>
        <w:tc>
          <w:tcPr>
            <w:tcW w:w="4819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 xml:space="preserve">Erik Huesca, </w:t>
            </w:r>
            <w:r w:rsidRPr="00B2373B">
              <w:rPr>
                <w:sz w:val="24"/>
                <w:szCs w:val="24"/>
              </w:rPr>
              <w:t>Ulises Mendoza, Gerardo González Abarca, Federico Kuhlmann, Paola Ricaurte, Salma Jalife, Santiago Gutiérrez</w:t>
            </w:r>
          </w:p>
        </w:tc>
      </w:tr>
      <w:tr w:rsidR="00B2373B" w:rsidRPr="00B2373B" w:rsidTr="00B2373B">
        <w:trPr>
          <w:trHeight w:val="557"/>
          <w:jc w:val="center"/>
        </w:trPr>
        <w:tc>
          <w:tcPr>
            <w:tcW w:w="5246" w:type="dxa"/>
            <w:vAlign w:val="center"/>
          </w:tcPr>
          <w:p w:rsidR="00B2373B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Internet como Servicio:</w:t>
            </w:r>
          </w:p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sz w:val="24"/>
                <w:szCs w:val="24"/>
              </w:rPr>
              <w:t xml:space="preserve">Derecho al olvido en Internet, OTT, </w:t>
            </w:r>
            <w:r w:rsidRPr="00B2373B">
              <w:rPr>
                <w:rFonts w:eastAsia="Times New Roman" w:cs="Helvetica"/>
                <w:sz w:val="24"/>
                <w:szCs w:val="24"/>
              </w:rPr>
              <w:t xml:space="preserve">Neutralidad de la red, </w:t>
            </w:r>
            <w:r w:rsidRPr="00B2373B">
              <w:rPr>
                <w:sz w:val="24"/>
                <w:szCs w:val="24"/>
              </w:rPr>
              <w:t>entre otros.</w:t>
            </w:r>
          </w:p>
        </w:tc>
        <w:tc>
          <w:tcPr>
            <w:tcW w:w="4819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 xml:space="preserve">Paola Ricaurte, </w:t>
            </w:r>
            <w:r w:rsidRPr="00B2373B">
              <w:rPr>
                <w:sz w:val="24"/>
                <w:szCs w:val="24"/>
              </w:rPr>
              <w:t>Erick Huesca, Ulises Mendoza, Salma Jalife,</w:t>
            </w:r>
            <w:r w:rsidRPr="00B2373B">
              <w:rPr>
                <w:b/>
                <w:sz w:val="24"/>
                <w:szCs w:val="24"/>
              </w:rPr>
              <w:t xml:space="preserve"> </w:t>
            </w:r>
            <w:r w:rsidRPr="00B2373B">
              <w:rPr>
                <w:sz w:val="24"/>
                <w:szCs w:val="24"/>
              </w:rPr>
              <w:t xml:space="preserve">José Luis Peralta, </w:t>
            </w:r>
          </w:p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73B" w:rsidRPr="00B2373B" w:rsidTr="00B2373B">
        <w:trPr>
          <w:trHeight w:val="557"/>
          <w:jc w:val="center"/>
        </w:trPr>
        <w:tc>
          <w:tcPr>
            <w:tcW w:w="5246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2373B">
              <w:rPr>
                <w:sz w:val="24"/>
                <w:szCs w:val="24"/>
              </w:rPr>
              <w:t>Ciber</w:t>
            </w:r>
            <w:proofErr w:type="spellEnd"/>
            <w:r w:rsidRPr="00B2373B">
              <w:rPr>
                <w:sz w:val="24"/>
                <w:szCs w:val="24"/>
              </w:rPr>
              <w:t xml:space="preserve"> seguridad.</w:t>
            </w:r>
          </w:p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 xml:space="preserve">Ulises Mendoza, </w:t>
            </w:r>
            <w:r w:rsidRPr="00B2373B">
              <w:rPr>
                <w:sz w:val="24"/>
                <w:szCs w:val="24"/>
              </w:rPr>
              <w:t>Gerardo González Abarca, Federico Kuhlmann, Paola Ricaurte, Salma Jalife, Santiago Gutiérrez</w:t>
            </w:r>
          </w:p>
        </w:tc>
      </w:tr>
    </w:tbl>
    <w:p w:rsidR="00A87856" w:rsidRDefault="00A87856" w:rsidP="00B2373B">
      <w:pPr>
        <w:tabs>
          <w:tab w:val="left" w:pos="8505"/>
        </w:tabs>
        <w:spacing w:line="240" w:lineRule="auto"/>
        <w:ind w:right="333"/>
        <w:jc w:val="both"/>
        <w:rPr>
          <w:rFonts w:cs="Arial Hebrew Scholar"/>
          <w:sz w:val="24"/>
          <w:szCs w:val="24"/>
        </w:rPr>
      </w:pPr>
    </w:p>
    <w:p w:rsidR="00563344" w:rsidRDefault="00563344" w:rsidP="00563344">
      <w:pPr>
        <w:tabs>
          <w:tab w:val="left" w:pos="8505"/>
        </w:tabs>
        <w:spacing w:line="240" w:lineRule="auto"/>
        <w:ind w:right="333"/>
        <w:jc w:val="center"/>
        <w:rPr>
          <w:rFonts w:cs="Arial Hebrew Scholar"/>
          <w:sz w:val="24"/>
          <w:szCs w:val="24"/>
        </w:rPr>
      </w:pPr>
      <w:r w:rsidRPr="00B2373B">
        <w:rPr>
          <w:b/>
          <w:sz w:val="24"/>
          <w:szCs w:val="24"/>
          <w:u w:val="single"/>
        </w:rPr>
        <w:t>Competencia Económica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  <w:tblCaption w:val="Tabla "/>
        <w:tblDescription w:val="Plan Anual de Trabajo. "/>
      </w:tblPr>
      <w:tblGrid>
        <w:gridCol w:w="5104"/>
        <w:gridCol w:w="4961"/>
      </w:tblGrid>
      <w:tr w:rsidR="00B2373B" w:rsidRPr="00B2373B" w:rsidTr="00817E74">
        <w:trPr>
          <w:trHeight w:val="404"/>
          <w:tblHeader/>
          <w:jc w:val="center"/>
        </w:trPr>
        <w:tc>
          <w:tcPr>
            <w:tcW w:w="5104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961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5104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5"/>
              </w:numPr>
              <w:spacing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B2373B">
              <w:rPr>
                <w:sz w:val="24"/>
                <w:szCs w:val="24"/>
              </w:rPr>
              <w:t>Abogacía de la competencia en telecomunicaciones y radiodifusión.</w:t>
            </w:r>
          </w:p>
        </w:tc>
        <w:tc>
          <w:tcPr>
            <w:tcW w:w="496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Elisa Mariscal</w:t>
            </w:r>
          </w:p>
        </w:tc>
      </w:tr>
      <w:tr w:rsidR="00B2373B" w:rsidRPr="00B2373B" w:rsidTr="00B2373B">
        <w:trPr>
          <w:jc w:val="center"/>
        </w:trPr>
        <w:tc>
          <w:tcPr>
            <w:tcW w:w="5104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5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2373B">
              <w:rPr>
                <w:sz w:val="24"/>
                <w:szCs w:val="24"/>
              </w:rPr>
              <w:t>Criterios de competencia efectiva (que emitirá el IFT en su momento).</w:t>
            </w:r>
          </w:p>
        </w:tc>
        <w:tc>
          <w:tcPr>
            <w:tcW w:w="496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Nota:</w:t>
            </w:r>
            <w:r w:rsidRPr="00B2373B">
              <w:rPr>
                <w:sz w:val="24"/>
                <w:szCs w:val="24"/>
              </w:rPr>
              <w:t xml:space="preserve">  </w:t>
            </w:r>
            <w:r w:rsidR="00A0142A" w:rsidRPr="00B2373B">
              <w:rPr>
                <w:sz w:val="24"/>
                <w:szCs w:val="24"/>
              </w:rPr>
              <w:t>queda pendiente de definición</w:t>
            </w:r>
            <w:r w:rsidRPr="00B2373B">
              <w:rPr>
                <w:sz w:val="24"/>
                <w:szCs w:val="24"/>
              </w:rPr>
              <w:t>.</w:t>
            </w:r>
          </w:p>
        </w:tc>
      </w:tr>
      <w:tr w:rsidR="00B2373B" w:rsidRPr="00B2373B" w:rsidTr="00B2373B">
        <w:trPr>
          <w:jc w:val="center"/>
        </w:trPr>
        <w:tc>
          <w:tcPr>
            <w:tcW w:w="5104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5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2373B">
              <w:rPr>
                <w:sz w:val="24"/>
                <w:szCs w:val="24"/>
              </w:rPr>
              <w:t>Delimitar competencias entre IFT, COFECE y PROFECO.</w:t>
            </w:r>
          </w:p>
        </w:tc>
        <w:tc>
          <w:tcPr>
            <w:tcW w:w="496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Nota:</w:t>
            </w:r>
            <w:r w:rsidRPr="00B2373B">
              <w:rPr>
                <w:sz w:val="24"/>
                <w:szCs w:val="24"/>
              </w:rPr>
              <w:t xml:space="preserve">  </w:t>
            </w:r>
            <w:r w:rsidR="00A0142A" w:rsidRPr="00B2373B">
              <w:rPr>
                <w:sz w:val="24"/>
                <w:szCs w:val="24"/>
              </w:rPr>
              <w:t>queda pendiente de definición.</w:t>
            </w:r>
          </w:p>
        </w:tc>
      </w:tr>
    </w:tbl>
    <w:p w:rsidR="00B2373B" w:rsidRDefault="00B2373B" w:rsidP="00B2373B">
      <w:pPr>
        <w:tabs>
          <w:tab w:val="left" w:pos="8505"/>
        </w:tabs>
        <w:spacing w:line="240" w:lineRule="auto"/>
        <w:ind w:right="333"/>
        <w:jc w:val="both"/>
        <w:rPr>
          <w:rFonts w:cs="Arial Hebrew Scholar"/>
          <w:sz w:val="24"/>
          <w:szCs w:val="24"/>
        </w:rPr>
      </w:pPr>
    </w:p>
    <w:p w:rsidR="003F27CC" w:rsidRPr="00F4778D" w:rsidRDefault="00563344" w:rsidP="00563344">
      <w:pPr>
        <w:tabs>
          <w:tab w:val="left" w:pos="8505"/>
        </w:tabs>
        <w:spacing w:line="240" w:lineRule="auto"/>
        <w:ind w:right="333"/>
        <w:jc w:val="center"/>
        <w:rPr>
          <w:rFonts w:cs="Arial Hebrew Scholar"/>
          <w:sz w:val="24"/>
          <w:szCs w:val="24"/>
        </w:rPr>
      </w:pPr>
      <w:r w:rsidRPr="00B2373B">
        <w:rPr>
          <w:b/>
          <w:sz w:val="24"/>
          <w:szCs w:val="24"/>
          <w:u w:val="single"/>
        </w:rPr>
        <w:t>Audiencias</w:t>
      </w:r>
    </w:p>
    <w:tbl>
      <w:tblPr>
        <w:tblStyle w:val="Tablaconcuadrcula"/>
        <w:tblW w:w="10068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Plan Anual de Trabajo. "/>
      </w:tblPr>
      <w:tblGrid>
        <w:gridCol w:w="5107"/>
        <w:gridCol w:w="4961"/>
      </w:tblGrid>
      <w:tr w:rsidR="00B2373B" w:rsidRPr="00B2373B" w:rsidTr="00817E74">
        <w:trPr>
          <w:tblHeader/>
          <w:jc w:val="center"/>
        </w:trPr>
        <w:tc>
          <w:tcPr>
            <w:tcW w:w="5107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lastRenderedPageBreak/>
              <w:t>Temas</w:t>
            </w:r>
          </w:p>
        </w:tc>
        <w:tc>
          <w:tcPr>
            <w:tcW w:w="4961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5107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2373B">
              <w:rPr>
                <w:rFonts w:cs="Arial"/>
                <w:sz w:val="24"/>
                <w:szCs w:val="24"/>
                <w:shd w:val="clear" w:color="auto" w:fill="FFFFFF"/>
              </w:rPr>
              <w:t xml:space="preserve">Derechos de las audiencias y </w:t>
            </w:r>
            <w:r w:rsidRPr="00B2373B">
              <w:rPr>
                <w:rFonts w:eastAsia="Times New Roman" w:cs="Helvetica"/>
              </w:rPr>
              <w:t>producción nacional de contenidos.</w:t>
            </w:r>
          </w:p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Patricia Arriaga</w:t>
            </w:r>
            <w:r w:rsidRPr="00B2373B">
              <w:rPr>
                <w:sz w:val="24"/>
                <w:szCs w:val="24"/>
              </w:rPr>
              <w:t>, Gabriel Sosa Plata, Jorge Fernando Negrete, Elisa Mariscal</w:t>
            </w:r>
          </w:p>
        </w:tc>
      </w:tr>
      <w:tr w:rsidR="00B2373B" w:rsidRPr="00B2373B" w:rsidTr="00B2373B">
        <w:trPr>
          <w:jc w:val="center"/>
        </w:trPr>
        <w:tc>
          <w:tcPr>
            <w:tcW w:w="5107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2373B">
              <w:rPr>
                <w:rFonts w:cs="Arial"/>
                <w:sz w:val="24"/>
                <w:szCs w:val="24"/>
                <w:shd w:val="clear" w:color="auto" w:fill="FFFFFF"/>
              </w:rPr>
              <w:t>Medios públicos.</w:t>
            </w:r>
          </w:p>
          <w:p w:rsidR="00A87856" w:rsidRPr="00B2373B" w:rsidRDefault="00A87856" w:rsidP="00B2373B">
            <w:pPr>
              <w:spacing w:line="240" w:lineRule="auto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Gabriel Sosa Plata,</w:t>
            </w:r>
            <w:r w:rsidRPr="00B2373B">
              <w:rPr>
                <w:sz w:val="24"/>
                <w:szCs w:val="24"/>
              </w:rPr>
              <w:t xml:space="preserve"> Jorge Fernando Negrete</w:t>
            </w:r>
          </w:p>
        </w:tc>
      </w:tr>
    </w:tbl>
    <w:p w:rsidR="00A87856" w:rsidRDefault="00A87856" w:rsidP="00B2373B">
      <w:pPr>
        <w:tabs>
          <w:tab w:val="left" w:pos="8505"/>
        </w:tabs>
        <w:spacing w:line="240" w:lineRule="auto"/>
        <w:ind w:right="333"/>
        <w:jc w:val="both"/>
        <w:rPr>
          <w:rFonts w:cs="Arial Hebrew Scholar"/>
          <w:sz w:val="24"/>
          <w:szCs w:val="24"/>
        </w:rPr>
      </w:pPr>
    </w:p>
    <w:p w:rsidR="00563344" w:rsidRPr="00F4778D" w:rsidRDefault="00563344" w:rsidP="00563344">
      <w:pPr>
        <w:tabs>
          <w:tab w:val="left" w:pos="8505"/>
        </w:tabs>
        <w:spacing w:line="240" w:lineRule="auto"/>
        <w:ind w:right="333"/>
        <w:jc w:val="center"/>
        <w:rPr>
          <w:rFonts w:cs="Arial Hebrew Scholar"/>
          <w:sz w:val="24"/>
          <w:szCs w:val="24"/>
        </w:rPr>
      </w:pPr>
      <w:r w:rsidRPr="00B2373B">
        <w:rPr>
          <w:b/>
          <w:sz w:val="24"/>
          <w:szCs w:val="24"/>
          <w:u w:val="single"/>
        </w:rPr>
        <w:t>Asuntos Nacionales e Internacionales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Plan Anual de Trabajo. "/>
      </w:tblPr>
      <w:tblGrid>
        <w:gridCol w:w="5106"/>
        <w:gridCol w:w="4959"/>
      </w:tblGrid>
      <w:tr w:rsidR="00B2373B" w:rsidRPr="00B2373B" w:rsidTr="00817E74">
        <w:trPr>
          <w:tblHeader/>
          <w:jc w:val="center"/>
        </w:trPr>
        <w:tc>
          <w:tcPr>
            <w:tcW w:w="5106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4959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5106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B2373B">
              <w:rPr>
                <w:rFonts w:cs="Arial"/>
                <w:sz w:val="24"/>
                <w:szCs w:val="24"/>
                <w:shd w:val="clear" w:color="auto" w:fill="FFFFFF"/>
              </w:rPr>
              <w:t>Revisión del escenario estratégico con el TLC.</w:t>
            </w:r>
          </w:p>
        </w:tc>
        <w:tc>
          <w:tcPr>
            <w:tcW w:w="4959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Jorge Fernando Negrete</w:t>
            </w:r>
            <w:r w:rsidRPr="00B2373B">
              <w:rPr>
                <w:sz w:val="24"/>
                <w:szCs w:val="24"/>
              </w:rPr>
              <w:t>, Rodolfo de la Rosa</w:t>
            </w:r>
          </w:p>
        </w:tc>
      </w:tr>
    </w:tbl>
    <w:p w:rsidR="00A87856" w:rsidRDefault="00A87856" w:rsidP="00B2373B">
      <w:pPr>
        <w:tabs>
          <w:tab w:val="left" w:pos="8505"/>
        </w:tabs>
        <w:spacing w:line="240" w:lineRule="auto"/>
        <w:ind w:right="333"/>
        <w:jc w:val="both"/>
        <w:rPr>
          <w:rFonts w:cs="Arial Hebrew Scholar"/>
          <w:sz w:val="24"/>
          <w:szCs w:val="24"/>
        </w:rPr>
      </w:pPr>
    </w:p>
    <w:p w:rsidR="00563344" w:rsidRDefault="00563344" w:rsidP="00563344">
      <w:pPr>
        <w:tabs>
          <w:tab w:val="left" w:pos="8505"/>
        </w:tabs>
        <w:spacing w:line="240" w:lineRule="auto"/>
        <w:ind w:right="333"/>
        <w:jc w:val="center"/>
        <w:rPr>
          <w:rFonts w:cs="Arial Hebrew Scholar"/>
          <w:sz w:val="24"/>
          <w:szCs w:val="24"/>
        </w:rPr>
      </w:pPr>
      <w:r w:rsidRPr="00B2373B">
        <w:rPr>
          <w:b/>
          <w:sz w:val="24"/>
          <w:szCs w:val="24"/>
          <w:u w:val="single"/>
        </w:rPr>
        <w:t>Infraestructura</w:t>
      </w: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  <w:tblCaption w:val="Tabla"/>
        <w:tblDescription w:val="Plan Anual de Trabajo. "/>
      </w:tblPr>
      <w:tblGrid>
        <w:gridCol w:w="4966"/>
        <w:gridCol w:w="5099"/>
      </w:tblGrid>
      <w:tr w:rsidR="00B2373B" w:rsidRPr="00B2373B" w:rsidTr="00817E74">
        <w:trPr>
          <w:tblHeader/>
          <w:jc w:val="center"/>
        </w:trPr>
        <w:tc>
          <w:tcPr>
            <w:tcW w:w="4966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Temas</w:t>
            </w:r>
          </w:p>
        </w:tc>
        <w:tc>
          <w:tcPr>
            <w:tcW w:w="5099" w:type="dxa"/>
            <w:shd w:val="clear" w:color="auto" w:fill="009999"/>
            <w:vAlign w:val="center"/>
          </w:tcPr>
          <w:p w:rsidR="00A87856" w:rsidRPr="00B2373B" w:rsidRDefault="00A87856" w:rsidP="00B23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Propuesta de:</w:t>
            </w:r>
          </w:p>
        </w:tc>
      </w:tr>
      <w:tr w:rsidR="00B2373B" w:rsidRPr="00B2373B" w:rsidTr="00B2373B">
        <w:trPr>
          <w:jc w:val="center"/>
        </w:trPr>
        <w:tc>
          <w:tcPr>
            <w:tcW w:w="4966" w:type="dxa"/>
            <w:vAlign w:val="center"/>
          </w:tcPr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4"/>
                <w:szCs w:val="24"/>
                <w:lang w:eastAsia="es-MX"/>
              </w:rPr>
            </w:pPr>
            <w:r w:rsidRPr="00B2373B">
              <w:rPr>
                <w:sz w:val="24"/>
                <w:szCs w:val="24"/>
                <w:lang w:eastAsia="es-MX"/>
              </w:rPr>
              <w:t>Desarrollo de tecnología en el país.</w:t>
            </w:r>
          </w:p>
          <w:p w:rsidR="00A87856" w:rsidRPr="00B2373B" w:rsidRDefault="00A87856" w:rsidP="00B2373B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sz w:val="24"/>
                <w:szCs w:val="24"/>
                <w:lang w:eastAsia="es-MX"/>
              </w:rPr>
            </w:pPr>
          </w:p>
        </w:tc>
        <w:tc>
          <w:tcPr>
            <w:tcW w:w="5099" w:type="dxa"/>
            <w:vAlign w:val="center"/>
          </w:tcPr>
          <w:p w:rsidR="00A87856" w:rsidRPr="00B2373B" w:rsidRDefault="00A87856" w:rsidP="00B2373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373B">
              <w:rPr>
                <w:b/>
                <w:sz w:val="24"/>
                <w:szCs w:val="24"/>
              </w:rPr>
              <w:t>José Luis Peralta</w:t>
            </w:r>
            <w:r w:rsidRPr="00B2373B">
              <w:rPr>
                <w:sz w:val="24"/>
                <w:szCs w:val="24"/>
              </w:rPr>
              <w:t>, Rodolfo de la Rosa, Salma Jalife, Ulises Mendoza, Federico Kuhlmann</w:t>
            </w:r>
          </w:p>
        </w:tc>
      </w:tr>
    </w:tbl>
    <w:p w:rsidR="00A87856" w:rsidRDefault="00A87856" w:rsidP="00B2373B">
      <w:pPr>
        <w:tabs>
          <w:tab w:val="left" w:pos="8505"/>
        </w:tabs>
        <w:spacing w:line="240" w:lineRule="auto"/>
        <w:ind w:right="333"/>
        <w:rPr>
          <w:rFonts w:cs="Arial Hebrew Scholar"/>
          <w:b/>
          <w:sz w:val="24"/>
          <w:szCs w:val="24"/>
        </w:rPr>
      </w:pPr>
    </w:p>
    <w:p w:rsidR="00B2373B" w:rsidRDefault="00A87856" w:rsidP="00B2373B">
      <w:pPr>
        <w:spacing w:line="240" w:lineRule="auto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Temas posibles a ser analizados y, en su caso, a emitir una Recomendación si las cargas de trabajo lo permiten:</w:t>
      </w:r>
    </w:p>
    <w:p w:rsidR="00A87856" w:rsidRPr="003E55D0" w:rsidRDefault="00A87856" w:rsidP="00B2373B">
      <w:pPr>
        <w:numPr>
          <w:ilvl w:val="0"/>
          <w:numId w:val="4"/>
        </w:num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E55D0">
        <w:rPr>
          <w:rFonts w:cs="Arial"/>
          <w:b/>
          <w:color w:val="000000"/>
          <w:sz w:val="24"/>
          <w:szCs w:val="24"/>
          <w:shd w:val="clear" w:color="auto" w:fill="FFFFFF"/>
        </w:rPr>
        <w:t>Inclusión digital,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como </w:t>
      </w:r>
      <w:r w:rsidRPr="00F4778D">
        <w:rPr>
          <w:rFonts w:cs="Arial"/>
          <w:color w:val="000000"/>
          <w:sz w:val="24"/>
          <w:szCs w:val="24"/>
          <w:shd w:val="clear" w:color="auto" w:fill="FFFFFF"/>
        </w:rPr>
        <w:t>polí</w:t>
      </w:r>
      <w:r>
        <w:rPr>
          <w:rFonts w:cs="Arial"/>
          <w:color w:val="000000"/>
          <w:sz w:val="24"/>
          <w:szCs w:val="24"/>
          <w:shd w:val="clear" w:color="auto" w:fill="FFFFFF"/>
        </w:rPr>
        <w:t>tica pública interinstitucional, y que, en la medida de lo posible, debe ser considerado por los Grupos de Trabajo como un tema transversal en el desarrollo de sus propuestas de Recomendaciones.</w:t>
      </w:r>
    </w:p>
    <w:p w:rsidR="00B2373B" w:rsidRDefault="00A87856" w:rsidP="00B2373B">
      <w:pPr>
        <w:numPr>
          <w:ilvl w:val="0"/>
          <w:numId w:val="4"/>
        </w:numPr>
        <w:spacing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E55D0">
        <w:rPr>
          <w:rFonts w:cs="Arial Hebrew Scholar"/>
          <w:b/>
          <w:sz w:val="24"/>
          <w:szCs w:val="24"/>
        </w:rPr>
        <w:t xml:space="preserve"> </w:t>
      </w:r>
      <w:r w:rsidRPr="003E55D0">
        <w:rPr>
          <w:b/>
          <w:sz w:val="24"/>
          <w:szCs w:val="24"/>
        </w:rPr>
        <w:t>Inversión del Estado en Infraestructura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B2373B" w:rsidRDefault="00A0142A" w:rsidP="00B2373B">
      <w:pPr>
        <w:pStyle w:val="Ttulo3"/>
        <w:spacing w:after="160"/>
        <w:rPr>
          <w:rFonts w:asciiTheme="minorHAnsi" w:hAnsiTheme="minorHAnsi"/>
          <w:b/>
          <w:color w:val="auto"/>
        </w:rPr>
      </w:pPr>
      <w:r w:rsidRPr="00B2373B">
        <w:rPr>
          <w:rFonts w:asciiTheme="minorHAnsi" w:hAnsiTheme="minorHAnsi"/>
          <w:b/>
          <w:color w:val="auto"/>
        </w:rPr>
        <w:t>IV.- Asuntos Generales.</w:t>
      </w:r>
    </w:p>
    <w:p w:rsidR="00B2373B" w:rsidRDefault="00A0142A" w:rsidP="00B2373B">
      <w:pPr>
        <w:pStyle w:val="Ttulo4"/>
        <w:spacing w:after="160"/>
        <w:rPr>
          <w:rFonts w:asciiTheme="minorHAnsi" w:hAnsiTheme="minorHAnsi"/>
          <w:b/>
          <w:i w:val="0"/>
          <w:color w:val="auto"/>
        </w:rPr>
      </w:pPr>
      <w:r w:rsidRPr="00B2373B">
        <w:rPr>
          <w:rFonts w:asciiTheme="minorHAnsi" w:hAnsiTheme="minorHAnsi"/>
          <w:b/>
          <w:i w:val="0"/>
          <w:color w:val="auto"/>
        </w:rPr>
        <w:t>IV.1.- Lineamientos para la Acreditación de peritos en materia de telecomunicaciones y radiodifusión.</w:t>
      </w:r>
    </w:p>
    <w:p w:rsidR="00B2373B" w:rsidRDefault="00A0142A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A0142A">
        <w:rPr>
          <w:rFonts w:eastAsia="Times New Roman"/>
          <w:sz w:val="24"/>
          <w:szCs w:val="24"/>
          <w:lang w:val="es-ES" w:eastAsia="es-ES"/>
        </w:rPr>
        <w:t>El Consejero Federico Kuhlmann con apoyo del Consejero Gerardo González Abarca, elaborarán una propuesta de Recomendación más amplia sobre los Lineamientos para la Acreditación de peritos.</w:t>
      </w:r>
    </w:p>
    <w:p w:rsidR="00B2373B" w:rsidRDefault="00A0142A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A0142A">
        <w:rPr>
          <w:rFonts w:eastAsia="Times New Roman"/>
          <w:sz w:val="24"/>
          <w:szCs w:val="24"/>
          <w:lang w:val="es-ES" w:eastAsia="es-ES"/>
        </w:rPr>
        <w:t>Se aprobó por unanimidad.</w:t>
      </w:r>
    </w:p>
    <w:p w:rsidR="00B2373B" w:rsidRDefault="00A0142A" w:rsidP="00B2373B">
      <w:pPr>
        <w:pStyle w:val="Ttulo4"/>
        <w:spacing w:after="160"/>
        <w:rPr>
          <w:rFonts w:asciiTheme="minorHAnsi" w:hAnsiTheme="minorHAnsi"/>
          <w:b/>
          <w:i w:val="0"/>
          <w:color w:val="auto"/>
        </w:rPr>
      </w:pPr>
      <w:r w:rsidRPr="00B2373B">
        <w:rPr>
          <w:rFonts w:asciiTheme="minorHAnsi" w:hAnsiTheme="minorHAnsi"/>
          <w:b/>
          <w:i w:val="0"/>
          <w:color w:val="auto"/>
        </w:rPr>
        <w:lastRenderedPageBreak/>
        <w:t>IV.2.- Pago de derechos en concesiones de uso social e indígena.</w:t>
      </w:r>
    </w:p>
    <w:p w:rsidR="00B2373B" w:rsidRDefault="00A0142A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A0142A">
        <w:rPr>
          <w:rFonts w:eastAsia="Times New Roman"/>
          <w:sz w:val="24"/>
          <w:szCs w:val="24"/>
          <w:lang w:val="es-ES" w:eastAsia="es-ES"/>
        </w:rPr>
        <w:t>El Consejero Luis Miguel Martínez elaborará una propuesta que pudiera, en su caso, ser discutida y aprobada mediante votación electrónica en términos del artículo 17 último párrafo, de las Reglas de Operación del Consejo.</w:t>
      </w:r>
    </w:p>
    <w:p w:rsidR="00A0142A" w:rsidRPr="00A0142A" w:rsidRDefault="00A0142A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</w:p>
    <w:p w:rsidR="00B2373B" w:rsidRDefault="00A0142A" w:rsidP="00B2373B">
      <w:pPr>
        <w:pStyle w:val="Ttulo4"/>
        <w:spacing w:after="160"/>
        <w:rPr>
          <w:rFonts w:asciiTheme="minorHAnsi" w:hAnsiTheme="minorHAnsi"/>
          <w:b/>
          <w:i w:val="0"/>
          <w:color w:val="auto"/>
        </w:rPr>
      </w:pPr>
      <w:r w:rsidRPr="00B2373B">
        <w:rPr>
          <w:rFonts w:asciiTheme="minorHAnsi" w:hAnsiTheme="minorHAnsi"/>
          <w:b/>
          <w:i w:val="0"/>
          <w:color w:val="auto"/>
        </w:rPr>
        <w:t>IV.3.- Comunicado para el proceso de elección de Comisionado Presidente del IFT.</w:t>
      </w:r>
    </w:p>
    <w:p w:rsidR="00B2373B" w:rsidRDefault="00A0142A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A0142A">
        <w:rPr>
          <w:rFonts w:eastAsia="Times New Roman"/>
          <w:sz w:val="24"/>
          <w:szCs w:val="24"/>
          <w:lang w:val="es-ES" w:eastAsia="es-ES"/>
        </w:rPr>
        <w:t>En términos de las actividades del Consejo, se analizará la emisión, en su caso, de un pronunciamiento al respecto.</w:t>
      </w:r>
    </w:p>
    <w:p w:rsidR="004F2AF6" w:rsidRPr="007D598D" w:rsidRDefault="004F2AF6" w:rsidP="00B2373B">
      <w:pPr>
        <w:spacing w:line="240" w:lineRule="auto"/>
        <w:jc w:val="both"/>
        <w:rPr>
          <w:rFonts w:eastAsia="Times New Roman"/>
          <w:sz w:val="24"/>
          <w:szCs w:val="24"/>
          <w:lang w:val="es-ES" w:eastAsia="es-ES"/>
        </w:rPr>
      </w:pPr>
      <w:r w:rsidRPr="007D598D">
        <w:rPr>
          <w:rFonts w:eastAsia="Times New Roman"/>
          <w:sz w:val="24"/>
          <w:szCs w:val="24"/>
          <w:lang w:val="es-ES" w:eastAsia="es-ES"/>
        </w:rPr>
        <w:t>No habiendo otro asunto que trata</w:t>
      </w:r>
      <w:r w:rsidR="003F27CC">
        <w:rPr>
          <w:rFonts w:eastAsia="Times New Roman"/>
          <w:sz w:val="24"/>
          <w:szCs w:val="24"/>
          <w:lang w:val="es-ES" w:eastAsia="es-ES"/>
        </w:rPr>
        <w:t>r, se levantó la sesión a las 19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horas con </w:t>
      </w:r>
      <w:r w:rsidR="003F27CC">
        <w:rPr>
          <w:rFonts w:eastAsia="Times New Roman"/>
          <w:sz w:val="24"/>
          <w:szCs w:val="24"/>
          <w:lang w:val="es-ES" w:eastAsia="es-ES"/>
        </w:rPr>
        <w:t>00</w:t>
      </w:r>
      <w:r w:rsidRPr="007D598D">
        <w:rPr>
          <w:rFonts w:eastAsia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eastAsia="Times New Roman"/>
          <w:b/>
          <w:bCs/>
          <w:sz w:val="24"/>
          <w:szCs w:val="24"/>
          <w:lang w:val="es-ES" w:eastAsia="es-ES"/>
        </w:rPr>
        <w:t>_________________________________________</w:t>
      </w:r>
      <w:r>
        <w:rPr>
          <w:rFonts w:eastAsia="Times New Roman"/>
          <w:b/>
          <w:bCs/>
          <w:sz w:val="24"/>
          <w:szCs w:val="24"/>
          <w:lang w:val="es-ES" w:eastAsia="es-ES"/>
        </w:rPr>
        <w:t>____</w:t>
      </w:r>
      <w:r w:rsidRPr="007D598D">
        <w:rPr>
          <w:rFonts w:eastAsia="Times New Roman"/>
          <w:b/>
          <w:bCs/>
          <w:sz w:val="24"/>
          <w:szCs w:val="24"/>
          <w:lang w:val="es-ES" w:eastAsia="es-ES"/>
        </w:rPr>
        <w:t>_________</w:t>
      </w:r>
      <w:r w:rsidR="00A65427">
        <w:rPr>
          <w:rFonts w:eastAsia="Times New Roman"/>
          <w:b/>
          <w:bCs/>
          <w:sz w:val="24"/>
          <w:szCs w:val="24"/>
          <w:lang w:val="es-ES" w:eastAsia="es-ES"/>
        </w:rPr>
        <w:t>___________________</w:t>
      </w:r>
    </w:p>
    <w:p w:rsidR="004F2AF6" w:rsidRPr="007D598D" w:rsidRDefault="004F2AF6" w:rsidP="00B237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 xml:space="preserve">Dr. Ernesto M. Flores-Roux 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Presidente</w:t>
      </w:r>
    </w:p>
    <w:p w:rsidR="004F2AF6" w:rsidRPr="007D598D" w:rsidRDefault="004F2AF6" w:rsidP="00B237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es-ES"/>
        </w:rPr>
      </w:pPr>
    </w:p>
    <w:p w:rsidR="004F2AF6" w:rsidRPr="007D598D" w:rsidRDefault="004F2AF6" w:rsidP="00B237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Lic. Juan José Crispín Borbolla</w:t>
      </w:r>
    </w:p>
    <w:p w:rsidR="00B2373B" w:rsidRDefault="004F2AF6" w:rsidP="00B2373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007D598D">
        <w:rPr>
          <w:rFonts w:eastAsia="Times New Roman"/>
          <w:b/>
          <w:bCs/>
          <w:sz w:val="24"/>
          <w:szCs w:val="24"/>
          <w:lang w:eastAsia="es-ES"/>
        </w:rPr>
        <w:t>Secretario del Consejo</w:t>
      </w:r>
    </w:p>
    <w:p w:rsidR="00B2373B" w:rsidRDefault="00070894" w:rsidP="00563344">
      <w:pPr>
        <w:spacing w:line="240" w:lineRule="auto"/>
        <w:jc w:val="both"/>
      </w:pPr>
      <w:r w:rsidRPr="00070894">
        <w:rPr>
          <w:rFonts w:eastAsia="Times New Roman"/>
          <w:sz w:val="18"/>
          <w:szCs w:val="18"/>
          <w:lang w:val="es-ES" w:eastAsia="es-ES"/>
        </w:rPr>
        <w:t>La presente Acta fue aprobada por el Consejo Consultivo del Instituto Federal de Telecomunicaciones por unanimidad de votos de los Consejeros presentes: Rodolfo De</w:t>
      </w:r>
      <w:r>
        <w:rPr>
          <w:rFonts w:eastAsia="Times New Roman"/>
          <w:sz w:val="18"/>
          <w:szCs w:val="18"/>
          <w:lang w:val="es-ES" w:eastAsia="es-ES"/>
        </w:rPr>
        <w:t xml:space="preserve"> la Rosa Rábago, Ernesto M.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 Flores-Roux, Gerardo Francisco González Abarca, </w:t>
      </w:r>
      <w:r>
        <w:rPr>
          <w:rFonts w:eastAsia="Times New Roman"/>
          <w:sz w:val="18"/>
          <w:szCs w:val="18"/>
          <w:lang w:val="es-ES" w:eastAsia="es-ES"/>
        </w:rPr>
        <w:t xml:space="preserve">Erik Huesca Morales, Salma Leticia Jalife Villalón, Federico Kuhlmann Rodríguez, 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Luis Miguel Martínez Cervantes, Alejandro Ulises Mendoza Pérez, Jorge Fernando Negrete Pacheco, </w:t>
      </w:r>
      <w:r>
        <w:rPr>
          <w:rFonts w:eastAsia="Times New Roman"/>
          <w:sz w:val="18"/>
          <w:szCs w:val="18"/>
          <w:lang w:val="es-ES" w:eastAsia="es-ES"/>
        </w:rPr>
        <w:t>José Luis Peralta Higuera y Paola Ricaurte Quijano</w:t>
      </w:r>
      <w:r w:rsidRPr="00070894">
        <w:rPr>
          <w:rFonts w:eastAsia="Times New Roman"/>
          <w:sz w:val="18"/>
          <w:szCs w:val="18"/>
          <w:lang w:val="es-ES" w:eastAsia="es-ES"/>
        </w:rPr>
        <w:t>,  en su I</w:t>
      </w:r>
      <w:r>
        <w:rPr>
          <w:rFonts w:eastAsia="Times New Roman"/>
          <w:sz w:val="18"/>
          <w:szCs w:val="18"/>
          <w:lang w:val="es-ES" w:eastAsia="es-ES"/>
        </w:rPr>
        <w:t>I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I Sesión Ordinaria celebrada el </w:t>
      </w:r>
      <w:r>
        <w:rPr>
          <w:rFonts w:eastAsia="Times New Roman"/>
          <w:sz w:val="18"/>
          <w:szCs w:val="18"/>
          <w:lang w:val="es-ES" w:eastAsia="es-ES"/>
        </w:rPr>
        <w:t xml:space="preserve">05 de </w:t>
      </w:r>
      <w:r w:rsidR="00D3557C">
        <w:rPr>
          <w:rFonts w:eastAsia="Times New Roman"/>
          <w:sz w:val="18"/>
          <w:szCs w:val="18"/>
          <w:lang w:val="es-ES" w:eastAsia="es-ES"/>
        </w:rPr>
        <w:t>octubre</w:t>
      </w:r>
      <w:r w:rsidRPr="00070894">
        <w:rPr>
          <w:rFonts w:eastAsia="Times New Roman"/>
          <w:sz w:val="18"/>
          <w:szCs w:val="18"/>
          <w:lang w:val="es-ES" w:eastAsia="es-ES"/>
        </w:rPr>
        <w:t xml:space="preserve"> de 2017, mediante Acuerdo CC/IFT/</w:t>
      </w:r>
      <w:r>
        <w:rPr>
          <w:rFonts w:eastAsia="Times New Roman"/>
          <w:sz w:val="18"/>
          <w:szCs w:val="18"/>
          <w:lang w:val="es-ES" w:eastAsia="es-ES"/>
        </w:rPr>
        <w:t>051017/3.</w:t>
      </w:r>
    </w:p>
    <w:sectPr w:rsidR="00B2373B" w:rsidSect="002828A5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72" w:rsidRDefault="00F06872" w:rsidP="001454A2">
      <w:pPr>
        <w:spacing w:after="0" w:line="240" w:lineRule="auto"/>
      </w:pPr>
      <w:r>
        <w:separator/>
      </w:r>
    </w:p>
  </w:endnote>
  <w:endnote w:type="continuationSeparator" w:id="0">
    <w:p w:rsidR="00F06872" w:rsidRDefault="00F06872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72" w:rsidRDefault="00F06872" w:rsidP="001454A2">
      <w:pPr>
        <w:spacing w:after="0" w:line="240" w:lineRule="auto"/>
      </w:pPr>
      <w:r>
        <w:separator/>
      </w:r>
    </w:p>
  </w:footnote>
  <w:footnote w:type="continuationSeparator" w:id="0">
    <w:p w:rsidR="00F06872" w:rsidRDefault="00F06872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0C7821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6755"/>
          <wp:effectExtent l="0" t="0" r="0" b="0"/>
          <wp:docPr id="1" name="Imagen 1" descr="Logotip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1585"/>
    <w:rsid w:val="00052466"/>
    <w:rsid w:val="00052867"/>
    <w:rsid w:val="00070894"/>
    <w:rsid w:val="00080B88"/>
    <w:rsid w:val="00082622"/>
    <w:rsid w:val="0009508A"/>
    <w:rsid w:val="000C4120"/>
    <w:rsid w:val="000C7821"/>
    <w:rsid w:val="001454A2"/>
    <w:rsid w:val="001E2598"/>
    <w:rsid w:val="002128BC"/>
    <w:rsid w:val="00240736"/>
    <w:rsid w:val="00262B5E"/>
    <w:rsid w:val="002828A5"/>
    <w:rsid w:val="00283DAA"/>
    <w:rsid w:val="002A5FE9"/>
    <w:rsid w:val="002D798A"/>
    <w:rsid w:val="002E256E"/>
    <w:rsid w:val="002F0FD1"/>
    <w:rsid w:val="002F583B"/>
    <w:rsid w:val="002F6375"/>
    <w:rsid w:val="0036743A"/>
    <w:rsid w:val="003A23D8"/>
    <w:rsid w:val="003B14AE"/>
    <w:rsid w:val="003F27CC"/>
    <w:rsid w:val="00437D37"/>
    <w:rsid w:val="004503D2"/>
    <w:rsid w:val="00473090"/>
    <w:rsid w:val="00481901"/>
    <w:rsid w:val="004B4B9C"/>
    <w:rsid w:val="004C0E82"/>
    <w:rsid w:val="004F2AF6"/>
    <w:rsid w:val="00563344"/>
    <w:rsid w:val="005A66B7"/>
    <w:rsid w:val="005C66C3"/>
    <w:rsid w:val="00640EC4"/>
    <w:rsid w:val="006459D0"/>
    <w:rsid w:val="006B063E"/>
    <w:rsid w:val="006E0BF9"/>
    <w:rsid w:val="006F17E9"/>
    <w:rsid w:val="0071312F"/>
    <w:rsid w:val="0079387B"/>
    <w:rsid w:val="007D1CD9"/>
    <w:rsid w:val="007F5641"/>
    <w:rsid w:val="00817E74"/>
    <w:rsid w:val="008233D6"/>
    <w:rsid w:val="00836E71"/>
    <w:rsid w:val="00850CF7"/>
    <w:rsid w:val="00882E75"/>
    <w:rsid w:val="008A0CCF"/>
    <w:rsid w:val="00903EBE"/>
    <w:rsid w:val="009320B1"/>
    <w:rsid w:val="009D1EE4"/>
    <w:rsid w:val="00A0142A"/>
    <w:rsid w:val="00A65427"/>
    <w:rsid w:val="00A75629"/>
    <w:rsid w:val="00A87856"/>
    <w:rsid w:val="00AE7731"/>
    <w:rsid w:val="00B10438"/>
    <w:rsid w:val="00B2373B"/>
    <w:rsid w:val="00B9037B"/>
    <w:rsid w:val="00C53818"/>
    <w:rsid w:val="00C7464D"/>
    <w:rsid w:val="00C9681C"/>
    <w:rsid w:val="00C97A22"/>
    <w:rsid w:val="00CD326C"/>
    <w:rsid w:val="00D2389B"/>
    <w:rsid w:val="00D3557C"/>
    <w:rsid w:val="00D8280A"/>
    <w:rsid w:val="00DB1E8C"/>
    <w:rsid w:val="00E021F3"/>
    <w:rsid w:val="00E070B3"/>
    <w:rsid w:val="00E54373"/>
    <w:rsid w:val="00E620FD"/>
    <w:rsid w:val="00E757F9"/>
    <w:rsid w:val="00E85801"/>
    <w:rsid w:val="00EC020A"/>
    <w:rsid w:val="00EC41BD"/>
    <w:rsid w:val="00F02249"/>
    <w:rsid w:val="00F06872"/>
    <w:rsid w:val="00F1770F"/>
    <w:rsid w:val="00F51526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B7411"/>
  <w15:chartTrackingRefBased/>
  <w15:docId w15:val="{76CEFCB7-1E00-488C-B789-1B1F5ECD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3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3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3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23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237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237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2373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0E4296-6A17-419C-A551-CC0C7F7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Yaratzet Funes Lopez</cp:lastModifiedBy>
  <cp:revision>2</cp:revision>
  <cp:lastPrinted>2017-09-05T22:41:00Z</cp:lastPrinted>
  <dcterms:created xsi:type="dcterms:W3CDTF">2018-06-29T15:18:00Z</dcterms:created>
  <dcterms:modified xsi:type="dcterms:W3CDTF">2018-06-29T15:18:00Z</dcterms:modified>
</cp:coreProperties>
</file>