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022" w:rsidRPr="00645022" w:rsidRDefault="006B142A" w:rsidP="00645022">
      <w:pPr>
        <w:pStyle w:val="Ttulo1"/>
        <w:spacing w:after="240"/>
        <w:jc w:val="both"/>
        <w:rPr>
          <w:b/>
          <w:color w:val="auto"/>
          <w:sz w:val="24"/>
          <w:szCs w:val="24"/>
          <w:lang w:val="es-ES"/>
        </w:rPr>
      </w:pPr>
      <w:r w:rsidRPr="00645022">
        <w:rPr>
          <w:b/>
          <w:color w:val="auto"/>
          <w:sz w:val="24"/>
          <w:szCs w:val="24"/>
          <w:lang w:val="es-ES"/>
        </w:rPr>
        <w:t>RECOMENDACIÓN QUE EMITE EL CONSEJO CONSULTIVO DEL INSTITUTO FEDERA</w:t>
      </w:r>
      <w:r w:rsidR="00FC6396" w:rsidRPr="00645022">
        <w:rPr>
          <w:b/>
          <w:color w:val="auto"/>
          <w:sz w:val="24"/>
          <w:szCs w:val="24"/>
          <w:lang w:val="es-ES"/>
        </w:rPr>
        <w:t>L DE TELECOMUNICACIONES SOBRE</w:t>
      </w:r>
      <w:r w:rsidRPr="00645022">
        <w:rPr>
          <w:b/>
          <w:color w:val="auto"/>
          <w:sz w:val="24"/>
          <w:szCs w:val="24"/>
          <w:lang w:val="es-ES"/>
        </w:rPr>
        <w:t xml:space="preserve"> LOS TRÁMITES ANTE EL IFT.</w:t>
      </w:r>
    </w:p>
    <w:p w:rsidR="002663DC" w:rsidRPr="006B142A" w:rsidRDefault="002663DC" w:rsidP="00645022">
      <w:pPr>
        <w:spacing w:before="240" w:line="360" w:lineRule="auto"/>
        <w:jc w:val="both"/>
        <w:rPr>
          <w:rFonts w:asciiTheme="minorHAnsi" w:hAnsiTheme="minorHAnsi" w:cstheme="majorHAnsi"/>
          <w:lang w:val="es-ES"/>
        </w:rPr>
      </w:pPr>
      <w:r w:rsidRPr="00692485">
        <w:rPr>
          <w:rFonts w:asciiTheme="minorHAnsi" w:hAnsiTheme="minorHAnsi" w:cstheme="majorHAnsi"/>
          <w:lang w:val="es-ES"/>
        </w:rPr>
        <w:t xml:space="preserve">Resulta de suma importancia tomar en cuenta que el IFT tiene por objeto regular y promover la competencia y el desarrollo eficiente de las telecomunicaciones y la radiodifusión. Uno de los pilares para conseguirlo es permitir la participación de </w:t>
      </w:r>
      <w:r w:rsidR="00B93C44" w:rsidRPr="00692485">
        <w:rPr>
          <w:rFonts w:asciiTheme="minorHAnsi" w:hAnsiTheme="minorHAnsi" w:cstheme="majorHAnsi"/>
          <w:lang w:val="es-ES"/>
        </w:rPr>
        <w:t xml:space="preserve">las personas físicas y morales que quieran ser proveedores de servicios de telecomunicaciones o de radiodifusión. En ese sentido, la manera de una persona para ser proveedor es </w:t>
      </w:r>
      <w:r w:rsidR="00B93C44" w:rsidRPr="006B142A">
        <w:rPr>
          <w:rFonts w:asciiTheme="minorHAnsi" w:hAnsiTheme="minorHAnsi" w:cstheme="majorHAnsi"/>
          <w:lang w:val="es-ES"/>
        </w:rPr>
        <w:t xml:space="preserve">mediante la obtención de una concesión única o de una autorización. </w:t>
      </w:r>
    </w:p>
    <w:p w:rsidR="00AD3707" w:rsidRPr="006B142A" w:rsidRDefault="00AD3707" w:rsidP="00645022">
      <w:pPr>
        <w:spacing w:before="240" w:after="200" w:line="360" w:lineRule="auto"/>
        <w:jc w:val="both"/>
        <w:rPr>
          <w:rFonts w:asciiTheme="minorHAnsi" w:eastAsia="Times New Roman" w:hAnsiTheme="minorHAnsi" w:cstheme="majorHAnsi"/>
          <w:lang w:val="es-ES"/>
        </w:rPr>
      </w:pPr>
      <w:r w:rsidRPr="006B142A">
        <w:rPr>
          <w:rFonts w:asciiTheme="minorHAnsi" w:eastAsia="Times New Roman" w:hAnsiTheme="minorHAnsi" w:cstheme="majorHAnsi"/>
          <w:lang w:val="es-ES"/>
        </w:rPr>
        <w:t xml:space="preserve">Entendemos que el IFT tiene responsabilidad de aplicar tanto la Ley Federal de Telecomunicaciones y Radiodifusión (“LFTR”) como la Ley Federal de Competencia Económica (“LFCE”). Entre las responsabilidades que la LFCE tiene para el IFT están las de abogacía en favor de la competencia que normalmente llevan a cabo las agencias de competencia. La abogacía de acuerdo con el International </w:t>
      </w:r>
      <w:proofErr w:type="spellStart"/>
      <w:r w:rsidRPr="006B142A">
        <w:rPr>
          <w:rFonts w:asciiTheme="minorHAnsi" w:eastAsia="Times New Roman" w:hAnsiTheme="minorHAnsi" w:cstheme="majorHAnsi"/>
          <w:lang w:val="es-ES"/>
        </w:rPr>
        <w:t>Competition</w:t>
      </w:r>
      <w:proofErr w:type="spellEnd"/>
      <w:r w:rsidRPr="006B142A">
        <w:rPr>
          <w:rFonts w:asciiTheme="minorHAnsi" w:eastAsia="Times New Roman" w:hAnsiTheme="minorHAnsi" w:cstheme="majorHAnsi"/>
          <w:lang w:val="es-ES"/>
        </w:rPr>
        <w:t xml:space="preserve"> Network (“ICN”)</w:t>
      </w:r>
      <w:proofErr w:type="gramStart"/>
      <w:r w:rsidRPr="006B142A">
        <w:rPr>
          <w:rFonts w:asciiTheme="minorHAnsi" w:eastAsia="Times New Roman" w:hAnsiTheme="minorHAnsi" w:cstheme="majorHAnsi"/>
          <w:lang w:val="es-ES"/>
        </w:rPr>
        <w:t>,</w:t>
      </w:r>
      <w:r w:rsidRPr="006B142A">
        <w:rPr>
          <w:rFonts w:asciiTheme="minorHAnsi" w:eastAsia="Times New Roman" w:hAnsiTheme="minorHAnsi" w:cstheme="majorHAnsi"/>
          <w:vertAlign w:val="superscript"/>
          <w:lang w:val="es-ES"/>
        </w:rPr>
        <w:footnoteReference w:customMarkFollows="1" w:id="1"/>
        <w:t>[</w:t>
      </w:r>
      <w:proofErr w:type="gramEnd"/>
      <w:r w:rsidRPr="006B142A">
        <w:rPr>
          <w:rFonts w:asciiTheme="minorHAnsi" w:eastAsia="Times New Roman" w:hAnsiTheme="minorHAnsi" w:cstheme="majorHAnsi"/>
          <w:vertAlign w:val="superscript"/>
          <w:lang w:val="es-ES"/>
        </w:rPr>
        <w:t>1]</w:t>
      </w:r>
      <w:r w:rsidRPr="006B142A">
        <w:rPr>
          <w:rFonts w:asciiTheme="minorHAnsi" w:eastAsia="Times New Roman" w:hAnsiTheme="minorHAnsi" w:cstheme="majorHAnsi"/>
          <w:lang w:val="es-ES"/>
        </w:rPr>
        <w:t xml:space="preserve"> se define como “aquellas actividades que lleva a cabo la autoridad de competencia relacionadas con la promoción de un ambiente competitivo a través de mecanismos diferentes a los de cumplimiento, principalmente a través de sus relaciones con otras entidades gubernamentales e incrementando la conciencia pública de los beneficios de la competencia.” Haciendo uso de sus facultades, la autoridad de competencia lleva a cabo revisiones de las leyes y reglamentos tanto existentes como los que se encuentren en propuesta, y proporciona sugerencias y consejos respecto a políticas y medidas de gobierno que promuevan prácticas anticompetitivas o ineficiencias. </w:t>
      </w:r>
    </w:p>
    <w:p w:rsidR="00AD3707" w:rsidRPr="00692485" w:rsidRDefault="00644700" w:rsidP="00645022">
      <w:pPr>
        <w:spacing w:before="240" w:line="360" w:lineRule="auto"/>
        <w:jc w:val="both"/>
        <w:rPr>
          <w:rFonts w:asciiTheme="minorHAnsi" w:hAnsiTheme="minorHAnsi" w:cstheme="majorHAnsi"/>
        </w:rPr>
      </w:pPr>
      <w:r w:rsidRPr="006B142A">
        <w:rPr>
          <w:rFonts w:asciiTheme="minorHAnsi" w:hAnsiTheme="minorHAnsi" w:cstheme="majorHAnsi"/>
        </w:rPr>
        <w:t>Por su parte, la Organización para la Cooperación y el Desarrollo Económicos (“OCDE”) señala que la sabiduría de una agencia de competencia va más allá de hacer cumplir la ley de competencia del país. La agencia de competencia debe participar más en la creación de las políticas económicas de un país, las cuales pueden afectar negativamente la estructura del mercado competitivo, las conductas de negocios y el desempeño económico de dicho país. Debe ser más proactiva en las políticas económicas del país para disminuir las barreras de entrada, promover desregulación y liberalización de mercados, así como para minimizar la intervención innecesaria del gobierno en el mercado.</w:t>
      </w:r>
    </w:p>
    <w:p w:rsidR="00B93C44" w:rsidRPr="00692485" w:rsidRDefault="00644700" w:rsidP="00645022">
      <w:pPr>
        <w:spacing w:before="240" w:line="360" w:lineRule="auto"/>
        <w:jc w:val="both"/>
        <w:rPr>
          <w:rFonts w:asciiTheme="minorHAnsi" w:hAnsiTheme="minorHAnsi" w:cstheme="majorHAnsi"/>
          <w:lang w:val="es-ES"/>
        </w:rPr>
      </w:pPr>
      <w:r w:rsidRPr="00692485">
        <w:rPr>
          <w:rFonts w:asciiTheme="minorHAnsi" w:hAnsiTheme="minorHAnsi" w:cstheme="majorHAnsi"/>
          <w:lang w:val="es-ES"/>
        </w:rPr>
        <w:t>Por lo anterior, e</w:t>
      </w:r>
      <w:r w:rsidR="00B93C44" w:rsidRPr="00692485">
        <w:rPr>
          <w:rFonts w:asciiTheme="minorHAnsi" w:hAnsiTheme="minorHAnsi" w:cstheme="majorHAnsi"/>
          <w:lang w:val="es-ES"/>
        </w:rPr>
        <w:t xml:space="preserve">l Consejo Consultivo ha llevado a cabo un análisis de </w:t>
      </w:r>
      <w:r w:rsidR="003373CC" w:rsidRPr="00692485">
        <w:rPr>
          <w:rFonts w:asciiTheme="minorHAnsi" w:hAnsiTheme="minorHAnsi" w:cstheme="majorHAnsi"/>
          <w:lang w:val="es-ES"/>
        </w:rPr>
        <w:t>varios trámites, adicionalmente a los analizados y contemplados en una recomendación ya entregada al Pleno del IFT. Este análisis incluye algunos comentarios y mejoras que este Consejo Consultivo considera que se pueden hacer a los trámites en específico.</w:t>
      </w:r>
    </w:p>
    <w:p w:rsidR="00B93C44" w:rsidRPr="00645022" w:rsidRDefault="00B93C44" w:rsidP="00645022">
      <w:pPr>
        <w:pStyle w:val="Ttulo2"/>
        <w:spacing w:before="240" w:after="240"/>
        <w:jc w:val="both"/>
        <w:rPr>
          <w:b/>
          <w:color w:val="0D0D0D" w:themeColor="text1" w:themeTint="F2"/>
          <w:sz w:val="24"/>
          <w:szCs w:val="24"/>
          <w:lang w:val="es-ES"/>
        </w:rPr>
      </w:pPr>
      <w:r w:rsidRPr="00645022">
        <w:rPr>
          <w:b/>
          <w:color w:val="0D0D0D" w:themeColor="text1" w:themeTint="F2"/>
          <w:sz w:val="24"/>
          <w:szCs w:val="24"/>
          <w:lang w:val="es-ES"/>
        </w:rPr>
        <w:lastRenderedPageBreak/>
        <w:t>PROPUESTA:</w:t>
      </w:r>
    </w:p>
    <w:p w:rsidR="00B93C44" w:rsidRPr="00692485" w:rsidRDefault="002663DC" w:rsidP="00645022">
      <w:pPr>
        <w:spacing w:before="240" w:line="360" w:lineRule="auto"/>
        <w:jc w:val="both"/>
        <w:rPr>
          <w:rFonts w:asciiTheme="minorHAnsi" w:hAnsiTheme="minorHAnsi" w:cstheme="majorHAnsi"/>
          <w:lang w:val="es-ES"/>
        </w:rPr>
      </w:pPr>
      <w:r w:rsidRPr="00692485">
        <w:rPr>
          <w:rFonts w:asciiTheme="minorHAnsi" w:hAnsiTheme="minorHAnsi" w:cstheme="majorHAnsi"/>
          <w:lang w:val="es-ES"/>
        </w:rPr>
        <w:t>Derivado del análisis de diversos trámites</w:t>
      </w:r>
      <w:r w:rsidR="00CB11FC" w:rsidRPr="00692485">
        <w:rPr>
          <w:rFonts w:asciiTheme="minorHAnsi" w:hAnsiTheme="minorHAnsi" w:cstheme="majorHAnsi"/>
          <w:lang w:val="es-ES"/>
        </w:rPr>
        <w:t>, mismo que se adjunta a la presente</w:t>
      </w:r>
      <w:r w:rsidR="00B93C44" w:rsidRPr="00692485">
        <w:rPr>
          <w:rFonts w:asciiTheme="minorHAnsi" w:hAnsiTheme="minorHAnsi" w:cstheme="majorHAnsi"/>
          <w:lang w:val="es-ES"/>
        </w:rPr>
        <w:t>, este Consejo Consultivo propone lo siguiente:</w:t>
      </w:r>
    </w:p>
    <w:p w:rsidR="00645022" w:rsidRDefault="00B93C44" w:rsidP="00645022">
      <w:pPr>
        <w:pStyle w:val="Prrafodelista"/>
        <w:numPr>
          <w:ilvl w:val="0"/>
          <w:numId w:val="6"/>
        </w:numPr>
        <w:spacing w:before="240" w:line="360" w:lineRule="auto"/>
        <w:jc w:val="both"/>
        <w:rPr>
          <w:rFonts w:asciiTheme="minorHAnsi" w:hAnsiTheme="minorHAnsi" w:cstheme="majorHAnsi"/>
          <w:lang w:val="es-ES"/>
        </w:rPr>
      </w:pPr>
      <w:r w:rsidRPr="00692485">
        <w:rPr>
          <w:rFonts w:asciiTheme="minorHAnsi" w:hAnsiTheme="minorHAnsi" w:cstheme="majorHAnsi"/>
          <w:lang w:val="es-ES"/>
        </w:rPr>
        <w:t>Modificar los aspectos específicos de los trámites que han sido identificados conforme a lo recomendado en el análisis</w:t>
      </w:r>
      <w:r w:rsidR="00A45EFF" w:rsidRPr="00692485">
        <w:rPr>
          <w:rFonts w:asciiTheme="minorHAnsi" w:hAnsiTheme="minorHAnsi" w:cstheme="majorHAnsi"/>
          <w:lang w:val="es-ES"/>
        </w:rPr>
        <w:t xml:space="preserve"> (ver tabla anexa).</w:t>
      </w:r>
    </w:p>
    <w:p w:rsidR="00B93C44" w:rsidRPr="00692485" w:rsidRDefault="00A45EFF" w:rsidP="00645022">
      <w:pPr>
        <w:pStyle w:val="Prrafodelista"/>
        <w:numPr>
          <w:ilvl w:val="0"/>
          <w:numId w:val="6"/>
        </w:numPr>
        <w:spacing w:before="240" w:line="360" w:lineRule="auto"/>
        <w:jc w:val="both"/>
        <w:rPr>
          <w:rFonts w:asciiTheme="minorHAnsi" w:hAnsiTheme="minorHAnsi" w:cstheme="majorHAnsi"/>
          <w:lang w:val="es-ES"/>
        </w:rPr>
      </w:pPr>
      <w:r w:rsidRPr="00692485">
        <w:rPr>
          <w:rFonts w:asciiTheme="minorHAnsi" w:hAnsiTheme="minorHAnsi" w:cstheme="majorHAnsi"/>
          <w:lang w:val="es-ES"/>
        </w:rPr>
        <w:t>Continuar con la</w:t>
      </w:r>
      <w:r w:rsidR="00B93C44" w:rsidRPr="00692485">
        <w:rPr>
          <w:rFonts w:asciiTheme="minorHAnsi" w:hAnsiTheme="minorHAnsi" w:cstheme="majorHAnsi"/>
          <w:lang w:val="es-ES"/>
        </w:rPr>
        <w:t xml:space="preserve"> revisión de los trámites existentes con el fin de eliminar aquellos que no sean necesarios</w:t>
      </w:r>
      <w:r w:rsidRPr="00692485">
        <w:rPr>
          <w:rFonts w:asciiTheme="minorHAnsi" w:hAnsiTheme="minorHAnsi" w:cstheme="majorHAnsi"/>
          <w:lang w:val="es-ES"/>
        </w:rPr>
        <w:t>. A este fin, el Consejo Consultivo continuará trabajando en el tema.</w:t>
      </w:r>
    </w:p>
    <w:p w:rsidR="00645022" w:rsidRDefault="00B93C44" w:rsidP="00645022">
      <w:pPr>
        <w:pStyle w:val="Prrafodelista"/>
        <w:numPr>
          <w:ilvl w:val="0"/>
          <w:numId w:val="6"/>
        </w:numPr>
        <w:spacing w:before="240" w:line="360" w:lineRule="auto"/>
        <w:jc w:val="both"/>
        <w:rPr>
          <w:rFonts w:asciiTheme="minorHAnsi" w:hAnsiTheme="minorHAnsi" w:cstheme="majorHAnsi"/>
          <w:lang w:val="es-ES"/>
        </w:rPr>
      </w:pPr>
      <w:r w:rsidRPr="00692485">
        <w:rPr>
          <w:rFonts w:asciiTheme="minorHAnsi" w:hAnsiTheme="minorHAnsi" w:cstheme="majorHAnsi"/>
          <w:lang w:val="es-ES"/>
        </w:rPr>
        <w:t xml:space="preserve">Llevar a cabo un análisis de </w:t>
      </w:r>
      <w:r w:rsidR="00A45EFF" w:rsidRPr="00692485">
        <w:rPr>
          <w:rFonts w:asciiTheme="minorHAnsi" w:hAnsiTheme="minorHAnsi" w:cstheme="majorHAnsi"/>
          <w:lang w:val="es-ES"/>
        </w:rPr>
        <w:t xml:space="preserve">todos los </w:t>
      </w:r>
      <w:r w:rsidRPr="00692485">
        <w:rPr>
          <w:rFonts w:asciiTheme="minorHAnsi" w:hAnsiTheme="minorHAnsi" w:cstheme="majorHAnsi"/>
          <w:lang w:val="es-ES"/>
        </w:rPr>
        <w:t>reglamentos, reglas y otras disposiciones administrativas anteriores a la Ley Federal de Telecomunicaciones y Radiodifusión</w:t>
      </w:r>
      <w:r w:rsidR="00A45EFF" w:rsidRPr="00692485">
        <w:rPr>
          <w:rFonts w:asciiTheme="minorHAnsi" w:hAnsiTheme="minorHAnsi" w:cstheme="majorHAnsi"/>
          <w:lang w:val="es-ES"/>
        </w:rPr>
        <w:t>, con el objetivo de identificar los trámites que no son necesario, que contravienen lo establecido en la mencionada ley o que contemplan una serie de requisitos excesivos.</w:t>
      </w:r>
      <w:r w:rsidR="00A45EFF" w:rsidRPr="00692485" w:rsidDel="00A45EFF">
        <w:rPr>
          <w:rFonts w:asciiTheme="minorHAnsi" w:hAnsiTheme="minorHAnsi" w:cstheme="majorHAnsi"/>
          <w:lang w:val="es-ES"/>
        </w:rPr>
        <w:t xml:space="preserve"> </w:t>
      </w:r>
    </w:p>
    <w:p w:rsidR="00645022" w:rsidRDefault="008D3611" w:rsidP="00645022">
      <w:pPr>
        <w:pStyle w:val="Prrafodelista"/>
        <w:numPr>
          <w:ilvl w:val="0"/>
          <w:numId w:val="6"/>
        </w:numPr>
        <w:spacing w:before="240" w:line="360" w:lineRule="auto"/>
        <w:jc w:val="both"/>
        <w:rPr>
          <w:rFonts w:asciiTheme="minorHAnsi" w:hAnsiTheme="minorHAnsi" w:cstheme="majorHAnsi"/>
          <w:lang w:val="es-ES"/>
        </w:rPr>
      </w:pPr>
      <w:r w:rsidRPr="00692485">
        <w:rPr>
          <w:rFonts w:asciiTheme="minorHAnsi" w:hAnsiTheme="minorHAnsi" w:cstheme="majorHAnsi"/>
          <w:lang w:val="es-ES"/>
        </w:rPr>
        <w:t>Capacitar a las diferentes áreas del IFT respecto a la importancia de la eliminación de barreras de entrada y promoción de nuevos competidores. Tomar las medidas adecuadas para que las áreas del IFT</w:t>
      </w:r>
      <w:r w:rsidR="003373CC" w:rsidRPr="00692485">
        <w:rPr>
          <w:rFonts w:asciiTheme="minorHAnsi" w:hAnsiTheme="minorHAnsi" w:cstheme="majorHAnsi"/>
          <w:lang w:val="es-ES"/>
        </w:rPr>
        <w:t xml:space="preserve"> </w:t>
      </w:r>
      <w:r w:rsidR="00B4278D" w:rsidRPr="00692485">
        <w:rPr>
          <w:rFonts w:asciiTheme="minorHAnsi" w:hAnsiTheme="minorHAnsi" w:cstheme="majorHAnsi"/>
          <w:lang w:val="es-ES"/>
        </w:rPr>
        <w:t xml:space="preserve">dejen </w:t>
      </w:r>
      <w:r w:rsidR="00EF23C5" w:rsidRPr="00692485">
        <w:rPr>
          <w:rFonts w:asciiTheme="minorHAnsi" w:hAnsiTheme="minorHAnsi" w:cstheme="majorHAnsi"/>
          <w:lang w:val="es-ES"/>
        </w:rPr>
        <w:t>de solicitar requisitos que no están ni en ley ni en reglamento</w:t>
      </w:r>
      <w:r w:rsidR="00A45EFF" w:rsidRPr="00692485">
        <w:rPr>
          <w:rFonts w:asciiTheme="minorHAnsi" w:hAnsiTheme="minorHAnsi" w:cstheme="majorHAnsi"/>
          <w:lang w:val="es-ES"/>
        </w:rPr>
        <w:t>.</w:t>
      </w:r>
    </w:p>
    <w:p w:rsidR="00645022" w:rsidRDefault="003373CC" w:rsidP="00645022">
      <w:pPr>
        <w:pStyle w:val="Prrafodelista"/>
        <w:numPr>
          <w:ilvl w:val="0"/>
          <w:numId w:val="6"/>
        </w:numPr>
        <w:spacing w:before="240" w:line="360" w:lineRule="auto"/>
        <w:jc w:val="both"/>
        <w:rPr>
          <w:rFonts w:asciiTheme="minorHAnsi" w:hAnsiTheme="minorHAnsi" w:cstheme="majorHAnsi"/>
          <w:lang w:val="es-ES"/>
        </w:rPr>
      </w:pPr>
      <w:r w:rsidRPr="00692485">
        <w:rPr>
          <w:rFonts w:asciiTheme="minorHAnsi" w:hAnsiTheme="minorHAnsi" w:cstheme="majorHAnsi"/>
          <w:lang w:val="es-ES"/>
        </w:rPr>
        <w:t>Promover aquellas acciones</w:t>
      </w:r>
      <w:r w:rsidR="00997E5D" w:rsidRPr="00692485">
        <w:rPr>
          <w:rFonts w:asciiTheme="minorHAnsi" w:hAnsiTheme="minorHAnsi" w:cstheme="majorHAnsi"/>
          <w:lang w:val="es-ES"/>
        </w:rPr>
        <w:t xml:space="preserve"> que resulten en menores gastos tanto para el IFT como para la industria en general.</w:t>
      </w:r>
    </w:p>
    <w:p w:rsidR="00645022" w:rsidRDefault="00E36802" w:rsidP="00645022">
      <w:pPr>
        <w:pStyle w:val="Prrafodelista"/>
        <w:numPr>
          <w:ilvl w:val="0"/>
          <w:numId w:val="6"/>
        </w:numPr>
        <w:spacing w:before="240" w:line="360" w:lineRule="auto"/>
        <w:jc w:val="both"/>
        <w:rPr>
          <w:rFonts w:asciiTheme="minorHAnsi" w:hAnsiTheme="minorHAnsi" w:cstheme="majorHAnsi"/>
          <w:lang w:val="es-ES"/>
        </w:rPr>
      </w:pPr>
      <w:r w:rsidRPr="006B142A">
        <w:rPr>
          <w:rFonts w:asciiTheme="minorHAnsi" w:hAnsiTheme="minorHAnsi" w:cstheme="majorHAnsi"/>
          <w:lang w:val="es-ES"/>
        </w:rPr>
        <w:t>Continuar el análisis de otros trámites, ya que los que se han podido analizar representan sólo un pequeño número de los mismos</w:t>
      </w:r>
      <w:r w:rsidR="00FA416C" w:rsidRPr="006B142A">
        <w:rPr>
          <w:rFonts w:asciiTheme="minorHAnsi" w:hAnsiTheme="minorHAnsi" w:cstheme="majorHAnsi"/>
          <w:lang w:val="es-ES"/>
        </w:rPr>
        <w:t xml:space="preserve"> y resulta evidente que esta labor debe ser constante y abarcar la totalidad de los trámites que tiene el IFT</w:t>
      </w:r>
      <w:r w:rsidRPr="006B142A">
        <w:rPr>
          <w:rFonts w:asciiTheme="minorHAnsi" w:hAnsiTheme="minorHAnsi" w:cstheme="majorHAnsi"/>
          <w:lang w:val="es-ES"/>
        </w:rPr>
        <w:t>.</w:t>
      </w:r>
    </w:p>
    <w:p w:rsidR="00645022" w:rsidRDefault="00644700" w:rsidP="00645022">
      <w:pPr>
        <w:pStyle w:val="Prrafodelista"/>
        <w:numPr>
          <w:ilvl w:val="0"/>
          <w:numId w:val="6"/>
        </w:numPr>
        <w:spacing w:before="240" w:line="360" w:lineRule="auto"/>
        <w:jc w:val="both"/>
        <w:rPr>
          <w:rFonts w:asciiTheme="minorHAnsi" w:hAnsiTheme="minorHAnsi" w:cstheme="majorHAnsi"/>
          <w:lang w:val="es-ES"/>
        </w:rPr>
      </w:pPr>
      <w:r w:rsidRPr="006B142A">
        <w:rPr>
          <w:rFonts w:asciiTheme="minorHAnsi" w:hAnsiTheme="minorHAnsi" w:cstheme="majorHAnsi"/>
          <w:lang w:val="es-ES"/>
        </w:rPr>
        <w:t>Que la Unidad de Competencia del IFT lleve a cabo una revisión periódica en materia de trámites de telecomunicaciones y de radiodifusión desde un punto de vista de competencia y elabore una serie de recomendaciones.</w:t>
      </w:r>
    </w:p>
    <w:p w:rsidR="0021098B" w:rsidRPr="006B142A" w:rsidRDefault="0021098B" w:rsidP="00645022">
      <w:pPr>
        <w:pStyle w:val="Prrafodelista"/>
        <w:spacing w:before="240" w:line="360" w:lineRule="auto"/>
        <w:jc w:val="both"/>
        <w:rPr>
          <w:rFonts w:asciiTheme="minorHAnsi" w:hAnsiTheme="minorHAnsi" w:cstheme="majorHAnsi"/>
          <w:lang w:val="es-ES"/>
        </w:rPr>
      </w:pPr>
    </w:p>
    <w:p w:rsidR="00645022" w:rsidRDefault="00644700" w:rsidP="00645022">
      <w:pPr>
        <w:pStyle w:val="Prrafodelista"/>
        <w:numPr>
          <w:ilvl w:val="0"/>
          <w:numId w:val="6"/>
        </w:numPr>
        <w:spacing w:before="240" w:line="360" w:lineRule="auto"/>
        <w:jc w:val="both"/>
        <w:rPr>
          <w:rFonts w:asciiTheme="minorHAnsi" w:hAnsiTheme="minorHAnsi" w:cstheme="majorHAnsi"/>
          <w:lang w:val="es-ES"/>
        </w:rPr>
      </w:pPr>
      <w:r w:rsidRPr="006B142A">
        <w:rPr>
          <w:rFonts w:asciiTheme="minorHAnsi" w:hAnsiTheme="minorHAnsi" w:cstheme="majorHAnsi"/>
          <w:lang w:val="es-ES"/>
        </w:rPr>
        <w:t>Que el IFT o las áreas correspondientes analicen las recomendaciones de la Unidad de Competencia y den una respuesta a las mismas, explicando en un documento público si acata o no las mismas y porqué.</w:t>
      </w:r>
    </w:p>
    <w:p w:rsidR="00D92920" w:rsidRPr="0021098B" w:rsidRDefault="00D92920" w:rsidP="00645022">
      <w:pPr>
        <w:spacing w:before="240"/>
        <w:jc w:val="both"/>
        <w:rPr>
          <w:rFonts w:asciiTheme="minorHAnsi" w:hAnsiTheme="minorHAnsi" w:cstheme="majorHAnsi"/>
          <w:sz w:val="20"/>
          <w:szCs w:val="20"/>
        </w:rPr>
      </w:pPr>
      <w:r w:rsidRPr="0021098B">
        <w:rPr>
          <w:rFonts w:asciiTheme="minorHAnsi" w:hAnsiTheme="minorHAnsi" w:cstheme="majorHAnsi"/>
          <w:sz w:val="20"/>
          <w:szCs w:val="20"/>
        </w:rPr>
        <w:t>Fuentes:</w:t>
      </w:r>
    </w:p>
    <w:p w:rsidR="00D92920" w:rsidRPr="0021098B" w:rsidRDefault="00D92920" w:rsidP="00645022">
      <w:pPr>
        <w:spacing w:before="240"/>
        <w:jc w:val="both"/>
        <w:rPr>
          <w:rFonts w:asciiTheme="minorHAnsi" w:hAnsiTheme="minorHAnsi" w:cstheme="majorHAnsi"/>
          <w:sz w:val="20"/>
          <w:szCs w:val="20"/>
        </w:rPr>
      </w:pPr>
      <w:r w:rsidRPr="0021098B">
        <w:rPr>
          <w:rFonts w:asciiTheme="minorHAnsi" w:hAnsiTheme="minorHAnsi" w:cstheme="majorHAnsi"/>
          <w:sz w:val="20"/>
          <w:szCs w:val="20"/>
          <w:vertAlign w:val="superscript"/>
          <w:lang w:val="es-ES_tradnl"/>
        </w:rPr>
        <w:t>[1]</w:t>
      </w:r>
      <w:r w:rsidRPr="0021098B">
        <w:rPr>
          <w:rFonts w:asciiTheme="minorHAnsi" w:hAnsiTheme="minorHAnsi" w:cstheme="majorHAnsi"/>
          <w:sz w:val="20"/>
          <w:szCs w:val="20"/>
          <w:lang w:val="es-ES_tradnl"/>
        </w:rPr>
        <w:t xml:space="preserve"> </w:t>
      </w:r>
      <w:r w:rsidRPr="00645022">
        <w:rPr>
          <w:rFonts w:asciiTheme="minorHAnsi" w:hAnsiTheme="minorHAnsi" w:cstheme="majorHAnsi"/>
          <w:sz w:val="20"/>
          <w:szCs w:val="20"/>
          <w:lang w:val="es-ES_tradnl"/>
        </w:rPr>
        <w:t>http://www.internationalcompetitionnetwork.org/uploads/library/doc370.pdf</w:t>
      </w:r>
      <w:r w:rsidRPr="0021098B">
        <w:rPr>
          <w:rFonts w:asciiTheme="minorHAnsi" w:hAnsiTheme="minorHAnsi" w:cstheme="majorHAnsi"/>
          <w:sz w:val="20"/>
          <w:szCs w:val="20"/>
          <w:lang w:val="es-ES_tradnl"/>
        </w:rPr>
        <w:t xml:space="preserve"> </w:t>
      </w:r>
    </w:p>
    <w:p w:rsidR="00D92920" w:rsidRPr="0021098B" w:rsidRDefault="00D92920" w:rsidP="00645022">
      <w:pPr>
        <w:spacing w:before="240"/>
        <w:jc w:val="both"/>
        <w:rPr>
          <w:rFonts w:asciiTheme="minorHAnsi" w:hAnsiTheme="minorHAnsi" w:cstheme="majorHAnsi"/>
          <w:sz w:val="20"/>
          <w:szCs w:val="20"/>
          <w:lang w:val="en-US"/>
        </w:rPr>
      </w:pPr>
      <w:r w:rsidRPr="0021098B">
        <w:rPr>
          <w:rFonts w:asciiTheme="minorHAnsi" w:hAnsiTheme="minorHAnsi" w:cstheme="majorHAnsi"/>
          <w:sz w:val="20"/>
          <w:szCs w:val="20"/>
          <w:vertAlign w:val="superscript"/>
          <w:lang w:val="en-US"/>
        </w:rPr>
        <w:t>[1]</w:t>
      </w:r>
      <w:r w:rsidRPr="0021098B">
        <w:rPr>
          <w:rFonts w:asciiTheme="minorHAnsi" w:hAnsiTheme="minorHAnsi" w:cstheme="majorHAnsi"/>
          <w:sz w:val="20"/>
          <w:szCs w:val="20"/>
          <w:lang w:val="en-US"/>
        </w:rPr>
        <w:t xml:space="preserve"> The World Bank, OECD: A Framework for the Design and Implementation of Competition Law and Policy, Chapter 6, at 93, 1998. </w:t>
      </w:r>
    </w:p>
    <w:p w:rsidR="00645022" w:rsidRDefault="00D92920" w:rsidP="00645022">
      <w:pPr>
        <w:spacing w:before="240"/>
        <w:jc w:val="both"/>
        <w:rPr>
          <w:rFonts w:asciiTheme="minorHAnsi" w:hAnsiTheme="minorHAnsi" w:cstheme="majorHAnsi"/>
          <w:sz w:val="20"/>
          <w:szCs w:val="20"/>
          <w:lang w:val="en-US"/>
        </w:rPr>
      </w:pPr>
      <w:r w:rsidRPr="0021098B">
        <w:rPr>
          <w:rFonts w:asciiTheme="minorHAnsi" w:hAnsiTheme="minorHAnsi" w:cstheme="majorHAnsi"/>
          <w:sz w:val="20"/>
          <w:szCs w:val="20"/>
          <w:vertAlign w:val="superscript"/>
          <w:lang w:val="en-US"/>
        </w:rPr>
        <w:lastRenderedPageBreak/>
        <w:t>[1]</w:t>
      </w:r>
      <w:r w:rsidRPr="0021098B">
        <w:rPr>
          <w:rFonts w:asciiTheme="minorHAnsi" w:hAnsiTheme="minorHAnsi" w:cstheme="majorHAnsi"/>
          <w:sz w:val="20"/>
          <w:szCs w:val="20"/>
          <w:lang w:val="en-US"/>
        </w:rPr>
        <w:t xml:space="preserve"> </w:t>
      </w:r>
      <w:r w:rsidRPr="00645022">
        <w:rPr>
          <w:rFonts w:asciiTheme="minorHAnsi" w:hAnsiTheme="minorHAnsi" w:cstheme="majorHAnsi"/>
          <w:sz w:val="20"/>
          <w:szCs w:val="20"/>
          <w:lang w:val="en-US"/>
        </w:rPr>
        <w:t>http://www.oecd.org/daf/competition/prosecutionandlawenforcement/32033710.pdf</w:t>
      </w:r>
    </w:p>
    <w:p w:rsidR="00645022" w:rsidRPr="001A0293" w:rsidRDefault="00645022" w:rsidP="00645022">
      <w:pPr>
        <w:autoSpaceDE w:val="0"/>
        <w:autoSpaceDN w:val="0"/>
        <w:adjustRightInd w:val="0"/>
        <w:spacing w:before="240" w:after="240"/>
        <w:jc w:val="center"/>
        <w:rPr>
          <w:rFonts w:ascii="Calibri" w:hAnsi="Calibri"/>
          <w:b/>
          <w:bCs/>
        </w:rPr>
      </w:pPr>
      <w:r w:rsidRPr="001A0293">
        <w:rPr>
          <w:rFonts w:ascii="Calibri" w:hAnsi="Calibri"/>
          <w:b/>
          <w:bCs/>
        </w:rPr>
        <w:t>Dr. Ernesto M. Flores-</w:t>
      </w:r>
      <w:proofErr w:type="spellStart"/>
      <w:r w:rsidRPr="001A0293">
        <w:rPr>
          <w:rFonts w:ascii="Calibri" w:hAnsi="Calibri"/>
          <w:b/>
          <w:bCs/>
        </w:rPr>
        <w:t>Roux</w:t>
      </w:r>
      <w:proofErr w:type="spellEnd"/>
      <w:r w:rsidRPr="001A0293">
        <w:rPr>
          <w:rFonts w:ascii="Calibri" w:hAnsi="Calibri"/>
          <w:b/>
          <w:bCs/>
        </w:rPr>
        <w:t xml:space="preserve"> </w:t>
      </w:r>
    </w:p>
    <w:p w:rsidR="00645022" w:rsidRPr="001A0293" w:rsidRDefault="00645022" w:rsidP="00645022">
      <w:pPr>
        <w:autoSpaceDE w:val="0"/>
        <w:autoSpaceDN w:val="0"/>
        <w:adjustRightInd w:val="0"/>
        <w:spacing w:before="240" w:after="240"/>
        <w:jc w:val="center"/>
        <w:rPr>
          <w:rFonts w:ascii="Calibri" w:hAnsi="Calibri"/>
          <w:b/>
          <w:bCs/>
        </w:rPr>
      </w:pPr>
      <w:r w:rsidRPr="001A0293">
        <w:rPr>
          <w:rFonts w:ascii="Calibri" w:hAnsi="Calibri"/>
          <w:b/>
          <w:bCs/>
        </w:rPr>
        <w:t>Presidente</w:t>
      </w:r>
    </w:p>
    <w:p w:rsidR="00645022" w:rsidRPr="001A0293" w:rsidRDefault="00645022" w:rsidP="00645022">
      <w:pPr>
        <w:autoSpaceDE w:val="0"/>
        <w:autoSpaceDN w:val="0"/>
        <w:adjustRightInd w:val="0"/>
        <w:spacing w:before="240" w:after="240"/>
        <w:jc w:val="center"/>
        <w:rPr>
          <w:rFonts w:ascii="Calibri" w:hAnsi="Calibri"/>
          <w:b/>
          <w:bCs/>
        </w:rPr>
      </w:pPr>
      <w:r w:rsidRPr="001A0293">
        <w:rPr>
          <w:rFonts w:ascii="Calibri" w:hAnsi="Calibri"/>
          <w:b/>
          <w:bCs/>
        </w:rPr>
        <w:t>Lic. Juan José Crispín Borbolla</w:t>
      </w:r>
    </w:p>
    <w:p w:rsidR="00645022" w:rsidRDefault="00645022" w:rsidP="00645022">
      <w:pPr>
        <w:autoSpaceDE w:val="0"/>
        <w:autoSpaceDN w:val="0"/>
        <w:adjustRightInd w:val="0"/>
        <w:spacing w:before="240" w:after="240"/>
        <w:jc w:val="center"/>
        <w:rPr>
          <w:rFonts w:ascii="Calibri" w:hAnsi="Calibri"/>
          <w:b/>
          <w:bCs/>
        </w:rPr>
      </w:pPr>
      <w:r w:rsidRPr="001A0293">
        <w:rPr>
          <w:rFonts w:ascii="Calibri" w:hAnsi="Calibri"/>
          <w:b/>
          <w:bCs/>
        </w:rPr>
        <w:t>Secretario del Consejo</w:t>
      </w:r>
    </w:p>
    <w:p w:rsidR="0021098B" w:rsidRDefault="0021098B" w:rsidP="00645022">
      <w:pPr>
        <w:autoSpaceDE w:val="0"/>
        <w:autoSpaceDN w:val="0"/>
        <w:adjustRightInd w:val="0"/>
        <w:spacing w:before="240"/>
        <w:jc w:val="both"/>
        <w:rPr>
          <w:bCs/>
          <w:sz w:val="18"/>
          <w:szCs w:val="18"/>
        </w:rPr>
      </w:pPr>
      <w:r w:rsidRPr="0021098B">
        <w:rPr>
          <w:bCs/>
          <w:sz w:val="18"/>
          <w:szCs w:val="18"/>
        </w:rPr>
        <w:t>La presente Recomendación fue aprobada por el II Consejo Consultivo del Instituto Federal de Telecomunicaciones por unanimidad de votos de los Consejeros: Clara Luz Álvarez González de Castilla, Patricia Arriaga Jordán, Carlos Arturo Bello Hernández</w:t>
      </w:r>
      <w:r>
        <w:rPr>
          <w:bCs/>
          <w:sz w:val="18"/>
          <w:szCs w:val="18"/>
        </w:rPr>
        <w:t xml:space="preserve">, </w:t>
      </w:r>
      <w:r w:rsidRPr="0021098B">
        <w:rPr>
          <w:bCs/>
          <w:sz w:val="18"/>
          <w:szCs w:val="18"/>
        </w:rPr>
        <w:t>Ernesto M. Flores-Roux, Gerardo Francisco González Abarca, Santiago Gutiérrez Fernández, Erick Huerta Velázquez, Erik Huesca Morales, Salma Leticia Jalife Villalón, Irene Levy Mustri, Elisa V. Mariscal Medina, Luis Miguel Martínez Cervantes, Carlos Alejandro Merchán Escalante y Rodrigo Morales Elcoro, en términos del artículo 17 último párrafo, de las Reglas de Operación del Consejo Consultivo, mediante Acue</w:t>
      </w:r>
      <w:r>
        <w:rPr>
          <w:bCs/>
          <w:sz w:val="18"/>
          <w:szCs w:val="18"/>
        </w:rPr>
        <w:t>rdo CC/IFT/</w:t>
      </w:r>
      <w:proofErr w:type="spellStart"/>
      <w:r>
        <w:rPr>
          <w:bCs/>
          <w:sz w:val="18"/>
          <w:szCs w:val="18"/>
        </w:rPr>
        <w:t>VotaciónElectrónica</w:t>
      </w:r>
      <w:proofErr w:type="spellEnd"/>
      <w:r>
        <w:rPr>
          <w:bCs/>
          <w:sz w:val="18"/>
          <w:szCs w:val="18"/>
        </w:rPr>
        <w:t>/1</w:t>
      </w:r>
      <w:r w:rsidRPr="0021098B">
        <w:rPr>
          <w:bCs/>
          <w:sz w:val="18"/>
          <w:szCs w:val="18"/>
        </w:rPr>
        <w:t xml:space="preserve"> de fecha </w:t>
      </w:r>
      <w:r>
        <w:rPr>
          <w:bCs/>
          <w:sz w:val="18"/>
          <w:szCs w:val="18"/>
        </w:rPr>
        <w:t>13 de febrero de 2017</w:t>
      </w:r>
      <w:r w:rsidRPr="0021098B">
        <w:rPr>
          <w:bCs/>
          <w:sz w:val="18"/>
          <w:szCs w:val="18"/>
        </w:rPr>
        <w:t>.</w:t>
      </w:r>
    </w:p>
    <w:p w:rsidR="00645022" w:rsidRDefault="0021098B" w:rsidP="00645022">
      <w:pPr>
        <w:autoSpaceDE w:val="0"/>
        <w:autoSpaceDN w:val="0"/>
        <w:adjustRightInd w:val="0"/>
        <w:spacing w:before="240"/>
        <w:jc w:val="both"/>
        <w:rPr>
          <w:rFonts w:asciiTheme="minorHAnsi" w:hAnsiTheme="minorHAnsi" w:cstheme="majorHAnsi"/>
          <w:lang w:val="en-GB"/>
        </w:rPr>
      </w:pPr>
      <w:r>
        <w:rPr>
          <w:bCs/>
          <w:sz w:val="18"/>
          <w:szCs w:val="18"/>
        </w:rPr>
        <w:t xml:space="preserve">El Grupo de Trabajo </w:t>
      </w:r>
      <w:r w:rsidRPr="00363E2E">
        <w:rPr>
          <w:bCs/>
          <w:sz w:val="18"/>
          <w:szCs w:val="18"/>
        </w:rPr>
        <w:t xml:space="preserve">Despliegue de infraestructura </w:t>
      </w:r>
      <w:r>
        <w:rPr>
          <w:bCs/>
          <w:sz w:val="18"/>
          <w:szCs w:val="18"/>
        </w:rPr>
        <w:t xml:space="preserve">que desarrolló el proyecto de Recomendación, está integrado por los miembros primarios </w:t>
      </w:r>
      <w:r w:rsidRPr="007137A1">
        <w:rPr>
          <w:bCs/>
          <w:sz w:val="18"/>
          <w:szCs w:val="18"/>
        </w:rPr>
        <w:t xml:space="preserve">Carlos Arturo Bello Hernández </w:t>
      </w:r>
      <w:r>
        <w:rPr>
          <w:bCs/>
          <w:sz w:val="18"/>
          <w:szCs w:val="18"/>
        </w:rPr>
        <w:t>y</w:t>
      </w:r>
      <w:r w:rsidRPr="00363E2E">
        <w:rPr>
          <w:bCs/>
          <w:sz w:val="18"/>
          <w:szCs w:val="18"/>
        </w:rPr>
        <w:t xml:space="preserve"> </w:t>
      </w:r>
      <w:r w:rsidRPr="007137A1">
        <w:rPr>
          <w:bCs/>
          <w:sz w:val="18"/>
          <w:szCs w:val="18"/>
        </w:rPr>
        <w:t xml:space="preserve">Erick Huerta Velázquez </w:t>
      </w:r>
      <w:r>
        <w:rPr>
          <w:bCs/>
          <w:sz w:val="18"/>
          <w:szCs w:val="18"/>
        </w:rPr>
        <w:t>y los miembros secundarios</w:t>
      </w:r>
      <w:r w:rsidRPr="00363E2E">
        <w:rPr>
          <w:bCs/>
          <w:sz w:val="18"/>
          <w:szCs w:val="18"/>
        </w:rPr>
        <w:t xml:space="preserve"> </w:t>
      </w:r>
      <w:r w:rsidRPr="007137A1">
        <w:rPr>
          <w:bCs/>
          <w:sz w:val="18"/>
          <w:szCs w:val="18"/>
        </w:rPr>
        <w:t>Enriqueta Cabrera Cuarón</w:t>
      </w:r>
      <w:r w:rsidRPr="00363E2E">
        <w:rPr>
          <w:bCs/>
          <w:sz w:val="18"/>
          <w:szCs w:val="18"/>
        </w:rPr>
        <w:t>,</w:t>
      </w:r>
      <w:r>
        <w:rPr>
          <w:bCs/>
          <w:sz w:val="18"/>
          <w:szCs w:val="18"/>
        </w:rPr>
        <w:t xml:space="preserve"> </w:t>
      </w:r>
      <w:r w:rsidRPr="007137A1">
        <w:rPr>
          <w:bCs/>
          <w:sz w:val="18"/>
          <w:szCs w:val="18"/>
        </w:rPr>
        <w:t>Carlos Alejandro Merchán Escalante</w:t>
      </w:r>
      <w:r w:rsidRPr="00363E2E">
        <w:rPr>
          <w:bCs/>
          <w:sz w:val="18"/>
          <w:szCs w:val="18"/>
        </w:rPr>
        <w:t xml:space="preserve">, </w:t>
      </w:r>
      <w:r w:rsidRPr="007137A1">
        <w:rPr>
          <w:bCs/>
          <w:sz w:val="18"/>
          <w:szCs w:val="18"/>
        </w:rPr>
        <w:t xml:space="preserve">Gerardo Francisco González Abarca </w:t>
      </w:r>
      <w:r>
        <w:rPr>
          <w:bCs/>
          <w:sz w:val="18"/>
          <w:szCs w:val="18"/>
        </w:rPr>
        <w:t>y</w:t>
      </w:r>
      <w:r w:rsidRPr="00363E2E">
        <w:rPr>
          <w:bCs/>
          <w:sz w:val="18"/>
          <w:szCs w:val="18"/>
        </w:rPr>
        <w:t xml:space="preserve"> Santiago Gutiérrez</w:t>
      </w:r>
      <w:r>
        <w:rPr>
          <w:bCs/>
          <w:sz w:val="18"/>
          <w:szCs w:val="18"/>
        </w:rPr>
        <w:t xml:space="preserve"> Fernández.</w:t>
      </w:r>
    </w:p>
    <w:p w:rsidR="00CB11FC" w:rsidRPr="00692485" w:rsidRDefault="00CB11FC" w:rsidP="00645022">
      <w:pPr>
        <w:spacing w:before="240"/>
        <w:jc w:val="both"/>
        <w:rPr>
          <w:rFonts w:asciiTheme="minorHAnsi" w:hAnsiTheme="minorHAnsi" w:cstheme="majorHAnsi"/>
          <w:sz w:val="20"/>
          <w:szCs w:val="20"/>
          <w:lang w:val="en-US"/>
        </w:rPr>
        <w:sectPr w:rsidR="00CB11FC" w:rsidRPr="00692485" w:rsidSect="006B142A">
          <w:headerReference w:type="default" r:id="rId8"/>
          <w:footerReference w:type="default" r:id="rId9"/>
          <w:pgSz w:w="12240" w:h="15840"/>
          <w:pgMar w:top="720" w:right="1041" w:bottom="720" w:left="1276" w:header="708" w:footer="708" w:gutter="0"/>
          <w:cols w:space="708"/>
          <w:docGrid w:linePitch="360"/>
        </w:sectPr>
      </w:pPr>
    </w:p>
    <w:p w:rsidR="003F7187" w:rsidRPr="00692485" w:rsidRDefault="003F7187" w:rsidP="00645022">
      <w:pPr>
        <w:spacing w:before="240"/>
        <w:jc w:val="both"/>
        <w:rPr>
          <w:rFonts w:asciiTheme="minorHAnsi" w:hAnsiTheme="minorHAnsi" w:cstheme="majorHAnsi"/>
          <w:b/>
          <w:sz w:val="20"/>
          <w:szCs w:val="20"/>
          <w:lang w:val="es-ES"/>
        </w:rPr>
      </w:pPr>
      <w:r w:rsidRPr="00692485">
        <w:rPr>
          <w:rFonts w:asciiTheme="minorHAnsi" w:hAnsiTheme="minorHAnsi" w:cstheme="majorHAnsi"/>
          <w:b/>
          <w:sz w:val="20"/>
          <w:szCs w:val="20"/>
        </w:rPr>
        <w:lastRenderedPageBreak/>
        <w:t xml:space="preserve">ANÁLISIS DE </w:t>
      </w:r>
      <w:r w:rsidR="009A1757" w:rsidRPr="00692485">
        <w:rPr>
          <w:rFonts w:asciiTheme="minorHAnsi" w:hAnsiTheme="minorHAnsi" w:cstheme="majorHAnsi"/>
          <w:b/>
          <w:sz w:val="20"/>
          <w:szCs w:val="20"/>
        </w:rPr>
        <w:t>DIVERSOS</w:t>
      </w:r>
      <w:r w:rsidRPr="00692485">
        <w:rPr>
          <w:rFonts w:asciiTheme="minorHAnsi" w:hAnsiTheme="minorHAnsi" w:cstheme="majorHAnsi"/>
          <w:b/>
          <w:sz w:val="20"/>
          <w:szCs w:val="20"/>
        </w:rPr>
        <w:t xml:space="preserve"> TRÁMITES </w:t>
      </w:r>
      <w:r w:rsidR="009A1757" w:rsidRPr="00692485">
        <w:rPr>
          <w:rFonts w:asciiTheme="minorHAnsi" w:hAnsiTheme="minorHAnsi" w:cstheme="majorHAnsi"/>
          <w:b/>
          <w:sz w:val="20"/>
          <w:szCs w:val="20"/>
        </w:rPr>
        <w:t>ANTE EL IFT</w:t>
      </w:r>
    </w:p>
    <w:tbl>
      <w:tblPr>
        <w:tblStyle w:val="Cuadrculadetabla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ÁLISIS DE DIVERSOS TRÁMITES ANTE EL IFT"/>
        <w:tblDescription w:val="En una tabla de 4 columnas se proporciona un listado por Unidad Administrativa, de los tra´mites, con su análisis y comentarios"/>
      </w:tblPr>
      <w:tblGrid>
        <w:gridCol w:w="1272"/>
        <w:gridCol w:w="2052"/>
        <w:gridCol w:w="8401"/>
        <w:gridCol w:w="2665"/>
      </w:tblGrid>
      <w:tr w:rsidR="00645022" w:rsidRPr="00645022" w:rsidTr="00645022">
        <w:trPr>
          <w:trHeight w:val="387"/>
          <w:tblHeader/>
        </w:trPr>
        <w:tc>
          <w:tcPr>
            <w:tcW w:w="442" w:type="pct"/>
            <w:shd w:val="clear" w:color="auto" w:fill="A8D08D" w:themeFill="accent6" w:themeFillTint="99"/>
            <w:vAlign w:val="center"/>
          </w:tcPr>
          <w:p w:rsidR="00CB11FC" w:rsidRPr="00645022" w:rsidRDefault="009A1757" w:rsidP="00645022">
            <w:pPr>
              <w:spacing w:before="240"/>
              <w:jc w:val="center"/>
              <w:rPr>
                <w:rFonts w:asciiTheme="minorHAnsi" w:eastAsia="Times New Roman" w:hAnsiTheme="minorHAnsi" w:cstheme="majorHAnsi"/>
                <w:b/>
                <w:color w:val="000000" w:themeColor="text1"/>
                <w:sz w:val="20"/>
                <w:szCs w:val="20"/>
                <w:lang w:val="es-ES" w:eastAsia="es-MX"/>
              </w:rPr>
            </w:pPr>
            <w:bookmarkStart w:id="0" w:name="_GoBack"/>
            <w:r w:rsidRPr="00645022">
              <w:rPr>
                <w:rFonts w:asciiTheme="minorHAnsi" w:eastAsia="Times New Roman" w:hAnsiTheme="minorHAnsi" w:cstheme="majorHAnsi"/>
                <w:b/>
                <w:color w:val="000000" w:themeColor="text1"/>
                <w:sz w:val="20"/>
                <w:szCs w:val="20"/>
                <w:lang w:val="es-ES" w:eastAsia="es-MX"/>
              </w:rPr>
              <w:t>NÚMERO</w:t>
            </w:r>
          </w:p>
        </w:tc>
        <w:tc>
          <w:tcPr>
            <w:tcW w:w="713" w:type="pct"/>
            <w:shd w:val="clear" w:color="auto" w:fill="A8D08D" w:themeFill="accent6" w:themeFillTint="99"/>
            <w:vAlign w:val="center"/>
          </w:tcPr>
          <w:p w:rsidR="00CB11FC" w:rsidRPr="00645022" w:rsidRDefault="00CB11FC" w:rsidP="00645022">
            <w:pPr>
              <w:spacing w:before="240"/>
              <w:jc w:val="center"/>
              <w:rPr>
                <w:rFonts w:asciiTheme="minorHAnsi" w:eastAsia="Times New Roman" w:hAnsiTheme="minorHAnsi" w:cstheme="majorHAnsi"/>
                <w:b/>
                <w:color w:val="000000" w:themeColor="text1"/>
                <w:sz w:val="20"/>
                <w:szCs w:val="20"/>
                <w:lang w:val="es-ES" w:eastAsia="es-MX"/>
              </w:rPr>
            </w:pPr>
            <w:r w:rsidRPr="00645022">
              <w:rPr>
                <w:rFonts w:asciiTheme="minorHAnsi" w:eastAsia="Times New Roman" w:hAnsiTheme="minorHAnsi" w:cstheme="majorHAnsi"/>
                <w:b/>
                <w:color w:val="000000" w:themeColor="text1"/>
                <w:sz w:val="20"/>
                <w:szCs w:val="20"/>
                <w:lang w:val="es-ES" w:eastAsia="es-MX"/>
              </w:rPr>
              <w:t>TRÁMITE</w:t>
            </w:r>
          </w:p>
        </w:tc>
        <w:tc>
          <w:tcPr>
            <w:tcW w:w="2919" w:type="pct"/>
            <w:shd w:val="clear" w:color="auto" w:fill="A8D08D" w:themeFill="accent6" w:themeFillTint="99"/>
            <w:vAlign w:val="center"/>
          </w:tcPr>
          <w:p w:rsidR="00CB11FC" w:rsidRPr="00645022" w:rsidRDefault="00CB11FC" w:rsidP="00645022">
            <w:pPr>
              <w:spacing w:before="240"/>
              <w:jc w:val="center"/>
              <w:rPr>
                <w:rFonts w:asciiTheme="minorHAnsi" w:eastAsia="Times New Roman" w:hAnsiTheme="minorHAnsi" w:cstheme="majorHAnsi"/>
                <w:b/>
                <w:color w:val="000000" w:themeColor="text1"/>
                <w:sz w:val="20"/>
                <w:szCs w:val="20"/>
                <w:lang w:val="es-ES" w:eastAsia="es-MX"/>
              </w:rPr>
            </w:pPr>
            <w:r w:rsidRPr="00645022">
              <w:rPr>
                <w:rFonts w:asciiTheme="minorHAnsi" w:eastAsia="Times New Roman" w:hAnsiTheme="minorHAnsi" w:cstheme="majorHAnsi"/>
                <w:b/>
                <w:color w:val="000000" w:themeColor="text1"/>
                <w:sz w:val="20"/>
                <w:szCs w:val="20"/>
                <w:lang w:val="es-ES" w:eastAsia="es-MX"/>
              </w:rPr>
              <w:t>ANÁLISIS</w:t>
            </w:r>
          </w:p>
        </w:tc>
        <w:tc>
          <w:tcPr>
            <w:tcW w:w="926" w:type="pct"/>
            <w:shd w:val="clear" w:color="auto" w:fill="A8D08D" w:themeFill="accent6" w:themeFillTint="99"/>
            <w:vAlign w:val="center"/>
          </w:tcPr>
          <w:p w:rsidR="00CB11FC" w:rsidRPr="00645022" w:rsidRDefault="00CB11FC" w:rsidP="00645022">
            <w:pPr>
              <w:spacing w:before="240"/>
              <w:jc w:val="center"/>
              <w:rPr>
                <w:rFonts w:asciiTheme="minorHAnsi" w:eastAsia="Times New Roman" w:hAnsiTheme="minorHAnsi" w:cstheme="majorHAnsi"/>
                <w:b/>
                <w:color w:val="000000" w:themeColor="text1"/>
                <w:sz w:val="20"/>
                <w:szCs w:val="20"/>
                <w:lang w:val="es-ES" w:eastAsia="es-MX"/>
              </w:rPr>
            </w:pPr>
            <w:r w:rsidRPr="00645022">
              <w:rPr>
                <w:rFonts w:asciiTheme="minorHAnsi" w:eastAsia="Times New Roman" w:hAnsiTheme="minorHAnsi" w:cstheme="majorHAnsi"/>
                <w:b/>
                <w:color w:val="000000" w:themeColor="text1"/>
                <w:sz w:val="20"/>
                <w:szCs w:val="20"/>
                <w:lang w:val="es-ES" w:eastAsia="es-MX"/>
              </w:rPr>
              <w:t>COMENTARIOS</w:t>
            </w:r>
          </w:p>
        </w:tc>
      </w:tr>
      <w:tr w:rsidR="009A1757" w:rsidRPr="00692485" w:rsidTr="00645022">
        <w:tc>
          <w:tcPr>
            <w:tcW w:w="442" w:type="pct"/>
          </w:tcPr>
          <w:p w:rsidR="009A1757" w:rsidRPr="00692485" w:rsidRDefault="009A1757" w:rsidP="00645022">
            <w:pPr>
              <w:spacing w:before="240"/>
              <w:jc w:val="both"/>
              <w:rPr>
                <w:rFonts w:asciiTheme="minorHAnsi" w:eastAsia="Times New Roman" w:hAnsiTheme="minorHAnsi" w:cstheme="majorHAnsi"/>
                <w:color w:val="000000"/>
                <w:sz w:val="20"/>
                <w:szCs w:val="20"/>
                <w:lang w:val="es-ES" w:eastAsia="es-MX"/>
              </w:rPr>
            </w:pPr>
            <w:r w:rsidRPr="00692485">
              <w:rPr>
                <w:rFonts w:asciiTheme="minorHAnsi" w:eastAsia="Times New Roman" w:hAnsiTheme="minorHAnsi" w:cstheme="majorHAnsi"/>
                <w:color w:val="000000"/>
                <w:sz w:val="20"/>
                <w:szCs w:val="20"/>
                <w:lang w:val="es-ES" w:eastAsia="es-MX"/>
              </w:rPr>
              <w:t>S/N</w:t>
            </w:r>
          </w:p>
        </w:tc>
        <w:tc>
          <w:tcPr>
            <w:tcW w:w="713" w:type="pct"/>
          </w:tcPr>
          <w:p w:rsidR="009A1757" w:rsidRPr="00692485" w:rsidRDefault="009A1757" w:rsidP="00645022">
            <w:pPr>
              <w:spacing w:before="240"/>
              <w:jc w:val="both"/>
              <w:rPr>
                <w:rFonts w:asciiTheme="minorHAnsi" w:hAnsiTheme="minorHAnsi" w:cstheme="majorHAnsi"/>
                <w:sz w:val="20"/>
                <w:szCs w:val="20"/>
              </w:rPr>
            </w:pPr>
            <w:r w:rsidRPr="00692485">
              <w:rPr>
                <w:rFonts w:asciiTheme="minorHAnsi" w:hAnsiTheme="minorHAnsi" w:cstheme="majorHAnsi"/>
                <w:sz w:val="20"/>
                <w:szCs w:val="20"/>
              </w:rPr>
              <w:t>Comentario General</w:t>
            </w:r>
          </w:p>
        </w:tc>
        <w:tc>
          <w:tcPr>
            <w:tcW w:w="2919" w:type="pct"/>
          </w:tcPr>
          <w:p w:rsidR="009A1757" w:rsidRPr="00692485" w:rsidRDefault="009A1757" w:rsidP="00645022">
            <w:pPr>
              <w:pStyle w:val="Prrafodelista"/>
              <w:numPr>
                <w:ilvl w:val="0"/>
                <w:numId w:val="12"/>
              </w:numPr>
              <w:spacing w:before="240"/>
              <w:ind w:left="388"/>
              <w:jc w:val="both"/>
              <w:rPr>
                <w:rFonts w:asciiTheme="minorHAnsi" w:hAnsiTheme="minorHAnsi" w:cstheme="majorHAnsi"/>
                <w:sz w:val="20"/>
                <w:szCs w:val="20"/>
                <w:lang w:val="es-ES"/>
              </w:rPr>
            </w:pPr>
            <w:r w:rsidRPr="00692485">
              <w:rPr>
                <w:rFonts w:asciiTheme="minorHAnsi" w:hAnsiTheme="minorHAnsi" w:cstheme="majorHAnsi"/>
                <w:sz w:val="20"/>
                <w:szCs w:val="20"/>
                <w:lang w:val="es-ES"/>
              </w:rPr>
              <w:t>Es necesaria una guía de cumplimiento de obligaciones porque no existe claridad en cuanto a las obligaciones que se deben cumplir por parte de los concesionarios o autorizados. Esto da certeza a los gobernados e impide que la autoridad de manera discriminatoria exija a algunos unas cosas y a otros otras.</w:t>
            </w:r>
          </w:p>
          <w:p w:rsidR="009A1757" w:rsidRPr="00692485" w:rsidRDefault="009A1757" w:rsidP="00645022">
            <w:pPr>
              <w:pStyle w:val="Prrafodelista"/>
              <w:numPr>
                <w:ilvl w:val="0"/>
                <w:numId w:val="12"/>
              </w:numPr>
              <w:spacing w:before="240"/>
              <w:ind w:left="388"/>
              <w:jc w:val="both"/>
              <w:rPr>
                <w:rFonts w:asciiTheme="minorHAnsi" w:hAnsiTheme="minorHAnsi" w:cstheme="majorHAnsi"/>
                <w:sz w:val="20"/>
                <w:szCs w:val="20"/>
                <w:lang w:val="es-ES"/>
              </w:rPr>
            </w:pPr>
            <w:r w:rsidRPr="00692485">
              <w:rPr>
                <w:rFonts w:asciiTheme="minorHAnsi" w:hAnsiTheme="minorHAnsi" w:cstheme="majorHAnsi"/>
                <w:sz w:val="20"/>
                <w:szCs w:val="20"/>
                <w:lang w:val="es-ES"/>
              </w:rPr>
              <w:t>Ninguno de los concesionarios o autorizados sabe con certeza qué es lo que debe cumplir.</w:t>
            </w:r>
          </w:p>
          <w:p w:rsidR="009A1757" w:rsidRPr="00692485" w:rsidRDefault="009A1757" w:rsidP="00645022">
            <w:pPr>
              <w:pStyle w:val="Prrafodelista"/>
              <w:numPr>
                <w:ilvl w:val="0"/>
                <w:numId w:val="12"/>
              </w:numPr>
              <w:spacing w:before="240"/>
              <w:ind w:left="388"/>
              <w:jc w:val="both"/>
              <w:rPr>
                <w:rFonts w:asciiTheme="minorHAnsi" w:hAnsiTheme="minorHAnsi" w:cstheme="majorHAnsi"/>
                <w:sz w:val="20"/>
                <w:szCs w:val="20"/>
                <w:lang w:val="es-ES" w:eastAsia="es-MX"/>
              </w:rPr>
            </w:pPr>
            <w:r w:rsidRPr="00692485">
              <w:rPr>
                <w:rFonts w:asciiTheme="minorHAnsi" w:hAnsiTheme="minorHAnsi" w:cstheme="majorHAnsi"/>
                <w:sz w:val="20"/>
                <w:szCs w:val="20"/>
                <w:lang w:val="es-ES"/>
              </w:rPr>
              <w:t>No todos los concesionarios o autorizados cuentan con el presupuesto para contratar a un asesor legal que le diga qué es lo que tiene que cumplir.</w:t>
            </w:r>
          </w:p>
        </w:tc>
        <w:tc>
          <w:tcPr>
            <w:tcW w:w="926" w:type="pct"/>
          </w:tcPr>
          <w:p w:rsidR="009A1757" w:rsidRPr="00692485" w:rsidRDefault="009A1757" w:rsidP="00645022">
            <w:pPr>
              <w:spacing w:before="240"/>
              <w:jc w:val="both"/>
              <w:rPr>
                <w:rFonts w:asciiTheme="minorHAnsi" w:eastAsia="Times New Roman" w:hAnsiTheme="minorHAnsi" w:cstheme="majorHAnsi"/>
                <w:color w:val="000000"/>
                <w:sz w:val="20"/>
                <w:szCs w:val="20"/>
                <w:lang w:val="es-ES" w:eastAsia="es-MX"/>
              </w:rPr>
            </w:pPr>
            <w:r w:rsidRPr="00692485">
              <w:rPr>
                <w:rFonts w:asciiTheme="minorHAnsi" w:eastAsia="Times New Roman" w:hAnsiTheme="minorHAnsi" w:cstheme="majorHAnsi"/>
                <w:color w:val="000000"/>
                <w:sz w:val="20"/>
                <w:szCs w:val="20"/>
                <w:lang w:val="es-ES" w:eastAsia="es-MX"/>
              </w:rPr>
              <w:t>Se requiere certeza jurídica y apoyo para la micro y pequeña empresa.</w:t>
            </w:r>
          </w:p>
        </w:tc>
      </w:tr>
      <w:tr w:rsidR="00A13759" w:rsidRPr="00692485" w:rsidTr="00645022">
        <w:tc>
          <w:tcPr>
            <w:tcW w:w="442" w:type="pct"/>
          </w:tcPr>
          <w:p w:rsidR="00A13759" w:rsidRPr="00692485" w:rsidRDefault="009A1757" w:rsidP="00645022">
            <w:pPr>
              <w:spacing w:before="240"/>
              <w:jc w:val="both"/>
              <w:rPr>
                <w:rFonts w:asciiTheme="minorHAnsi" w:eastAsia="Times New Roman" w:hAnsiTheme="minorHAnsi" w:cstheme="majorHAnsi"/>
                <w:color w:val="000000"/>
                <w:sz w:val="20"/>
                <w:szCs w:val="20"/>
                <w:lang w:val="es-ES" w:eastAsia="es-MX"/>
              </w:rPr>
            </w:pPr>
            <w:r w:rsidRPr="00692485">
              <w:rPr>
                <w:rFonts w:asciiTheme="minorHAnsi" w:eastAsia="Times New Roman" w:hAnsiTheme="minorHAnsi" w:cstheme="majorHAnsi"/>
                <w:color w:val="000000"/>
                <w:sz w:val="20"/>
                <w:szCs w:val="20"/>
                <w:lang w:val="es-ES" w:eastAsia="es-MX"/>
              </w:rPr>
              <w:t>S/N</w:t>
            </w:r>
          </w:p>
        </w:tc>
        <w:tc>
          <w:tcPr>
            <w:tcW w:w="713" w:type="pct"/>
          </w:tcPr>
          <w:p w:rsidR="00A13759" w:rsidRPr="00692485" w:rsidRDefault="009A1757" w:rsidP="00645022">
            <w:pPr>
              <w:spacing w:before="240"/>
              <w:jc w:val="both"/>
              <w:rPr>
                <w:rFonts w:asciiTheme="minorHAnsi" w:hAnsiTheme="minorHAnsi" w:cstheme="majorHAnsi"/>
                <w:sz w:val="20"/>
                <w:szCs w:val="20"/>
              </w:rPr>
            </w:pPr>
            <w:r w:rsidRPr="00692485">
              <w:rPr>
                <w:rFonts w:asciiTheme="minorHAnsi" w:hAnsiTheme="minorHAnsi" w:cstheme="majorHAnsi"/>
                <w:sz w:val="20"/>
                <w:szCs w:val="20"/>
              </w:rPr>
              <w:t>Comentario General</w:t>
            </w:r>
          </w:p>
        </w:tc>
        <w:tc>
          <w:tcPr>
            <w:tcW w:w="2919" w:type="pct"/>
          </w:tcPr>
          <w:p w:rsidR="00A13759" w:rsidRPr="00692485" w:rsidRDefault="009A1757" w:rsidP="00645022">
            <w:pPr>
              <w:pStyle w:val="Prrafodelista"/>
              <w:numPr>
                <w:ilvl w:val="0"/>
                <w:numId w:val="42"/>
              </w:numPr>
              <w:spacing w:before="240"/>
              <w:ind w:left="388"/>
              <w:jc w:val="both"/>
              <w:rPr>
                <w:rFonts w:asciiTheme="minorHAnsi" w:hAnsiTheme="minorHAnsi" w:cstheme="majorHAnsi"/>
                <w:sz w:val="20"/>
                <w:szCs w:val="20"/>
                <w:lang w:val="es-ES" w:eastAsia="es-MX"/>
              </w:rPr>
            </w:pPr>
            <w:r w:rsidRPr="00692485">
              <w:rPr>
                <w:rFonts w:asciiTheme="minorHAnsi" w:hAnsiTheme="minorHAnsi" w:cstheme="majorHAnsi"/>
                <w:sz w:val="20"/>
                <w:szCs w:val="20"/>
                <w:lang w:val="es-ES"/>
              </w:rPr>
              <w:t>En el procedimiento para la obtención de autorizaciones y/o concesiones el IFT, cuando se aprueba la concesión y/o autorización, normalmente se pide al solicitante que acuda al IFT a recoger un oficio donde señalan que la autorización y/o concesión han sido aprobadas. Después uno tiene que ir de nuevo a recoger la Autorización y/o Concesión correspondiente. No es necesario que uno tenga que ir a notificarse para que le digan que luego le van a dar el título habilitante. Si en realidad se quiere notificar esa noticia, que se envíe por correo electrónico y no se haga a la gente trasladarse al IFT para recoger un documento que no es el título habilitante.</w:t>
            </w:r>
          </w:p>
        </w:tc>
        <w:tc>
          <w:tcPr>
            <w:tcW w:w="926" w:type="pct"/>
          </w:tcPr>
          <w:p w:rsidR="00A13759" w:rsidRPr="00692485" w:rsidRDefault="009A1757" w:rsidP="00645022">
            <w:pPr>
              <w:spacing w:before="240"/>
              <w:jc w:val="both"/>
              <w:rPr>
                <w:rFonts w:asciiTheme="minorHAnsi" w:eastAsia="Times New Roman" w:hAnsiTheme="minorHAnsi" w:cstheme="majorHAnsi"/>
                <w:color w:val="000000"/>
                <w:sz w:val="20"/>
                <w:szCs w:val="20"/>
                <w:lang w:val="es-ES" w:eastAsia="es-MX"/>
              </w:rPr>
            </w:pPr>
            <w:r w:rsidRPr="00692485">
              <w:rPr>
                <w:rFonts w:asciiTheme="minorHAnsi" w:eastAsia="Times New Roman" w:hAnsiTheme="minorHAnsi" w:cstheme="majorHAnsi"/>
                <w:color w:val="000000"/>
                <w:sz w:val="20"/>
                <w:szCs w:val="20"/>
                <w:lang w:val="es-ES" w:eastAsia="es-MX"/>
              </w:rPr>
              <w:t>Se requiere ahorrar tiempo y evitar visitas innecesarias al IFT.</w:t>
            </w:r>
          </w:p>
        </w:tc>
      </w:tr>
      <w:tr w:rsidR="004A4A1C" w:rsidRPr="00692485" w:rsidTr="00645022">
        <w:tc>
          <w:tcPr>
            <w:tcW w:w="442" w:type="pct"/>
          </w:tcPr>
          <w:p w:rsidR="004A4A1C" w:rsidRPr="00692485" w:rsidRDefault="004A4A1C" w:rsidP="00645022">
            <w:pPr>
              <w:spacing w:before="240"/>
              <w:jc w:val="both"/>
              <w:rPr>
                <w:rFonts w:asciiTheme="minorHAnsi" w:eastAsia="Times New Roman" w:hAnsiTheme="minorHAnsi" w:cstheme="majorHAnsi"/>
                <w:b/>
                <w:color w:val="000000"/>
                <w:sz w:val="20"/>
                <w:szCs w:val="20"/>
                <w:lang w:val="es-ES" w:eastAsia="es-MX"/>
              </w:rPr>
            </w:pPr>
            <w:r w:rsidRPr="00692485">
              <w:rPr>
                <w:rFonts w:asciiTheme="minorHAnsi" w:eastAsia="Times New Roman" w:hAnsiTheme="minorHAnsi" w:cstheme="majorHAnsi"/>
                <w:color w:val="000000"/>
                <w:sz w:val="20"/>
                <w:szCs w:val="20"/>
                <w:lang w:val="es-ES" w:eastAsia="es-MX"/>
              </w:rPr>
              <w:t>UC-01-017</w:t>
            </w:r>
          </w:p>
        </w:tc>
        <w:tc>
          <w:tcPr>
            <w:tcW w:w="713" w:type="pct"/>
          </w:tcPr>
          <w:p w:rsidR="004A4A1C" w:rsidRPr="00692485" w:rsidRDefault="00016105" w:rsidP="00645022">
            <w:pPr>
              <w:spacing w:before="240"/>
              <w:jc w:val="both"/>
              <w:rPr>
                <w:rFonts w:asciiTheme="minorHAnsi" w:eastAsia="Times New Roman" w:hAnsiTheme="minorHAnsi" w:cstheme="majorHAnsi"/>
                <w:color w:val="000000"/>
                <w:sz w:val="20"/>
                <w:szCs w:val="20"/>
                <w:lang w:val="es-ES" w:eastAsia="es-MX"/>
              </w:rPr>
            </w:pPr>
            <w:hyperlink r:id="rId10" w:tooltip="Presentación del informe respecto de la instalación de una o más centrales de larga distancia" w:history="1">
              <w:r w:rsidR="004A4A1C" w:rsidRPr="00692485">
                <w:rPr>
                  <w:rFonts w:asciiTheme="minorHAnsi" w:eastAsia="Times New Roman" w:hAnsiTheme="minorHAnsi" w:cstheme="majorHAnsi"/>
                  <w:color w:val="000000"/>
                  <w:sz w:val="20"/>
                  <w:szCs w:val="20"/>
                  <w:lang w:val="es-ES" w:eastAsia="es-MX"/>
                </w:rPr>
                <w:t>Presentación del informe respecto de la instalación de una o más centrales de larga distancia</w:t>
              </w:r>
            </w:hyperlink>
          </w:p>
        </w:tc>
        <w:tc>
          <w:tcPr>
            <w:tcW w:w="2919" w:type="pct"/>
          </w:tcPr>
          <w:p w:rsidR="004A4A1C" w:rsidRPr="00692485" w:rsidRDefault="004A4A1C" w:rsidP="00645022">
            <w:pPr>
              <w:pStyle w:val="Prrafodelista"/>
              <w:numPr>
                <w:ilvl w:val="0"/>
                <w:numId w:val="39"/>
              </w:numPr>
              <w:spacing w:before="240"/>
              <w:ind w:left="458"/>
              <w:jc w:val="both"/>
              <w:rPr>
                <w:rFonts w:asciiTheme="minorHAnsi" w:eastAsia="Times New Roman" w:hAnsiTheme="minorHAnsi" w:cstheme="majorHAnsi"/>
                <w:color w:val="000000"/>
                <w:sz w:val="20"/>
                <w:szCs w:val="20"/>
                <w:lang w:val="es-ES" w:eastAsia="es-MX"/>
              </w:rPr>
            </w:pPr>
            <w:r w:rsidRPr="00692485">
              <w:rPr>
                <w:rFonts w:asciiTheme="minorHAnsi" w:hAnsiTheme="minorHAnsi" w:cstheme="majorHAnsi"/>
                <w:sz w:val="20"/>
                <w:szCs w:val="20"/>
                <w:lang w:val="es-ES" w:eastAsia="es-MX"/>
              </w:rPr>
              <w:t>El servicio de larga distancia ya no existe y no es necesario mantener trámites relacionados con el mismo</w:t>
            </w:r>
          </w:p>
          <w:p w:rsidR="004A4A1C" w:rsidRPr="00692485" w:rsidRDefault="004A4A1C" w:rsidP="00645022">
            <w:pPr>
              <w:pStyle w:val="Prrafodelista"/>
              <w:numPr>
                <w:ilvl w:val="0"/>
                <w:numId w:val="39"/>
              </w:numPr>
              <w:spacing w:before="240"/>
              <w:ind w:left="458"/>
              <w:jc w:val="both"/>
              <w:rPr>
                <w:rFonts w:asciiTheme="minorHAnsi" w:eastAsia="Times New Roman" w:hAnsiTheme="minorHAnsi" w:cstheme="majorHAnsi"/>
                <w:color w:val="000000"/>
                <w:sz w:val="20"/>
                <w:szCs w:val="20"/>
                <w:lang w:val="es-ES" w:eastAsia="es-MX"/>
              </w:rPr>
            </w:pPr>
            <w:r w:rsidRPr="00692485">
              <w:rPr>
                <w:rFonts w:asciiTheme="minorHAnsi" w:hAnsiTheme="minorHAnsi" w:cstheme="majorHAnsi"/>
                <w:sz w:val="20"/>
                <w:szCs w:val="20"/>
                <w:lang w:val="es-ES" w:eastAsia="es-MX"/>
              </w:rPr>
              <w:t xml:space="preserve">Las Reglas del Servicio de Larga Distancia deben ser derogadas y todos los trámites relacionados con las mismas también. </w:t>
            </w:r>
          </w:p>
        </w:tc>
        <w:tc>
          <w:tcPr>
            <w:tcW w:w="926" w:type="pct"/>
          </w:tcPr>
          <w:p w:rsidR="004A4A1C" w:rsidRPr="00692485" w:rsidRDefault="004A4A1C" w:rsidP="00645022">
            <w:pPr>
              <w:spacing w:before="240"/>
              <w:jc w:val="both"/>
              <w:rPr>
                <w:rFonts w:asciiTheme="minorHAnsi" w:eastAsia="Times New Roman" w:hAnsiTheme="minorHAnsi" w:cstheme="majorHAnsi"/>
                <w:color w:val="000000"/>
                <w:sz w:val="20"/>
                <w:szCs w:val="20"/>
                <w:lang w:val="es-ES" w:eastAsia="es-MX"/>
              </w:rPr>
            </w:pPr>
            <w:r w:rsidRPr="00692485">
              <w:rPr>
                <w:rFonts w:asciiTheme="minorHAnsi" w:eastAsia="Times New Roman" w:hAnsiTheme="minorHAnsi" w:cstheme="majorHAnsi"/>
                <w:color w:val="000000"/>
                <w:sz w:val="20"/>
                <w:szCs w:val="20"/>
                <w:lang w:val="es-ES" w:eastAsia="es-MX"/>
              </w:rPr>
              <w:t>Es necesario derogar reglas que ya no son aplicables.</w:t>
            </w:r>
          </w:p>
        </w:tc>
      </w:tr>
      <w:tr w:rsidR="004A4A1C" w:rsidRPr="00692485" w:rsidTr="00645022">
        <w:tc>
          <w:tcPr>
            <w:tcW w:w="442" w:type="pct"/>
          </w:tcPr>
          <w:p w:rsidR="004A4A1C" w:rsidRPr="00692485" w:rsidRDefault="004A4A1C" w:rsidP="00645022">
            <w:pPr>
              <w:spacing w:before="240"/>
              <w:jc w:val="both"/>
              <w:rPr>
                <w:rFonts w:asciiTheme="minorHAnsi" w:eastAsia="Times New Roman" w:hAnsiTheme="minorHAnsi" w:cstheme="majorHAnsi"/>
                <w:b/>
                <w:color w:val="000000"/>
                <w:sz w:val="20"/>
                <w:szCs w:val="20"/>
                <w:lang w:val="es-ES" w:eastAsia="es-MX"/>
              </w:rPr>
            </w:pPr>
            <w:r w:rsidRPr="00692485">
              <w:rPr>
                <w:rFonts w:asciiTheme="minorHAnsi" w:eastAsia="Times New Roman" w:hAnsiTheme="minorHAnsi" w:cstheme="majorHAnsi"/>
                <w:color w:val="000000"/>
                <w:sz w:val="20"/>
                <w:szCs w:val="20"/>
                <w:lang w:val="es-ES" w:eastAsia="es-MX"/>
              </w:rPr>
              <w:t>UC-01-022</w:t>
            </w:r>
          </w:p>
        </w:tc>
        <w:tc>
          <w:tcPr>
            <w:tcW w:w="713" w:type="pct"/>
          </w:tcPr>
          <w:p w:rsidR="004A4A1C" w:rsidRPr="003F3F46" w:rsidRDefault="00016105" w:rsidP="00645022">
            <w:pPr>
              <w:spacing w:before="240"/>
              <w:jc w:val="both"/>
              <w:rPr>
                <w:rFonts w:asciiTheme="minorHAnsi" w:eastAsia="Times New Roman" w:hAnsiTheme="minorHAnsi" w:cstheme="majorHAnsi"/>
                <w:color w:val="000000"/>
                <w:sz w:val="20"/>
                <w:szCs w:val="20"/>
                <w:lang w:val="es-ES" w:eastAsia="es-MX"/>
              </w:rPr>
            </w:pPr>
            <w:hyperlink r:id="rId11" w:tooltip="Presentación de renuncia de permiso o concesión" w:history="1">
              <w:r w:rsidR="004A4A1C" w:rsidRPr="003F3F46">
                <w:rPr>
                  <w:rFonts w:asciiTheme="minorHAnsi" w:eastAsia="Times New Roman" w:hAnsiTheme="minorHAnsi" w:cstheme="majorHAnsi"/>
                  <w:color w:val="000000"/>
                  <w:sz w:val="20"/>
                  <w:szCs w:val="20"/>
                  <w:lang w:val="es-ES" w:eastAsia="es-MX"/>
                </w:rPr>
                <w:t>Presentación de renuncia de permiso o concesión</w:t>
              </w:r>
            </w:hyperlink>
          </w:p>
        </w:tc>
        <w:tc>
          <w:tcPr>
            <w:tcW w:w="2919" w:type="pct"/>
          </w:tcPr>
          <w:p w:rsidR="004A4A1C" w:rsidRPr="003F3F46" w:rsidRDefault="004A4A1C" w:rsidP="00645022">
            <w:pPr>
              <w:pStyle w:val="Prrafodelista"/>
              <w:numPr>
                <w:ilvl w:val="0"/>
                <w:numId w:val="38"/>
              </w:numPr>
              <w:spacing w:before="240"/>
              <w:ind w:left="458"/>
              <w:jc w:val="both"/>
              <w:rPr>
                <w:rFonts w:asciiTheme="minorHAnsi" w:eastAsia="Times New Roman" w:hAnsiTheme="minorHAnsi" w:cstheme="majorHAnsi"/>
                <w:color w:val="000000"/>
                <w:sz w:val="20"/>
                <w:szCs w:val="20"/>
                <w:lang w:val="es-ES" w:eastAsia="es-MX"/>
              </w:rPr>
            </w:pPr>
            <w:r w:rsidRPr="003F3F46">
              <w:rPr>
                <w:rFonts w:asciiTheme="minorHAnsi" w:hAnsiTheme="minorHAnsi" w:cstheme="majorHAnsi"/>
                <w:sz w:val="20"/>
                <w:szCs w:val="20"/>
                <w:lang w:val="es-ES" w:eastAsia="es-MX"/>
              </w:rPr>
              <w:t xml:space="preserve">En caso que alguien presente una renuncia a su permiso, autorización o concesión el trámite establece que el IFT debe emitir una declaración administrativa de terminación por renuncia. </w:t>
            </w:r>
          </w:p>
          <w:p w:rsidR="00E36802" w:rsidRPr="003F3F46" w:rsidRDefault="004A4A1C" w:rsidP="00645022">
            <w:pPr>
              <w:pStyle w:val="Prrafodelista"/>
              <w:numPr>
                <w:ilvl w:val="0"/>
                <w:numId w:val="38"/>
              </w:numPr>
              <w:spacing w:before="240"/>
              <w:ind w:left="458"/>
              <w:jc w:val="both"/>
              <w:rPr>
                <w:rFonts w:asciiTheme="minorHAnsi" w:eastAsia="Times New Roman" w:hAnsiTheme="minorHAnsi" w:cstheme="majorHAnsi"/>
                <w:color w:val="000000"/>
                <w:sz w:val="20"/>
                <w:szCs w:val="20"/>
                <w:lang w:val="es-ES" w:eastAsia="es-MX"/>
              </w:rPr>
            </w:pPr>
            <w:r w:rsidRPr="003F3F46">
              <w:rPr>
                <w:rFonts w:asciiTheme="minorHAnsi" w:eastAsia="Times New Roman" w:hAnsiTheme="minorHAnsi" w:cstheme="majorHAnsi"/>
                <w:color w:val="000000"/>
                <w:sz w:val="20"/>
                <w:szCs w:val="20"/>
                <w:lang w:val="es-ES" w:eastAsia="es-MX"/>
              </w:rPr>
              <w:t>Asimismo, se establece que existe negativa ficta si no hay respuesta en un plazo de tres meses.</w:t>
            </w:r>
          </w:p>
          <w:p w:rsidR="004A4A1C" w:rsidRPr="003F3F46" w:rsidRDefault="00E36802" w:rsidP="00645022">
            <w:pPr>
              <w:pStyle w:val="Prrafodelista"/>
              <w:numPr>
                <w:ilvl w:val="0"/>
                <w:numId w:val="38"/>
              </w:numPr>
              <w:spacing w:before="240"/>
              <w:ind w:left="458"/>
              <w:jc w:val="both"/>
              <w:rPr>
                <w:rFonts w:asciiTheme="minorHAnsi" w:eastAsia="Times New Roman" w:hAnsiTheme="minorHAnsi" w:cstheme="majorHAnsi"/>
                <w:color w:val="000000"/>
                <w:sz w:val="20"/>
                <w:szCs w:val="20"/>
                <w:lang w:val="es-ES" w:eastAsia="es-MX"/>
              </w:rPr>
            </w:pPr>
            <w:r w:rsidRPr="003F3F46">
              <w:rPr>
                <w:rFonts w:asciiTheme="minorHAnsi" w:eastAsia="Times New Roman" w:hAnsiTheme="minorHAnsi" w:cstheme="majorHAnsi"/>
                <w:color w:val="000000"/>
                <w:sz w:val="20"/>
                <w:szCs w:val="20"/>
                <w:lang w:val="es-ES" w:eastAsia="es-MX"/>
              </w:rPr>
              <w:t xml:space="preserve">Al respecto consideramos importante que exista una afirmativa ficta pero dentro de un plazo razonable que permita al IFT analizar la renuncia y de ser necesario tomar las medidas para que se pueda dar la continuidad a los servicios que el tenedor del título habilitante venía prestando. </w:t>
            </w:r>
          </w:p>
        </w:tc>
        <w:tc>
          <w:tcPr>
            <w:tcW w:w="926" w:type="pct"/>
          </w:tcPr>
          <w:p w:rsidR="004A4A1C" w:rsidRPr="00692485" w:rsidRDefault="004A4A1C" w:rsidP="00645022">
            <w:pPr>
              <w:spacing w:before="240"/>
              <w:jc w:val="both"/>
              <w:rPr>
                <w:rFonts w:asciiTheme="minorHAnsi" w:eastAsia="Times New Roman" w:hAnsiTheme="minorHAnsi" w:cstheme="majorHAnsi"/>
                <w:color w:val="000000"/>
                <w:sz w:val="20"/>
                <w:szCs w:val="20"/>
                <w:lang w:val="es-ES" w:eastAsia="es-MX"/>
              </w:rPr>
            </w:pPr>
          </w:p>
        </w:tc>
      </w:tr>
      <w:tr w:rsidR="004A4A1C" w:rsidRPr="00692485" w:rsidTr="00645022">
        <w:tc>
          <w:tcPr>
            <w:tcW w:w="442" w:type="pct"/>
          </w:tcPr>
          <w:p w:rsidR="004A4A1C" w:rsidRPr="00692485" w:rsidRDefault="004A4A1C" w:rsidP="00645022">
            <w:pPr>
              <w:spacing w:before="240"/>
              <w:jc w:val="both"/>
              <w:rPr>
                <w:rFonts w:asciiTheme="minorHAnsi" w:eastAsia="Times New Roman" w:hAnsiTheme="minorHAnsi" w:cstheme="majorHAnsi"/>
                <w:b/>
                <w:color w:val="000000"/>
                <w:sz w:val="20"/>
                <w:szCs w:val="20"/>
                <w:lang w:val="es-ES" w:eastAsia="es-MX"/>
              </w:rPr>
            </w:pPr>
            <w:r w:rsidRPr="00692485">
              <w:rPr>
                <w:rFonts w:asciiTheme="minorHAnsi" w:eastAsia="Times New Roman" w:hAnsiTheme="minorHAnsi" w:cstheme="majorHAnsi"/>
                <w:color w:val="000000"/>
                <w:sz w:val="20"/>
                <w:szCs w:val="20"/>
                <w:lang w:val="es-ES" w:eastAsia="es-MX"/>
              </w:rPr>
              <w:t>UCS-01-001</w:t>
            </w:r>
          </w:p>
        </w:tc>
        <w:tc>
          <w:tcPr>
            <w:tcW w:w="713" w:type="pct"/>
          </w:tcPr>
          <w:p w:rsidR="004A4A1C" w:rsidRPr="00692485" w:rsidRDefault="00016105" w:rsidP="00645022">
            <w:pPr>
              <w:spacing w:before="240"/>
              <w:jc w:val="both"/>
              <w:rPr>
                <w:rFonts w:asciiTheme="minorHAnsi" w:eastAsia="Times New Roman" w:hAnsiTheme="minorHAnsi" w:cstheme="majorHAnsi"/>
                <w:color w:val="000000"/>
                <w:sz w:val="20"/>
                <w:szCs w:val="20"/>
                <w:lang w:val="es-ES" w:eastAsia="es-MX"/>
              </w:rPr>
            </w:pPr>
            <w:hyperlink r:id="rId12" w:tooltip="Presentación de la estructura accionaria o de partes sociales de los concesionarios de los sectores de telecomunicaciones y radiodifusión" w:history="1">
              <w:r w:rsidR="004A4A1C" w:rsidRPr="00692485">
                <w:rPr>
                  <w:rFonts w:asciiTheme="minorHAnsi" w:eastAsia="Times New Roman" w:hAnsiTheme="minorHAnsi" w:cstheme="majorHAnsi"/>
                  <w:color w:val="000000"/>
                  <w:sz w:val="20"/>
                  <w:szCs w:val="20"/>
                  <w:lang w:val="es-ES" w:eastAsia="es-MX"/>
                </w:rPr>
                <w:t xml:space="preserve">Presentación de la estructura accionaria </w:t>
              </w:r>
              <w:r w:rsidR="004A4A1C" w:rsidRPr="00692485">
                <w:rPr>
                  <w:rFonts w:asciiTheme="minorHAnsi" w:eastAsia="Times New Roman" w:hAnsiTheme="minorHAnsi" w:cstheme="majorHAnsi"/>
                  <w:color w:val="000000"/>
                  <w:sz w:val="20"/>
                  <w:szCs w:val="20"/>
                  <w:lang w:val="es-ES" w:eastAsia="es-MX"/>
                </w:rPr>
                <w:lastRenderedPageBreak/>
                <w:t>o de partes sociales de los concesionarios de los sectores de telecomunicaciones y radiodifusión</w:t>
              </w:r>
            </w:hyperlink>
          </w:p>
        </w:tc>
        <w:tc>
          <w:tcPr>
            <w:tcW w:w="2919" w:type="pct"/>
          </w:tcPr>
          <w:p w:rsidR="004A4A1C" w:rsidRPr="00692485" w:rsidRDefault="004A4A1C" w:rsidP="00645022">
            <w:pPr>
              <w:pStyle w:val="Prrafodelista"/>
              <w:numPr>
                <w:ilvl w:val="0"/>
                <w:numId w:val="41"/>
              </w:numPr>
              <w:spacing w:before="240"/>
              <w:ind w:left="463"/>
              <w:jc w:val="both"/>
              <w:rPr>
                <w:rFonts w:asciiTheme="minorHAnsi" w:hAnsiTheme="minorHAnsi" w:cstheme="majorHAnsi"/>
                <w:sz w:val="20"/>
                <w:szCs w:val="20"/>
                <w:lang w:val="es-ES" w:eastAsia="es-MX"/>
              </w:rPr>
            </w:pPr>
            <w:r w:rsidRPr="00692485">
              <w:rPr>
                <w:rFonts w:asciiTheme="minorHAnsi" w:hAnsiTheme="minorHAnsi" w:cstheme="majorHAnsi"/>
                <w:sz w:val="20"/>
                <w:szCs w:val="20"/>
                <w:lang w:val="es-ES" w:eastAsia="es-MX"/>
              </w:rPr>
              <w:lastRenderedPageBreak/>
              <w:t>Sería bueno definir a qué fecha se necesita la estructura accionaria porque no es claro si es al cierre del 2015, a la fecha de entrega de la información, o cualquier otra fecha.</w:t>
            </w:r>
          </w:p>
          <w:p w:rsidR="004A4A1C" w:rsidRPr="00692485" w:rsidRDefault="004A4A1C" w:rsidP="00645022">
            <w:pPr>
              <w:pStyle w:val="Prrafodelista"/>
              <w:numPr>
                <w:ilvl w:val="0"/>
                <w:numId w:val="41"/>
              </w:numPr>
              <w:spacing w:before="240"/>
              <w:ind w:left="463"/>
              <w:jc w:val="both"/>
              <w:rPr>
                <w:rFonts w:asciiTheme="minorHAnsi" w:hAnsiTheme="minorHAnsi" w:cstheme="majorHAnsi"/>
                <w:sz w:val="20"/>
                <w:szCs w:val="20"/>
                <w:lang w:val="es-ES" w:eastAsia="es-MX"/>
              </w:rPr>
            </w:pPr>
            <w:r w:rsidRPr="00692485">
              <w:rPr>
                <w:rFonts w:asciiTheme="minorHAnsi" w:hAnsiTheme="minorHAnsi" w:cstheme="majorHAnsi"/>
                <w:sz w:val="20"/>
                <w:szCs w:val="20"/>
                <w:lang w:val="es-ES" w:eastAsia="es-MX"/>
              </w:rPr>
              <w:lastRenderedPageBreak/>
              <w:t>Se requiere que el formato se presente en disco o en USB. Debería pedirse por correo electrónico o mediante la página web y evitar medios físicos que acumulados representan un gasto innecesario (costo del disco o USB y costo de la persona)</w:t>
            </w:r>
          </w:p>
          <w:p w:rsidR="004A4A1C" w:rsidRPr="00692485" w:rsidRDefault="004A4A1C" w:rsidP="00645022">
            <w:pPr>
              <w:pStyle w:val="Prrafodelista"/>
              <w:numPr>
                <w:ilvl w:val="1"/>
                <w:numId w:val="41"/>
              </w:numPr>
              <w:spacing w:before="240"/>
              <w:jc w:val="both"/>
              <w:rPr>
                <w:rFonts w:asciiTheme="minorHAnsi" w:hAnsiTheme="minorHAnsi" w:cstheme="majorHAnsi"/>
                <w:sz w:val="20"/>
                <w:szCs w:val="20"/>
                <w:lang w:val="es-ES" w:eastAsia="es-MX"/>
              </w:rPr>
            </w:pPr>
            <w:r w:rsidRPr="00692485">
              <w:rPr>
                <w:rFonts w:asciiTheme="minorHAnsi" w:hAnsiTheme="minorHAnsi" w:cstheme="majorHAnsi"/>
                <w:sz w:val="20"/>
                <w:szCs w:val="20"/>
                <w:lang w:val="es-ES" w:eastAsia="es-MX"/>
              </w:rPr>
              <w:t>Se estima un total de 2,200 concesiones de redes públicas</w:t>
            </w:r>
          </w:p>
          <w:p w:rsidR="004A4A1C" w:rsidRPr="00692485" w:rsidRDefault="004A4A1C" w:rsidP="00645022">
            <w:pPr>
              <w:pStyle w:val="Prrafodelista"/>
              <w:numPr>
                <w:ilvl w:val="1"/>
                <w:numId w:val="41"/>
              </w:numPr>
              <w:spacing w:before="240"/>
              <w:jc w:val="both"/>
              <w:rPr>
                <w:rFonts w:asciiTheme="minorHAnsi" w:hAnsiTheme="minorHAnsi" w:cstheme="majorHAnsi"/>
                <w:sz w:val="20"/>
                <w:szCs w:val="20"/>
                <w:lang w:val="es-ES" w:eastAsia="es-MX"/>
              </w:rPr>
            </w:pPr>
            <w:r w:rsidRPr="00692485">
              <w:rPr>
                <w:rFonts w:asciiTheme="minorHAnsi" w:hAnsiTheme="minorHAnsi" w:cstheme="majorHAnsi"/>
                <w:sz w:val="20"/>
                <w:szCs w:val="20"/>
                <w:lang w:val="es-ES" w:eastAsia="es-MX"/>
              </w:rPr>
              <w:t>El costo por disco es de unos $10.00 por cada disco</w:t>
            </w:r>
          </w:p>
          <w:p w:rsidR="004A4A1C" w:rsidRPr="00692485" w:rsidRDefault="004A4A1C" w:rsidP="00645022">
            <w:pPr>
              <w:pStyle w:val="Prrafodelista"/>
              <w:numPr>
                <w:ilvl w:val="1"/>
                <w:numId w:val="41"/>
              </w:numPr>
              <w:spacing w:before="240"/>
              <w:jc w:val="both"/>
              <w:rPr>
                <w:rFonts w:asciiTheme="minorHAnsi" w:hAnsiTheme="minorHAnsi" w:cstheme="majorHAnsi"/>
                <w:sz w:val="20"/>
                <w:szCs w:val="20"/>
                <w:lang w:val="es-ES" w:eastAsia="es-MX"/>
              </w:rPr>
            </w:pPr>
            <w:r w:rsidRPr="00692485">
              <w:rPr>
                <w:rFonts w:asciiTheme="minorHAnsi" w:hAnsiTheme="minorHAnsi" w:cstheme="majorHAnsi"/>
                <w:sz w:val="20"/>
                <w:szCs w:val="20"/>
                <w:lang w:val="es-ES" w:eastAsia="es-MX"/>
              </w:rPr>
              <w:t>El costo por USB es de $50.00 por cada unidad</w:t>
            </w:r>
          </w:p>
          <w:p w:rsidR="004A4A1C" w:rsidRPr="00692485" w:rsidRDefault="004A4A1C" w:rsidP="00645022">
            <w:pPr>
              <w:pStyle w:val="Prrafodelista"/>
              <w:numPr>
                <w:ilvl w:val="1"/>
                <w:numId w:val="41"/>
              </w:numPr>
              <w:spacing w:before="240"/>
              <w:jc w:val="both"/>
              <w:rPr>
                <w:rFonts w:asciiTheme="minorHAnsi" w:hAnsiTheme="minorHAnsi" w:cstheme="majorHAnsi"/>
                <w:sz w:val="20"/>
                <w:szCs w:val="20"/>
                <w:lang w:val="es-ES" w:eastAsia="es-MX"/>
              </w:rPr>
            </w:pPr>
            <w:r w:rsidRPr="00692485">
              <w:rPr>
                <w:rFonts w:asciiTheme="minorHAnsi" w:hAnsiTheme="minorHAnsi" w:cstheme="majorHAnsi"/>
                <w:sz w:val="20"/>
                <w:szCs w:val="20"/>
                <w:lang w:val="es-ES" w:eastAsia="es-MX"/>
              </w:rPr>
              <w:t>El tiempo dedicado para comprar el USD o el disco, guardar la información en el mismo y entregarla en el IFT es de dos horas. Esto implica un costo mínimo de $400.00 cada documento que se presenta ante el IFT en cuestión de tiempo/persona</w:t>
            </w:r>
          </w:p>
          <w:p w:rsidR="004A4A1C" w:rsidRPr="00692485" w:rsidRDefault="004A4A1C" w:rsidP="00645022">
            <w:pPr>
              <w:pStyle w:val="Prrafodelista"/>
              <w:numPr>
                <w:ilvl w:val="0"/>
                <w:numId w:val="41"/>
              </w:numPr>
              <w:spacing w:before="240"/>
              <w:ind w:left="463"/>
              <w:jc w:val="both"/>
              <w:rPr>
                <w:rFonts w:asciiTheme="minorHAnsi" w:hAnsiTheme="minorHAnsi" w:cstheme="majorHAnsi"/>
                <w:sz w:val="20"/>
                <w:szCs w:val="20"/>
                <w:lang w:val="es-ES" w:eastAsia="es-MX"/>
              </w:rPr>
            </w:pPr>
            <w:r w:rsidRPr="00692485">
              <w:rPr>
                <w:rFonts w:asciiTheme="minorHAnsi" w:hAnsiTheme="minorHAnsi" w:cstheme="majorHAnsi"/>
                <w:sz w:val="20"/>
                <w:szCs w:val="20"/>
                <w:lang w:val="es-ES" w:eastAsia="es-MX"/>
              </w:rPr>
              <w:t>Se sugiere habilitar una dirección electrónica para recibir estos avisos y que la misma genere el acuse de recibido.</w:t>
            </w:r>
          </w:p>
        </w:tc>
        <w:tc>
          <w:tcPr>
            <w:tcW w:w="926" w:type="pct"/>
          </w:tcPr>
          <w:p w:rsidR="004A4A1C" w:rsidRPr="00692485" w:rsidRDefault="004A4A1C" w:rsidP="00645022">
            <w:pPr>
              <w:spacing w:before="240"/>
              <w:jc w:val="both"/>
              <w:rPr>
                <w:rFonts w:asciiTheme="minorHAnsi" w:eastAsia="Times New Roman" w:hAnsiTheme="minorHAnsi" w:cstheme="majorHAnsi"/>
                <w:color w:val="000000"/>
                <w:sz w:val="20"/>
                <w:szCs w:val="20"/>
                <w:lang w:val="es-ES" w:eastAsia="es-MX"/>
              </w:rPr>
            </w:pPr>
            <w:r w:rsidRPr="00692485">
              <w:rPr>
                <w:rFonts w:asciiTheme="minorHAnsi" w:eastAsia="Times New Roman" w:hAnsiTheme="minorHAnsi" w:cstheme="majorHAnsi"/>
                <w:color w:val="000000"/>
                <w:sz w:val="20"/>
                <w:szCs w:val="20"/>
                <w:lang w:val="es-ES" w:eastAsia="es-MX"/>
              </w:rPr>
              <w:lastRenderedPageBreak/>
              <w:t xml:space="preserve">Hacer el trámite electrónico pudiera implica un ahorro </w:t>
            </w:r>
            <w:r w:rsidRPr="00692485">
              <w:rPr>
                <w:rFonts w:asciiTheme="minorHAnsi" w:eastAsia="Times New Roman" w:hAnsiTheme="minorHAnsi" w:cstheme="majorHAnsi"/>
                <w:color w:val="000000"/>
                <w:sz w:val="20"/>
                <w:szCs w:val="20"/>
                <w:lang w:val="es-ES" w:eastAsia="es-MX"/>
              </w:rPr>
              <w:lastRenderedPageBreak/>
              <w:t>para la industria de aproximadamente un millón de pesos al año que en realidad no es necesario gastar. Asimismo, el tiempo dedicado a esta tarea puede aprovecharse en otros temas, por lo que el ahorro es mayor.</w:t>
            </w:r>
          </w:p>
        </w:tc>
      </w:tr>
      <w:tr w:rsidR="004A4A1C" w:rsidRPr="00692485" w:rsidTr="00645022">
        <w:tc>
          <w:tcPr>
            <w:tcW w:w="442" w:type="pct"/>
          </w:tcPr>
          <w:p w:rsidR="004A4A1C" w:rsidRPr="00692485" w:rsidRDefault="004A4A1C" w:rsidP="00645022">
            <w:pPr>
              <w:spacing w:before="240"/>
              <w:jc w:val="both"/>
              <w:rPr>
                <w:rFonts w:asciiTheme="minorHAnsi" w:eastAsia="Times New Roman" w:hAnsiTheme="minorHAnsi" w:cstheme="majorHAnsi"/>
                <w:color w:val="000000"/>
                <w:sz w:val="20"/>
                <w:szCs w:val="20"/>
                <w:lang w:val="es-ES" w:eastAsia="es-MX"/>
              </w:rPr>
            </w:pPr>
            <w:r w:rsidRPr="00692485">
              <w:rPr>
                <w:rFonts w:asciiTheme="minorHAnsi" w:eastAsia="Times New Roman" w:hAnsiTheme="minorHAnsi" w:cstheme="majorHAnsi"/>
                <w:color w:val="000000"/>
                <w:sz w:val="20"/>
                <w:szCs w:val="20"/>
                <w:lang w:val="es-ES" w:eastAsia="es-MX"/>
              </w:rPr>
              <w:lastRenderedPageBreak/>
              <w:t>UCS-01-066</w:t>
            </w:r>
          </w:p>
        </w:tc>
        <w:tc>
          <w:tcPr>
            <w:tcW w:w="713" w:type="pct"/>
          </w:tcPr>
          <w:p w:rsidR="004A4A1C" w:rsidRPr="00692485" w:rsidRDefault="00016105" w:rsidP="00645022">
            <w:pPr>
              <w:spacing w:before="240"/>
              <w:jc w:val="both"/>
              <w:rPr>
                <w:rFonts w:asciiTheme="minorHAnsi" w:eastAsia="Times New Roman" w:hAnsiTheme="minorHAnsi" w:cstheme="majorHAnsi"/>
                <w:color w:val="000000"/>
                <w:sz w:val="20"/>
                <w:szCs w:val="20"/>
                <w:lang w:val="es-ES" w:eastAsia="es-MX"/>
              </w:rPr>
            </w:pPr>
            <w:hyperlink r:id="rId13" w:tooltip="Solicitud de Acceso al Sistema Electrónico de Registro de Tarifas del Registro Público de Concesiones" w:history="1">
              <w:r w:rsidR="004A4A1C" w:rsidRPr="00692485">
                <w:rPr>
                  <w:rFonts w:asciiTheme="minorHAnsi" w:eastAsia="Times New Roman" w:hAnsiTheme="minorHAnsi" w:cstheme="majorHAnsi"/>
                  <w:color w:val="000000"/>
                  <w:sz w:val="20"/>
                  <w:szCs w:val="20"/>
                  <w:lang w:val="es-ES" w:eastAsia="es-MX"/>
                </w:rPr>
                <w:t>Solicitud de Acceso al Sistema Electrónico de Registro de Tarifas del Registro Público de Concesiones</w:t>
              </w:r>
            </w:hyperlink>
          </w:p>
        </w:tc>
        <w:tc>
          <w:tcPr>
            <w:tcW w:w="2919" w:type="pct"/>
          </w:tcPr>
          <w:p w:rsidR="004A4A1C" w:rsidRPr="00692485" w:rsidRDefault="004A4A1C" w:rsidP="00645022">
            <w:pPr>
              <w:pStyle w:val="Prrafodelista"/>
              <w:numPr>
                <w:ilvl w:val="0"/>
                <w:numId w:val="40"/>
              </w:numPr>
              <w:spacing w:before="240"/>
              <w:ind w:left="458"/>
              <w:jc w:val="both"/>
              <w:rPr>
                <w:rFonts w:asciiTheme="minorHAnsi" w:eastAsia="Times New Roman" w:hAnsiTheme="minorHAnsi" w:cstheme="majorHAnsi"/>
                <w:color w:val="000000"/>
                <w:sz w:val="20"/>
                <w:szCs w:val="20"/>
                <w:lang w:val="es-ES" w:eastAsia="es-MX"/>
              </w:rPr>
            </w:pPr>
            <w:r w:rsidRPr="00692485">
              <w:rPr>
                <w:rFonts w:asciiTheme="minorHAnsi" w:hAnsiTheme="minorHAnsi" w:cstheme="majorHAnsi"/>
                <w:lang w:val="es-ES" w:eastAsia="es-MX"/>
              </w:rPr>
              <w:t>La obligación de registrar tarifas está fundamentada en el artículo 205 de la LFTR y dicho artículo señala que los concesionarios de servicios de telecomunicaciones para uso comercial o para uso social deberán presentar solicitud electrónica de registro de sus tarifas a los usuarios, previo a su entrada en vigor. Esta obligación es aplicable únicamente a los concesionarios.</w:t>
            </w:r>
          </w:p>
          <w:p w:rsidR="004A4A1C" w:rsidRPr="00692485" w:rsidRDefault="004A4A1C" w:rsidP="00645022">
            <w:pPr>
              <w:pStyle w:val="Prrafodelista"/>
              <w:numPr>
                <w:ilvl w:val="0"/>
                <w:numId w:val="40"/>
              </w:numPr>
              <w:spacing w:before="240"/>
              <w:ind w:left="458"/>
              <w:jc w:val="both"/>
              <w:rPr>
                <w:rFonts w:asciiTheme="minorHAnsi" w:eastAsia="Times New Roman" w:hAnsiTheme="minorHAnsi" w:cstheme="majorHAnsi"/>
                <w:color w:val="000000"/>
                <w:sz w:val="20"/>
                <w:szCs w:val="20"/>
                <w:lang w:val="es-ES" w:eastAsia="es-MX"/>
              </w:rPr>
            </w:pPr>
            <w:r w:rsidRPr="00692485">
              <w:rPr>
                <w:rFonts w:asciiTheme="minorHAnsi" w:hAnsiTheme="minorHAnsi" w:cstheme="majorHAnsi"/>
                <w:lang w:val="es-ES" w:eastAsia="es-MX"/>
              </w:rPr>
              <w:t xml:space="preserve">La página de internet señala que todos los concesionarios, permisionarios y autorizados deben realizar el trámite. Esto implica ir más allá de lo que la LFTR señala, pues ésta es clara en cuando a que sólo los concesionarios son los que deben registrar tarifas. </w:t>
            </w:r>
          </w:p>
          <w:p w:rsidR="004A4A1C" w:rsidRPr="00692485" w:rsidRDefault="004A4A1C" w:rsidP="00645022">
            <w:pPr>
              <w:pStyle w:val="Prrafodelista"/>
              <w:numPr>
                <w:ilvl w:val="0"/>
                <w:numId w:val="40"/>
              </w:numPr>
              <w:spacing w:before="240"/>
              <w:ind w:left="458"/>
              <w:jc w:val="both"/>
              <w:rPr>
                <w:rFonts w:asciiTheme="minorHAnsi" w:eastAsia="Times New Roman" w:hAnsiTheme="minorHAnsi" w:cstheme="majorHAnsi"/>
                <w:color w:val="000000"/>
                <w:sz w:val="20"/>
                <w:szCs w:val="20"/>
                <w:lang w:val="es-ES" w:eastAsia="es-MX"/>
              </w:rPr>
            </w:pPr>
            <w:r w:rsidRPr="00692485">
              <w:rPr>
                <w:rFonts w:asciiTheme="minorHAnsi" w:hAnsiTheme="minorHAnsi" w:cstheme="majorHAnsi"/>
                <w:lang w:val="es-ES" w:eastAsia="es-MX"/>
              </w:rPr>
              <w:t>Este trámite debería ser totalmente electrónico y no requerir el envío de documentos al IFT.</w:t>
            </w:r>
          </w:p>
        </w:tc>
        <w:tc>
          <w:tcPr>
            <w:tcW w:w="926" w:type="pct"/>
          </w:tcPr>
          <w:p w:rsidR="004A4A1C" w:rsidRPr="00692485" w:rsidRDefault="004A4A1C" w:rsidP="00645022">
            <w:pPr>
              <w:spacing w:before="240"/>
              <w:jc w:val="both"/>
              <w:rPr>
                <w:rFonts w:asciiTheme="minorHAnsi" w:eastAsia="Times New Roman" w:hAnsiTheme="minorHAnsi" w:cstheme="majorHAnsi"/>
                <w:color w:val="000000"/>
                <w:sz w:val="20"/>
                <w:szCs w:val="20"/>
                <w:lang w:val="es-ES" w:eastAsia="es-MX"/>
              </w:rPr>
            </w:pPr>
          </w:p>
        </w:tc>
      </w:tr>
      <w:tr w:rsidR="004A4A1C" w:rsidRPr="00692485" w:rsidTr="00645022">
        <w:tc>
          <w:tcPr>
            <w:tcW w:w="442" w:type="pct"/>
          </w:tcPr>
          <w:p w:rsidR="004A4A1C" w:rsidRPr="00692485" w:rsidRDefault="004A4A1C" w:rsidP="00645022">
            <w:pPr>
              <w:spacing w:before="240"/>
              <w:jc w:val="both"/>
              <w:rPr>
                <w:rFonts w:asciiTheme="minorHAnsi" w:eastAsia="Times New Roman" w:hAnsiTheme="minorHAnsi" w:cstheme="majorHAnsi"/>
                <w:b/>
                <w:color w:val="000000"/>
                <w:sz w:val="20"/>
                <w:szCs w:val="20"/>
                <w:lang w:val="es-ES" w:eastAsia="es-MX"/>
              </w:rPr>
            </w:pPr>
            <w:r w:rsidRPr="00692485">
              <w:rPr>
                <w:rFonts w:asciiTheme="minorHAnsi" w:eastAsia="Times New Roman" w:hAnsiTheme="minorHAnsi" w:cstheme="majorHAnsi"/>
                <w:color w:val="000000"/>
                <w:sz w:val="20"/>
                <w:szCs w:val="20"/>
                <w:lang w:val="es-ES" w:eastAsia="es-MX"/>
              </w:rPr>
              <w:t>UCS-03-001</w:t>
            </w:r>
          </w:p>
        </w:tc>
        <w:tc>
          <w:tcPr>
            <w:tcW w:w="713" w:type="pct"/>
          </w:tcPr>
          <w:p w:rsidR="004A4A1C" w:rsidRPr="00692485" w:rsidRDefault="00016105" w:rsidP="00645022">
            <w:pPr>
              <w:spacing w:before="240"/>
              <w:jc w:val="both"/>
              <w:rPr>
                <w:rFonts w:asciiTheme="minorHAnsi" w:eastAsia="Times New Roman" w:hAnsiTheme="minorHAnsi" w:cstheme="majorHAnsi"/>
                <w:color w:val="000000"/>
                <w:sz w:val="20"/>
                <w:szCs w:val="20"/>
                <w:lang w:val="es-ES" w:eastAsia="es-MX"/>
              </w:rPr>
            </w:pPr>
            <w:hyperlink r:id="rId14" w:tooltip="Solicitud de autorización de suscripción o enajenación de acciones o partes sociales de los concesionarios" w:history="1">
              <w:r w:rsidR="004A4A1C" w:rsidRPr="00692485">
                <w:rPr>
                  <w:rFonts w:asciiTheme="minorHAnsi" w:eastAsia="Times New Roman" w:hAnsiTheme="minorHAnsi" w:cstheme="majorHAnsi"/>
                  <w:color w:val="000000"/>
                  <w:sz w:val="20"/>
                  <w:szCs w:val="20"/>
                  <w:lang w:val="es-ES" w:eastAsia="es-MX"/>
                </w:rPr>
                <w:t>Solicitud de autorización de suscripción o enajenación de acciones o partes sociales de los concesionarios</w:t>
              </w:r>
            </w:hyperlink>
          </w:p>
        </w:tc>
        <w:tc>
          <w:tcPr>
            <w:tcW w:w="2919" w:type="pct"/>
          </w:tcPr>
          <w:p w:rsidR="004A4A1C" w:rsidRPr="00692485" w:rsidRDefault="004A4A1C" w:rsidP="00645022">
            <w:pPr>
              <w:pStyle w:val="Prrafodelista"/>
              <w:numPr>
                <w:ilvl w:val="0"/>
                <w:numId w:val="35"/>
              </w:numPr>
              <w:spacing w:before="240"/>
              <w:ind w:left="462"/>
              <w:jc w:val="both"/>
              <w:rPr>
                <w:rFonts w:asciiTheme="minorHAnsi" w:eastAsia="Times New Roman" w:hAnsiTheme="minorHAnsi" w:cstheme="majorHAnsi"/>
                <w:color w:val="000000"/>
                <w:sz w:val="20"/>
                <w:szCs w:val="20"/>
                <w:lang w:val="es-ES" w:eastAsia="es-MX"/>
              </w:rPr>
            </w:pPr>
            <w:r w:rsidRPr="00692485">
              <w:rPr>
                <w:rFonts w:asciiTheme="minorHAnsi" w:eastAsia="Times New Roman" w:hAnsiTheme="minorHAnsi" w:cstheme="majorHAnsi"/>
                <w:color w:val="000000"/>
                <w:sz w:val="20"/>
                <w:szCs w:val="20"/>
                <w:lang w:val="es-ES" w:eastAsia="es-MX"/>
              </w:rPr>
              <w:t xml:space="preserve">Es un trámite claro. </w:t>
            </w:r>
          </w:p>
          <w:p w:rsidR="004A4A1C" w:rsidRPr="00692485" w:rsidRDefault="004A4A1C" w:rsidP="00645022">
            <w:pPr>
              <w:pStyle w:val="Prrafodelista"/>
              <w:numPr>
                <w:ilvl w:val="0"/>
                <w:numId w:val="35"/>
              </w:numPr>
              <w:spacing w:before="240"/>
              <w:ind w:left="708" w:hanging="606"/>
              <w:jc w:val="both"/>
              <w:rPr>
                <w:rFonts w:asciiTheme="minorHAnsi" w:eastAsia="Times New Roman" w:hAnsiTheme="minorHAnsi" w:cstheme="majorHAnsi"/>
                <w:color w:val="000000"/>
                <w:sz w:val="20"/>
                <w:szCs w:val="20"/>
                <w:lang w:val="es-ES" w:eastAsia="es-MX"/>
              </w:rPr>
            </w:pPr>
            <w:r w:rsidRPr="00692485">
              <w:rPr>
                <w:rFonts w:asciiTheme="minorHAnsi" w:eastAsia="Times New Roman" w:hAnsiTheme="minorHAnsi" w:cstheme="majorHAnsi"/>
                <w:color w:val="000000"/>
                <w:sz w:val="20"/>
                <w:szCs w:val="20"/>
                <w:lang w:val="es-ES" w:eastAsia="es-MX"/>
              </w:rPr>
              <w:t>Como sugerencia pudiera agregarse a la página de Internet el formato que se usa para proporcionar la información de accionistas o socios, para entender qué es lo que busca el IFT.</w:t>
            </w:r>
          </w:p>
        </w:tc>
        <w:tc>
          <w:tcPr>
            <w:tcW w:w="926" w:type="pct"/>
          </w:tcPr>
          <w:p w:rsidR="004A4A1C" w:rsidRPr="00692485" w:rsidRDefault="004A4A1C" w:rsidP="00645022">
            <w:pPr>
              <w:spacing w:before="240"/>
              <w:jc w:val="both"/>
              <w:rPr>
                <w:rFonts w:asciiTheme="minorHAnsi" w:eastAsia="Times New Roman" w:hAnsiTheme="minorHAnsi" w:cstheme="majorHAnsi"/>
                <w:color w:val="000000"/>
                <w:sz w:val="20"/>
                <w:szCs w:val="20"/>
                <w:lang w:val="es-ES" w:eastAsia="es-MX"/>
              </w:rPr>
            </w:pPr>
          </w:p>
        </w:tc>
      </w:tr>
      <w:tr w:rsidR="004A4A1C" w:rsidRPr="00692485" w:rsidTr="00645022">
        <w:tc>
          <w:tcPr>
            <w:tcW w:w="442" w:type="pct"/>
          </w:tcPr>
          <w:p w:rsidR="004A4A1C" w:rsidRPr="00692485" w:rsidRDefault="004A4A1C" w:rsidP="00645022">
            <w:pPr>
              <w:spacing w:before="240"/>
              <w:jc w:val="both"/>
              <w:rPr>
                <w:rFonts w:asciiTheme="minorHAnsi" w:eastAsia="Times New Roman" w:hAnsiTheme="minorHAnsi" w:cstheme="majorHAnsi"/>
                <w:b/>
                <w:color w:val="000000"/>
                <w:sz w:val="20"/>
                <w:szCs w:val="20"/>
                <w:lang w:val="es-ES" w:eastAsia="es-MX"/>
              </w:rPr>
            </w:pPr>
            <w:r w:rsidRPr="00692485">
              <w:rPr>
                <w:rFonts w:asciiTheme="minorHAnsi" w:eastAsia="Times New Roman" w:hAnsiTheme="minorHAnsi" w:cstheme="majorHAnsi"/>
                <w:color w:val="000000"/>
                <w:sz w:val="20"/>
                <w:szCs w:val="20"/>
                <w:lang w:val="es-ES" w:eastAsia="es-MX"/>
              </w:rPr>
              <w:t>UCS-03-002</w:t>
            </w:r>
          </w:p>
        </w:tc>
        <w:tc>
          <w:tcPr>
            <w:tcW w:w="713" w:type="pct"/>
          </w:tcPr>
          <w:p w:rsidR="004A4A1C" w:rsidRPr="00692485" w:rsidRDefault="00016105" w:rsidP="00645022">
            <w:pPr>
              <w:spacing w:before="240"/>
              <w:jc w:val="both"/>
              <w:rPr>
                <w:rFonts w:asciiTheme="minorHAnsi" w:eastAsia="Times New Roman" w:hAnsiTheme="minorHAnsi" w:cstheme="majorHAnsi"/>
                <w:color w:val="000000"/>
                <w:sz w:val="20"/>
                <w:szCs w:val="20"/>
                <w:lang w:val="es-ES" w:eastAsia="es-MX"/>
              </w:rPr>
            </w:pPr>
            <w:hyperlink r:id="rId15" w:tooltip="Presentación del aviso de suscripción o enajenación de acciones o partes sociales de los concesionario en caso de fusión de empresas, escisiones o reestructuras corporativas" w:history="1">
              <w:r w:rsidR="004A4A1C" w:rsidRPr="00692485">
                <w:rPr>
                  <w:rFonts w:asciiTheme="minorHAnsi" w:eastAsia="Times New Roman" w:hAnsiTheme="minorHAnsi" w:cstheme="majorHAnsi"/>
                  <w:color w:val="000000"/>
                  <w:sz w:val="20"/>
                  <w:szCs w:val="20"/>
                  <w:lang w:val="es-ES" w:eastAsia="es-MX"/>
                </w:rPr>
                <w:t xml:space="preserve">Presentación del aviso de suscripción o </w:t>
              </w:r>
              <w:r w:rsidR="004A4A1C" w:rsidRPr="00692485">
                <w:rPr>
                  <w:rFonts w:asciiTheme="minorHAnsi" w:eastAsia="Times New Roman" w:hAnsiTheme="minorHAnsi" w:cstheme="majorHAnsi"/>
                  <w:color w:val="000000"/>
                  <w:sz w:val="20"/>
                  <w:szCs w:val="20"/>
                  <w:lang w:val="es-ES" w:eastAsia="es-MX"/>
                </w:rPr>
                <w:lastRenderedPageBreak/>
                <w:t>enajenación de acciones o partes sociales de los concesionarios en caso de fusión de empresas, escisiones o reestructuras corporativas</w:t>
              </w:r>
            </w:hyperlink>
          </w:p>
        </w:tc>
        <w:tc>
          <w:tcPr>
            <w:tcW w:w="2919" w:type="pct"/>
          </w:tcPr>
          <w:p w:rsidR="004A4A1C" w:rsidRPr="00692485" w:rsidRDefault="004A4A1C" w:rsidP="00645022">
            <w:pPr>
              <w:pStyle w:val="Prrafodelista"/>
              <w:numPr>
                <w:ilvl w:val="0"/>
                <w:numId w:val="36"/>
              </w:numPr>
              <w:spacing w:before="240"/>
              <w:ind w:left="462"/>
              <w:jc w:val="both"/>
              <w:rPr>
                <w:rFonts w:asciiTheme="minorHAnsi" w:eastAsia="Times New Roman" w:hAnsiTheme="minorHAnsi" w:cstheme="majorHAnsi"/>
                <w:color w:val="000000"/>
                <w:sz w:val="20"/>
                <w:szCs w:val="20"/>
                <w:lang w:val="es-ES" w:eastAsia="es-MX"/>
              </w:rPr>
            </w:pPr>
            <w:r w:rsidRPr="00692485">
              <w:rPr>
                <w:rFonts w:asciiTheme="minorHAnsi" w:eastAsia="Times New Roman" w:hAnsiTheme="minorHAnsi" w:cstheme="majorHAnsi"/>
                <w:color w:val="000000"/>
                <w:sz w:val="20"/>
                <w:szCs w:val="20"/>
                <w:lang w:val="es-ES" w:eastAsia="es-MX"/>
              </w:rPr>
              <w:lastRenderedPageBreak/>
              <w:t xml:space="preserve">En la página de Internet se señala que debe pagar derechos conforme al artículo 174-C, fracción VII que habla de una enajenación o suscripción de acciones que requiera autorización. </w:t>
            </w:r>
          </w:p>
          <w:p w:rsidR="004A4A1C" w:rsidRPr="00692485" w:rsidRDefault="004A4A1C" w:rsidP="00645022">
            <w:pPr>
              <w:pStyle w:val="Prrafodelista"/>
              <w:numPr>
                <w:ilvl w:val="0"/>
                <w:numId w:val="36"/>
              </w:numPr>
              <w:spacing w:before="240"/>
              <w:ind w:left="462"/>
              <w:jc w:val="both"/>
              <w:rPr>
                <w:rFonts w:asciiTheme="minorHAnsi" w:eastAsia="Times New Roman" w:hAnsiTheme="minorHAnsi" w:cstheme="majorHAnsi"/>
                <w:color w:val="000000"/>
                <w:sz w:val="20"/>
                <w:szCs w:val="20"/>
                <w:lang w:val="es-ES" w:eastAsia="es-MX"/>
              </w:rPr>
            </w:pPr>
            <w:r w:rsidRPr="00692485">
              <w:rPr>
                <w:rFonts w:asciiTheme="minorHAnsi" w:eastAsia="Times New Roman" w:hAnsiTheme="minorHAnsi" w:cstheme="majorHAnsi"/>
                <w:color w:val="000000"/>
                <w:sz w:val="20"/>
                <w:szCs w:val="20"/>
                <w:lang w:val="es-ES" w:eastAsia="es-MX"/>
              </w:rPr>
              <w:lastRenderedPageBreak/>
              <w:t>La LFTR señala que no se requiere presentar el aviso (aviso de la fracción I del artículo 112 por el que se solicita autorización al IFT) en el caso de fusión de empresas, escisiones o reestructuras corporativas siempre y cuando los cambios a la tenencia accionaria sean dentro del mismo grupo de control o dentro del mismo agente económico.</w:t>
            </w:r>
          </w:p>
          <w:p w:rsidR="004A4A1C" w:rsidRPr="00692485" w:rsidRDefault="004A4A1C" w:rsidP="00645022">
            <w:pPr>
              <w:pStyle w:val="Prrafodelista"/>
              <w:numPr>
                <w:ilvl w:val="0"/>
                <w:numId w:val="36"/>
              </w:numPr>
              <w:spacing w:before="240"/>
              <w:ind w:left="462"/>
              <w:jc w:val="both"/>
              <w:rPr>
                <w:rFonts w:asciiTheme="minorHAnsi" w:eastAsia="Times New Roman" w:hAnsiTheme="minorHAnsi" w:cstheme="majorHAnsi"/>
                <w:color w:val="000000"/>
                <w:sz w:val="20"/>
                <w:szCs w:val="20"/>
                <w:lang w:val="es-ES" w:eastAsia="es-MX"/>
              </w:rPr>
            </w:pPr>
            <w:r w:rsidRPr="00692485">
              <w:rPr>
                <w:rFonts w:asciiTheme="minorHAnsi" w:eastAsia="Times New Roman" w:hAnsiTheme="minorHAnsi" w:cstheme="majorHAnsi"/>
                <w:color w:val="000000"/>
                <w:sz w:val="20"/>
                <w:szCs w:val="20"/>
                <w:lang w:val="es-ES" w:eastAsia="es-MX"/>
              </w:rPr>
              <w:t>En ese sentido es claro que este trámite se trata de un aviso y no requiere de una autorización por lo que los derechos no deben aplicar. Los derechos claramente señalan que son aplicable cuando se requiera una autorización.</w:t>
            </w:r>
          </w:p>
        </w:tc>
        <w:tc>
          <w:tcPr>
            <w:tcW w:w="926" w:type="pct"/>
          </w:tcPr>
          <w:p w:rsidR="004A4A1C" w:rsidRPr="00692485" w:rsidRDefault="004A4A1C" w:rsidP="00645022">
            <w:pPr>
              <w:spacing w:before="240"/>
              <w:jc w:val="both"/>
              <w:rPr>
                <w:rFonts w:asciiTheme="minorHAnsi" w:eastAsia="Times New Roman" w:hAnsiTheme="minorHAnsi" w:cstheme="majorHAnsi"/>
                <w:color w:val="000000"/>
                <w:sz w:val="20"/>
                <w:szCs w:val="20"/>
                <w:lang w:val="es-ES" w:eastAsia="es-MX"/>
              </w:rPr>
            </w:pPr>
            <w:r w:rsidRPr="00692485">
              <w:rPr>
                <w:rFonts w:asciiTheme="minorHAnsi" w:eastAsia="Times New Roman" w:hAnsiTheme="minorHAnsi" w:cstheme="majorHAnsi"/>
                <w:color w:val="000000"/>
                <w:sz w:val="20"/>
                <w:szCs w:val="20"/>
                <w:lang w:val="es-ES" w:eastAsia="es-MX"/>
              </w:rPr>
              <w:lastRenderedPageBreak/>
              <w:t xml:space="preserve">No debe haber un cobro de derechos si no tiene </w:t>
            </w:r>
            <w:r w:rsidRPr="00692485">
              <w:rPr>
                <w:rFonts w:asciiTheme="minorHAnsi" w:eastAsia="Times New Roman" w:hAnsiTheme="minorHAnsi" w:cstheme="majorHAnsi"/>
                <w:color w:val="000000"/>
                <w:sz w:val="20"/>
                <w:szCs w:val="20"/>
                <w:lang w:val="es-ES" w:eastAsia="es-MX"/>
              </w:rPr>
              <w:lastRenderedPageBreak/>
              <w:t>fundamento alguno como es en este caso que no debe aplicar.</w:t>
            </w:r>
          </w:p>
        </w:tc>
      </w:tr>
      <w:tr w:rsidR="004A4A1C" w:rsidRPr="00692485" w:rsidTr="00645022">
        <w:tc>
          <w:tcPr>
            <w:tcW w:w="442" w:type="pct"/>
          </w:tcPr>
          <w:p w:rsidR="004A4A1C" w:rsidRPr="00692485" w:rsidRDefault="004A4A1C" w:rsidP="00645022">
            <w:pPr>
              <w:spacing w:before="240"/>
              <w:jc w:val="both"/>
              <w:rPr>
                <w:rFonts w:asciiTheme="minorHAnsi" w:eastAsia="Times New Roman" w:hAnsiTheme="minorHAnsi" w:cstheme="majorHAnsi"/>
                <w:b/>
                <w:color w:val="000000"/>
                <w:sz w:val="20"/>
                <w:szCs w:val="20"/>
                <w:lang w:val="es-ES" w:eastAsia="es-MX"/>
              </w:rPr>
            </w:pPr>
            <w:r w:rsidRPr="00692485">
              <w:rPr>
                <w:rFonts w:asciiTheme="minorHAnsi" w:eastAsia="Times New Roman" w:hAnsiTheme="minorHAnsi" w:cstheme="majorHAnsi"/>
                <w:color w:val="000000"/>
                <w:sz w:val="20"/>
                <w:szCs w:val="20"/>
                <w:lang w:val="es-ES" w:eastAsia="es-MX"/>
              </w:rPr>
              <w:lastRenderedPageBreak/>
              <w:t>UCS-03-003</w:t>
            </w:r>
          </w:p>
        </w:tc>
        <w:tc>
          <w:tcPr>
            <w:tcW w:w="713" w:type="pct"/>
          </w:tcPr>
          <w:p w:rsidR="004A4A1C" w:rsidRPr="00692485" w:rsidRDefault="00016105" w:rsidP="00645022">
            <w:pPr>
              <w:spacing w:before="240"/>
              <w:jc w:val="both"/>
              <w:rPr>
                <w:rFonts w:asciiTheme="minorHAnsi" w:eastAsia="Times New Roman" w:hAnsiTheme="minorHAnsi" w:cstheme="majorHAnsi"/>
                <w:color w:val="000000"/>
                <w:sz w:val="20"/>
                <w:szCs w:val="20"/>
                <w:lang w:val="es-ES" w:eastAsia="es-MX"/>
              </w:rPr>
            </w:pPr>
            <w:hyperlink r:id="rId16" w:tooltip="Presentación del aviso de modificación de estatuto social en relación al Artículo 112 de la Ley Federal de Telecomunicaciones y Radiodifusión" w:history="1">
              <w:r w:rsidR="004A4A1C" w:rsidRPr="00692485">
                <w:rPr>
                  <w:rFonts w:asciiTheme="minorHAnsi" w:eastAsia="Times New Roman" w:hAnsiTheme="minorHAnsi" w:cstheme="majorHAnsi"/>
                  <w:color w:val="000000"/>
                  <w:sz w:val="20"/>
                  <w:szCs w:val="20"/>
                  <w:lang w:val="es-ES" w:eastAsia="es-MX"/>
                </w:rPr>
                <w:t>Presentación del aviso de modificación de estatuto social en relación al Artículo 112 de la Ley Federal de Telecomunicaciones y Radiodifusión</w:t>
              </w:r>
            </w:hyperlink>
          </w:p>
        </w:tc>
        <w:tc>
          <w:tcPr>
            <w:tcW w:w="2919" w:type="pct"/>
          </w:tcPr>
          <w:p w:rsidR="004A4A1C" w:rsidRPr="00692485" w:rsidRDefault="004A4A1C" w:rsidP="00645022">
            <w:pPr>
              <w:spacing w:before="240"/>
              <w:ind w:left="708" w:hanging="708"/>
              <w:jc w:val="both"/>
              <w:rPr>
                <w:rFonts w:asciiTheme="minorHAnsi" w:eastAsia="Times New Roman" w:hAnsiTheme="minorHAnsi" w:cstheme="majorHAnsi"/>
                <w:color w:val="000000"/>
                <w:sz w:val="20"/>
                <w:szCs w:val="20"/>
                <w:lang w:val="es-ES" w:eastAsia="es-MX"/>
              </w:rPr>
            </w:pPr>
            <w:r w:rsidRPr="00692485">
              <w:rPr>
                <w:rFonts w:asciiTheme="minorHAnsi" w:eastAsia="Times New Roman" w:hAnsiTheme="minorHAnsi" w:cstheme="majorHAnsi"/>
                <w:color w:val="000000"/>
                <w:sz w:val="20"/>
                <w:szCs w:val="20"/>
                <w:lang w:val="es-ES" w:eastAsia="es-MX"/>
              </w:rPr>
              <w:t>No hay comentarios</w:t>
            </w:r>
          </w:p>
        </w:tc>
        <w:tc>
          <w:tcPr>
            <w:tcW w:w="926" w:type="pct"/>
          </w:tcPr>
          <w:p w:rsidR="004A4A1C" w:rsidRPr="00692485" w:rsidRDefault="004A4A1C" w:rsidP="00645022">
            <w:pPr>
              <w:spacing w:before="240"/>
              <w:jc w:val="both"/>
              <w:rPr>
                <w:rFonts w:asciiTheme="minorHAnsi" w:eastAsia="Times New Roman" w:hAnsiTheme="minorHAnsi" w:cstheme="majorHAnsi"/>
                <w:color w:val="000000"/>
                <w:sz w:val="20"/>
                <w:szCs w:val="20"/>
                <w:lang w:val="es-ES" w:eastAsia="es-MX"/>
              </w:rPr>
            </w:pPr>
          </w:p>
        </w:tc>
      </w:tr>
      <w:tr w:rsidR="004A4A1C" w:rsidRPr="00692485" w:rsidTr="00645022">
        <w:tc>
          <w:tcPr>
            <w:tcW w:w="442" w:type="pct"/>
          </w:tcPr>
          <w:p w:rsidR="004A4A1C" w:rsidRPr="00692485" w:rsidRDefault="004A4A1C" w:rsidP="00645022">
            <w:pPr>
              <w:spacing w:before="240"/>
              <w:jc w:val="both"/>
              <w:rPr>
                <w:rFonts w:asciiTheme="minorHAnsi" w:eastAsia="Times New Roman" w:hAnsiTheme="minorHAnsi" w:cstheme="majorHAnsi"/>
                <w:b/>
                <w:color w:val="000000"/>
                <w:sz w:val="20"/>
                <w:szCs w:val="20"/>
                <w:lang w:val="es-ES" w:eastAsia="es-MX"/>
              </w:rPr>
            </w:pPr>
            <w:r w:rsidRPr="00692485">
              <w:rPr>
                <w:rFonts w:asciiTheme="minorHAnsi" w:eastAsia="Times New Roman" w:hAnsiTheme="minorHAnsi" w:cstheme="majorHAnsi"/>
                <w:color w:val="000000"/>
                <w:sz w:val="20"/>
                <w:szCs w:val="20"/>
                <w:lang w:val="es-ES" w:eastAsia="es-MX"/>
              </w:rPr>
              <w:t>UCS-03-006</w:t>
            </w:r>
          </w:p>
        </w:tc>
        <w:tc>
          <w:tcPr>
            <w:tcW w:w="713" w:type="pct"/>
          </w:tcPr>
          <w:p w:rsidR="004A4A1C" w:rsidRPr="00692485" w:rsidRDefault="00016105" w:rsidP="00645022">
            <w:pPr>
              <w:spacing w:before="240"/>
              <w:jc w:val="both"/>
              <w:rPr>
                <w:rFonts w:asciiTheme="minorHAnsi" w:eastAsia="Times New Roman" w:hAnsiTheme="minorHAnsi" w:cstheme="majorHAnsi"/>
                <w:color w:val="000000"/>
                <w:sz w:val="20"/>
                <w:szCs w:val="20"/>
                <w:lang w:val="es-ES" w:eastAsia="es-MX"/>
              </w:rPr>
            </w:pPr>
            <w:hyperlink r:id="rId17" w:tooltip="Solicitud de autorización de representantes legales de los concesionarios y/o permisionarios en materia de telecomunicaciones y de radiodifusión" w:history="1">
              <w:r w:rsidR="004A4A1C" w:rsidRPr="00692485">
                <w:rPr>
                  <w:rFonts w:asciiTheme="minorHAnsi" w:eastAsia="Times New Roman" w:hAnsiTheme="minorHAnsi" w:cstheme="majorHAnsi"/>
                  <w:color w:val="000000"/>
                  <w:sz w:val="20"/>
                  <w:szCs w:val="20"/>
                  <w:lang w:val="es-ES" w:eastAsia="es-MX"/>
                </w:rPr>
                <w:t>Solicitud de autorización de representantes legales de los concesionarios y/o permisionarios en materia de telecomunicaciones y de radiodifusión</w:t>
              </w:r>
            </w:hyperlink>
          </w:p>
        </w:tc>
        <w:tc>
          <w:tcPr>
            <w:tcW w:w="2919" w:type="pct"/>
          </w:tcPr>
          <w:p w:rsidR="004A4A1C" w:rsidRPr="00692485" w:rsidRDefault="004A4A1C" w:rsidP="00645022">
            <w:pPr>
              <w:pStyle w:val="Prrafodelista"/>
              <w:numPr>
                <w:ilvl w:val="0"/>
                <w:numId w:val="31"/>
              </w:numPr>
              <w:spacing w:before="240"/>
              <w:ind w:left="462"/>
              <w:jc w:val="both"/>
              <w:rPr>
                <w:rFonts w:asciiTheme="minorHAnsi" w:eastAsia="Times New Roman" w:hAnsiTheme="minorHAnsi" w:cstheme="majorHAnsi"/>
                <w:color w:val="000000"/>
                <w:sz w:val="20"/>
                <w:szCs w:val="20"/>
                <w:lang w:val="es-ES" w:eastAsia="es-MX"/>
              </w:rPr>
            </w:pPr>
            <w:r w:rsidRPr="00692485">
              <w:rPr>
                <w:rFonts w:asciiTheme="minorHAnsi" w:hAnsiTheme="minorHAnsi" w:cstheme="majorHAnsi"/>
                <w:sz w:val="20"/>
                <w:szCs w:val="20"/>
                <w:lang w:val="es-ES" w:eastAsia="es-MX"/>
              </w:rPr>
              <w:t xml:space="preserve">No existe en realidad un fundamento jurídico para que este trámite exista. Los fundamentos otorgados son la Ley Federal de Derechos y el Estatuto Orgánico del IFT. No es posible que alguno de esos dos pueda crear una obligación para un particular. </w:t>
            </w:r>
            <w:r w:rsidRPr="00692485">
              <w:rPr>
                <w:rFonts w:asciiTheme="minorHAnsi" w:eastAsia="Times New Roman" w:hAnsiTheme="minorHAnsi" w:cstheme="majorHAnsi"/>
                <w:color w:val="000000"/>
                <w:sz w:val="20"/>
                <w:szCs w:val="20"/>
                <w:lang w:val="es-ES" w:eastAsia="es-MX"/>
              </w:rPr>
              <w:t>Ver trámite UCS-04-034 para el fundamento.</w:t>
            </w:r>
          </w:p>
          <w:p w:rsidR="004A4A1C" w:rsidRPr="00692485" w:rsidRDefault="004A4A1C" w:rsidP="00645022">
            <w:pPr>
              <w:pStyle w:val="Prrafodelista"/>
              <w:numPr>
                <w:ilvl w:val="0"/>
                <w:numId w:val="31"/>
              </w:numPr>
              <w:spacing w:before="240"/>
              <w:ind w:left="462"/>
              <w:jc w:val="both"/>
              <w:rPr>
                <w:rFonts w:asciiTheme="minorHAnsi" w:eastAsia="Times New Roman" w:hAnsiTheme="minorHAnsi" w:cstheme="majorHAnsi"/>
                <w:color w:val="000000"/>
                <w:sz w:val="20"/>
                <w:szCs w:val="20"/>
                <w:lang w:val="es-ES" w:eastAsia="es-MX"/>
              </w:rPr>
            </w:pPr>
            <w:r w:rsidRPr="00692485">
              <w:rPr>
                <w:rFonts w:asciiTheme="minorHAnsi" w:hAnsiTheme="minorHAnsi" w:cstheme="majorHAnsi"/>
                <w:sz w:val="20"/>
                <w:szCs w:val="20"/>
                <w:lang w:val="es-ES" w:eastAsia="es-MX"/>
              </w:rPr>
              <w:t>Existe la negativa ficta, cuando lo que se envía es el nombre de representantes legales. Debería ser un simple registro de nombres que sólo se rechazaría en el caso que no se acredite la personalidad de los mismos.</w:t>
            </w:r>
          </w:p>
        </w:tc>
        <w:tc>
          <w:tcPr>
            <w:tcW w:w="926" w:type="pct"/>
          </w:tcPr>
          <w:p w:rsidR="004A4A1C" w:rsidRPr="00692485" w:rsidRDefault="004A4A1C" w:rsidP="00645022">
            <w:pPr>
              <w:spacing w:before="240"/>
              <w:jc w:val="both"/>
              <w:rPr>
                <w:rFonts w:asciiTheme="minorHAnsi" w:eastAsia="Times New Roman" w:hAnsiTheme="minorHAnsi" w:cstheme="majorHAnsi"/>
                <w:color w:val="000000"/>
                <w:sz w:val="20"/>
                <w:szCs w:val="20"/>
                <w:lang w:val="es-ES" w:eastAsia="es-MX"/>
              </w:rPr>
            </w:pPr>
            <w:r w:rsidRPr="00692485">
              <w:rPr>
                <w:rFonts w:asciiTheme="minorHAnsi" w:eastAsia="Times New Roman" w:hAnsiTheme="minorHAnsi" w:cstheme="majorHAnsi"/>
                <w:color w:val="000000"/>
                <w:sz w:val="20"/>
                <w:szCs w:val="20"/>
                <w:lang w:val="es-ES" w:eastAsia="es-MX"/>
              </w:rPr>
              <w:t>Debería existir la positiva ficta</w:t>
            </w:r>
          </w:p>
        </w:tc>
      </w:tr>
      <w:tr w:rsidR="004A4A1C" w:rsidRPr="00692485" w:rsidTr="00645022">
        <w:tc>
          <w:tcPr>
            <w:tcW w:w="442" w:type="pct"/>
          </w:tcPr>
          <w:p w:rsidR="004A4A1C" w:rsidRPr="00692485" w:rsidRDefault="004A4A1C" w:rsidP="00645022">
            <w:pPr>
              <w:spacing w:before="240"/>
              <w:jc w:val="both"/>
              <w:rPr>
                <w:rFonts w:asciiTheme="minorHAnsi" w:eastAsia="Times New Roman" w:hAnsiTheme="minorHAnsi" w:cstheme="majorHAnsi"/>
                <w:b/>
                <w:color w:val="000000"/>
                <w:sz w:val="20"/>
                <w:szCs w:val="20"/>
                <w:lang w:val="es-ES" w:eastAsia="es-MX"/>
              </w:rPr>
            </w:pPr>
            <w:r w:rsidRPr="00692485">
              <w:rPr>
                <w:rFonts w:asciiTheme="minorHAnsi" w:eastAsia="Times New Roman" w:hAnsiTheme="minorHAnsi" w:cstheme="majorHAnsi"/>
                <w:color w:val="000000"/>
                <w:sz w:val="20"/>
                <w:szCs w:val="20"/>
                <w:lang w:val="es-ES" w:eastAsia="es-MX"/>
              </w:rPr>
              <w:t>UCS-04-021</w:t>
            </w:r>
          </w:p>
        </w:tc>
        <w:tc>
          <w:tcPr>
            <w:tcW w:w="713" w:type="pct"/>
          </w:tcPr>
          <w:p w:rsidR="004A4A1C" w:rsidRPr="00692485" w:rsidRDefault="00016105" w:rsidP="00645022">
            <w:pPr>
              <w:spacing w:before="240"/>
              <w:jc w:val="both"/>
              <w:rPr>
                <w:rFonts w:asciiTheme="minorHAnsi" w:eastAsia="Times New Roman" w:hAnsiTheme="minorHAnsi" w:cstheme="majorHAnsi"/>
                <w:color w:val="000000"/>
                <w:sz w:val="20"/>
                <w:szCs w:val="20"/>
                <w:lang w:val="es-ES" w:eastAsia="es-MX"/>
              </w:rPr>
            </w:pPr>
            <w:hyperlink r:id="rId18" w:tooltip="Solicitud de Registro de representantes legales, después de los primeros registrados en Autorización para explotar los derechos de emisión y recepción de señales de bandas de frecuencias asociados a sistemas satelitales extranjeros" w:history="1">
              <w:r w:rsidR="004A4A1C" w:rsidRPr="00692485">
                <w:rPr>
                  <w:rFonts w:asciiTheme="minorHAnsi" w:eastAsia="Times New Roman" w:hAnsiTheme="minorHAnsi" w:cstheme="majorHAnsi"/>
                  <w:color w:val="000000"/>
                  <w:sz w:val="20"/>
                  <w:szCs w:val="20"/>
                  <w:lang w:val="es-ES" w:eastAsia="es-MX"/>
                </w:rPr>
                <w:t xml:space="preserve">Solicitud de Registro de representantes legales, después de los primeros registrados en Autorización para explotar los derechos de emisión y </w:t>
              </w:r>
              <w:r w:rsidR="004A4A1C" w:rsidRPr="00692485">
                <w:rPr>
                  <w:rFonts w:asciiTheme="minorHAnsi" w:eastAsia="Times New Roman" w:hAnsiTheme="minorHAnsi" w:cstheme="majorHAnsi"/>
                  <w:color w:val="000000"/>
                  <w:sz w:val="20"/>
                  <w:szCs w:val="20"/>
                  <w:lang w:val="es-ES" w:eastAsia="es-MX"/>
                </w:rPr>
                <w:lastRenderedPageBreak/>
                <w:t>recepción de señales de bandas de frecuencias asociados a sistemas satelitales extranjeros</w:t>
              </w:r>
            </w:hyperlink>
          </w:p>
        </w:tc>
        <w:tc>
          <w:tcPr>
            <w:tcW w:w="2919" w:type="pct"/>
          </w:tcPr>
          <w:p w:rsidR="004A4A1C" w:rsidRPr="00692485" w:rsidRDefault="004A4A1C" w:rsidP="00645022">
            <w:pPr>
              <w:pStyle w:val="Prrafodelista"/>
              <w:numPr>
                <w:ilvl w:val="0"/>
                <w:numId w:val="33"/>
              </w:numPr>
              <w:spacing w:before="240"/>
              <w:ind w:left="462"/>
              <w:jc w:val="both"/>
              <w:rPr>
                <w:rFonts w:asciiTheme="minorHAnsi" w:eastAsia="Times New Roman" w:hAnsiTheme="minorHAnsi" w:cstheme="majorHAnsi"/>
                <w:color w:val="000000"/>
                <w:sz w:val="20"/>
                <w:szCs w:val="20"/>
                <w:lang w:val="es-ES" w:eastAsia="es-MX"/>
              </w:rPr>
            </w:pPr>
            <w:r w:rsidRPr="00692485">
              <w:rPr>
                <w:rFonts w:asciiTheme="minorHAnsi" w:eastAsia="Times New Roman" w:hAnsiTheme="minorHAnsi" w:cstheme="majorHAnsi"/>
                <w:color w:val="000000"/>
                <w:sz w:val="20"/>
                <w:szCs w:val="20"/>
                <w:lang w:val="es-ES" w:eastAsia="es-MX"/>
              </w:rPr>
              <w:lastRenderedPageBreak/>
              <w:t>Se utiliza como fundamento el artículo 24 de las Reglas de carácter general que establecen los plazos y requisitos para el otorgamiento de autorizaciones en materia de telecomunicaciones establecidas en la Ley Federal de Telecomunicaciones y Radiodifusión, sin embargo, esta Regla no habla nada de representantes legales posteriores a los primeros registrados. Ver trámite UCS-04-034 para el fundamento.</w:t>
            </w:r>
          </w:p>
          <w:p w:rsidR="004A4A1C" w:rsidRPr="00692485" w:rsidRDefault="004A4A1C" w:rsidP="00645022">
            <w:pPr>
              <w:pStyle w:val="Prrafodelista"/>
              <w:numPr>
                <w:ilvl w:val="0"/>
                <w:numId w:val="33"/>
              </w:numPr>
              <w:spacing w:before="240"/>
              <w:ind w:left="462"/>
              <w:jc w:val="both"/>
              <w:rPr>
                <w:rFonts w:asciiTheme="minorHAnsi" w:eastAsia="Times New Roman" w:hAnsiTheme="minorHAnsi" w:cstheme="majorHAnsi"/>
                <w:color w:val="000000"/>
                <w:sz w:val="20"/>
                <w:szCs w:val="20"/>
                <w:lang w:val="es-ES" w:eastAsia="es-MX"/>
              </w:rPr>
            </w:pPr>
            <w:r w:rsidRPr="00692485">
              <w:rPr>
                <w:rFonts w:asciiTheme="minorHAnsi" w:hAnsiTheme="minorHAnsi" w:cstheme="majorHAnsi"/>
                <w:sz w:val="20"/>
                <w:szCs w:val="20"/>
                <w:lang w:val="es-ES" w:eastAsia="es-MX"/>
              </w:rPr>
              <w:lastRenderedPageBreak/>
              <w:t>Existe la negativa ficta, cuando lo que se envía es el nombre de representantes legales. Debería ser un simple registro de nombres que sólo se rechazaría en el caso que no se acredite la personalidad de los mismos.</w:t>
            </w:r>
          </w:p>
        </w:tc>
        <w:tc>
          <w:tcPr>
            <w:tcW w:w="926" w:type="pct"/>
          </w:tcPr>
          <w:p w:rsidR="004A4A1C" w:rsidRPr="00692485" w:rsidRDefault="004A4A1C" w:rsidP="00645022">
            <w:pPr>
              <w:spacing w:before="240"/>
              <w:jc w:val="both"/>
              <w:rPr>
                <w:rFonts w:asciiTheme="minorHAnsi" w:eastAsia="Times New Roman" w:hAnsiTheme="minorHAnsi" w:cstheme="majorHAnsi"/>
                <w:color w:val="000000"/>
                <w:sz w:val="20"/>
                <w:szCs w:val="20"/>
                <w:lang w:val="es-ES" w:eastAsia="es-MX"/>
              </w:rPr>
            </w:pPr>
            <w:r w:rsidRPr="00692485">
              <w:rPr>
                <w:rFonts w:asciiTheme="minorHAnsi" w:eastAsia="Times New Roman" w:hAnsiTheme="minorHAnsi" w:cstheme="majorHAnsi"/>
                <w:color w:val="000000"/>
                <w:sz w:val="20"/>
                <w:szCs w:val="20"/>
                <w:lang w:val="es-ES" w:eastAsia="es-MX"/>
              </w:rPr>
              <w:lastRenderedPageBreak/>
              <w:t>Debería existir la positiva ficta</w:t>
            </w:r>
          </w:p>
        </w:tc>
      </w:tr>
      <w:tr w:rsidR="004A4A1C" w:rsidRPr="00692485" w:rsidTr="00645022">
        <w:tc>
          <w:tcPr>
            <w:tcW w:w="442" w:type="pct"/>
          </w:tcPr>
          <w:p w:rsidR="004A4A1C" w:rsidRPr="00692485" w:rsidRDefault="004A4A1C" w:rsidP="00645022">
            <w:pPr>
              <w:spacing w:before="240"/>
              <w:jc w:val="both"/>
              <w:rPr>
                <w:rFonts w:asciiTheme="minorHAnsi" w:eastAsia="Times New Roman" w:hAnsiTheme="minorHAnsi" w:cstheme="majorHAnsi"/>
                <w:b/>
                <w:color w:val="000000"/>
                <w:sz w:val="20"/>
                <w:szCs w:val="20"/>
                <w:lang w:val="es-ES" w:eastAsia="es-MX"/>
              </w:rPr>
            </w:pPr>
            <w:r w:rsidRPr="00692485">
              <w:rPr>
                <w:rFonts w:asciiTheme="minorHAnsi" w:eastAsia="Times New Roman" w:hAnsiTheme="minorHAnsi" w:cstheme="majorHAnsi"/>
                <w:color w:val="000000"/>
                <w:sz w:val="20"/>
                <w:szCs w:val="20"/>
                <w:lang w:val="es-ES" w:eastAsia="es-MX"/>
              </w:rPr>
              <w:lastRenderedPageBreak/>
              <w:t>UCS-04-032</w:t>
            </w:r>
          </w:p>
        </w:tc>
        <w:tc>
          <w:tcPr>
            <w:tcW w:w="713" w:type="pct"/>
          </w:tcPr>
          <w:p w:rsidR="004A4A1C" w:rsidRPr="00692485" w:rsidRDefault="00016105" w:rsidP="00645022">
            <w:pPr>
              <w:spacing w:before="240"/>
              <w:jc w:val="both"/>
              <w:rPr>
                <w:rFonts w:asciiTheme="minorHAnsi" w:eastAsia="Times New Roman" w:hAnsiTheme="minorHAnsi" w:cstheme="majorHAnsi"/>
                <w:color w:val="000000"/>
                <w:sz w:val="20"/>
                <w:szCs w:val="20"/>
                <w:lang w:val="es-ES" w:eastAsia="es-MX"/>
              </w:rPr>
            </w:pPr>
            <w:hyperlink r:id="rId19" w:tooltip="Solicitud de aprobación de ampliación de plazos para el cumplimiento de obligaciones establecidas en la Autorización para establecer y operar o explotar una comercializadora de servicios de telecomunicaciones" w:history="1">
              <w:r w:rsidR="004A4A1C" w:rsidRPr="00692485">
                <w:rPr>
                  <w:rFonts w:asciiTheme="minorHAnsi" w:eastAsia="Times New Roman" w:hAnsiTheme="minorHAnsi" w:cstheme="majorHAnsi"/>
                  <w:color w:val="000000"/>
                  <w:sz w:val="20"/>
                  <w:szCs w:val="20"/>
                  <w:lang w:val="es-ES" w:eastAsia="es-MX"/>
                </w:rPr>
                <w:t>Solicitud de aprobación de ampliación de plazos para el cumplimiento de obligaciones establecidas en la Autorización para establecer y operar o explotar una comercializadora de servicios de telecomunicaciones</w:t>
              </w:r>
            </w:hyperlink>
          </w:p>
        </w:tc>
        <w:tc>
          <w:tcPr>
            <w:tcW w:w="2919" w:type="pct"/>
          </w:tcPr>
          <w:p w:rsidR="004A4A1C" w:rsidRPr="00692485" w:rsidRDefault="004A4A1C" w:rsidP="00645022">
            <w:pPr>
              <w:pStyle w:val="Prrafodelista"/>
              <w:numPr>
                <w:ilvl w:val="0"/>
                <w:numId w:val="30"/>
              </w:numPr>
              <w:spacing w:before="240"/>
              <w:ind w:left="462"/>
              <w:jc w:val="both"/>
              <w:rPr>
                <w:rFonts w:asciiTheme="minorHAnsi" w:eastAsia="Times New Roman" w:hAnsiTheme="minorHAnsi" w:cstheme="majorHAnsi"/>
                <w:color w:val="000000"/>
                <w:sz w:val="20"/>
                <w:szCs w:val="20"/>
                <w:lang w:val="es-ES" w:eastAsia="es-MX"/>
              </w:rPr>
            </w:pPr>
            <w:r w:rsidRPr="00692485">
              <w:rPr>
                <w:rFonts w:asciiTheme="minorHAnsi" w:hAnsiTheme="minorHAnsi" w:cstheme="majorHAnsi"/>
                <w:sz w:val="20"/>
                <w:szCs w:val="20"/>
                <w:lang w:val="es-ES" w:eastAsia="es-MX"/>
              </w:rPr>
              <w:t>En la página de internet señala que el fundamento para este trámite es la Regla 24 de las Reglas de carácter general que establecen los plazos y requisitos para el otorgamiento de autorizaciones en materia de telecomunicaciones establecidas en la Ley Federal de Telecomunicaciones y Radiodifusión. Esta regla no tiene nada que ver con las ampliaciones de los plazos para cumplir obligaciones.</w:t>
            </w:r>
          </w:p>
          <w:p w:rsidR="004A4A1C" w:rsidRPr="00692485" w:rsidRDefault="004A4A1C" w:rsidP="00645022">
            <w:pPr>
              <w:spacing w:before="240"/>
              <w:jc w:val="both"/>
              <w:rPr>
                <w:rFonts w:asciiTheme="minorHAnsi" w:eastAsia="Times New Roman" w:hAnsiTheme="minorHAnsi" w:cstheme="majorHAnsi"/>
                <w:color w:val="000000"/>
                <w:sz w:val="20"/>
                <w:szCs w:val="20"/>
                <w:lang w:val="es-ES" w:eastAsia="es-MX"/>
              </w:rPr>
            </w:pPr>
          </w:p>
        </w:tc>
        <w:tc>
          <w:tcPr>
            <w:tcW w:w="926" w:type="pct"/>
          </w:tcPr>
          <w:p w:rsidR="004A4A1C" w:rsidRPr="00692485" w:rsidRDefault="004A4A1C" w:rsidP="00645022">
            <w:pPr>
              <w:spacing w:before="240"/>
              <w:jc w:val="both"/>
              <w:rPr>
                <w:rFonts w:asciiTheme="minorHAnsi" w:eastAsia="Times New Roman" w:hAnsiTheme="minorHAnsi" w:cstheme="majorHAnsi"/>
                <w:color w:val="000000"/>
                <w:sz w:val="20"/>
                <w:szCs w:val="20"/>
                <w:lang w:val="es-ES" w:eastAsia="es-MX"/>
              </w:rPr>
            </w:pPr>
            <w:r w:rsidRPr="00692485">
              <w:rPr>
                <w:rFonts w:asciiTheme="minorHAnsi" w:eastAsia="Times New Roman" w:hAnsiTheme="minorHAnsi" w:cstheme="majorHAnsi"/>
                <w:color w:val="000000"/>
                <w:sz w:val="20"/>
                <w:szCs w:val="20"/>
                <w:lang w:val="es-ES" w:eastAsia="es-MX"/>
              </w:rPr>
              <w:t>Al parecer hay una confusión con la información que está contenida en el trámite.</w:t>
            </w:r>
          </w:p>
        </w:tc>
      </w:tr>
      <w:tr w:rsidR="004A4A1C" w:rsidRPr="00692485" w:rsidTr="00645022">
        <w:tc>
          <w:tcPr>
            <w:tcW w:w="442" w:type="pct"/>
          </w:tcPr>
          <w:p w:rsidR="004A4A1C" w:rsidRPr="00692485" w:rsidRDefault="004A4A1C" w:rsidP="00645022">
            <w:pPr>
              <w:spacing w:before="240"/>
              <w:jc w:val="both"/>
              <w:rPr>
                <w:rFonts w:asciiTheme="minorHAnsi" w:eastAsia="Times New Roman" w:hAnsiTheme="minorHAnsi" w:cstheme="majorHAnsi"/>
                <w:b/>
                <w:color w:val="000000"/>
                <w:sz w:val="20"/>
                <w:szCs w:val="20"/>
                <w:lang w:val="es-ES" w:eastAsia="es-MX"/>
              </w:rPr>
            </w:pPr>
            <w:r w:rsidRPr="00692485">
              <w:rPr>
                <w:rFonts w:asciiTheme="minorHAnsi" w:eastAsia="Times New Roman" w:hAnsiTheme="minorHAnsi" w:cstheme="majorHAnsi"/>
                <w:color w:val="000000"/>
                <w:sz w:val="20"/>
                <w:szCs w:val="20"/>
                <w:lang w:val="es-ES" w:eastAsia="es-MX"/>
              </w:rPr>
              <w:t>UCS-04-033</w:t>
            </w:r>
          </w:p>
        </w:tc>
        <w:tc>
          <w:tcPr>
            <w:tcW w:w="713" w:type="pct"/>
          </w:tcPr>
          <w:p w:rsidR="004A4A1C" w:rsidRPr="00692485" w:rsidRDefault="00016105" w:rsidP="00645022">
            <w:pPr>
              <w:spacing w:before="240"/>
              <w:jc w:val="both"/>
              <w:rPr>
                <w:rFonts w:asciiTheme="minorHAnsi" w:eastAsia="Times New Roman" w:hAnsiTheme="minorHAnsi" w:cstheme="majorHAnsi"/>
                <w:color w:val="000000"/>
                <w:sz w:val="20"/>
                <w:szCs w:val="20"/>
                <w:lang w:val="es-ES" w:eastAsia="es-MX"/>
              </w:rPr>
            </w:pPr>
            <w:hyperlink r:id="rId20" w:tooltip="Solicitud de aprobación de contratos de los Autorizados para establecer y operar o explotar una comercializadora de servicios de telecomunicaciones, que pretendan suscribir con los usuarios" w:history="1">
              <w:r w:rsidR="004A4A1C" w:rsidRPr="00692485">
                <w:rPr>
                  <w:rFonts w:asciiTheme="minorHAnsi" w:eastAsia="Times New Roman" w:hAnsiTheme="minorHAnsi" w:cstheme="majorHAnsi"/>
                  <w:color w:val="000000"/>
                  <w:sz w:val="20"/>
                  <w:szCs w:val="20"/>
                  <w:lang w:val="es-ES" w:eastAsia="es-MX"/>
                </w:rPr>
                <w:t>Solicitud de aprobación de contratos de los Autorizados para establecer y operar o explotar una comercializadora de servicios de telecomunicaciones, que pretendan suscribir con los usuarios</w:t>
              </w:r>
            </w:hyperlink>
          </w:p>
        </w:tc>
        <w:tc>
          <w:tcPr>
            <w:tcW w:w="2919" w:type="pct"/>
          </w:tcPr>
          <w:p w:rsidR="004A4A1C" w:rsidRPr="00692485" w:rsidRDefault="004A4A1C" w:rsidP="00645022">
            <w:pPr>
              <w:pStyle w:val="Prrafodelista"/>
              <w:numPr>
                <w:ilvl w:val="0"/>
                <w:numId w:val="32"/>
              </w:numPr>
              <w:spacing w:before="240"/>
              <w:ind w:left="462"/>
              <w:jc w:val="both"/>
              <w:rPr>
                <w:rFonts w:asciiTheme="minorHAnsi" w:hAnsiTheme="minorHAnsi" w:cstheme="majorHAnsi"/>
                <w:sz w:val="20"/>
                <w:szCs w:val="20"/>
                <w:lang w:val="es-ES" w:eastAsia="es-MX"/>
              </w:rPr>
            </w:pPr>
            <w:r w:rsidRPr="00692485">
              <w:rPr>
                <w:rFonts w:asciiTheme="minorHAnsi" w:hAnsiTheme="minorHAnsi" w:cstheme="majorHAnsi"/>
                <w:sz w:val="20"/>
                <w:szCs w:val="20"/>
                <w:lang w:val="es-ES" w:eastAsia="es-MX"/>
              </w:rPr>
              <w:t>El trámite se fundamente en dos artículos de la LFTR (192 y 193). El artículo 192 se refiere a contratos en general y el 193 se refiere a contratos de adhesión.</w:t>
            </w:r>
          </w:p>
          <w:p w:rsidR="004A4A1C" w:rsidRPr="00692485" w:rsidRDefault="004A4A1C" w:rsidP="00645022">
            <w:pPr>
              <w:pStyle w:val="Prrafodelista"/>
              <w:numPr>
                <w:ilvl w:val="0"/>
                <w:numId w:val="32"/>
              </w:numPr>
              <w:spacing w:before="240"/>
              <w:ind w:left="462"/>
              <w:jc w:val="both"/>
              <w:rPr>
                <w:rFonts w:asciiTheme="minorHAnsi" w:hAnsiTheme="minorHAnsi" w:cstheme="majorHAnsi"/>
                <w:sz w:val="20"/>
                <w:szCs w:val="20"/>
                <w:lang w:val="es-ES" w:eastAsia="es-MX"/>
              </w:rPr>
            </w:pPr>
            <w:r w:rsidRPr="00692485">
              <w:rPr>
                <w:rFonts w:asciiTheme="minorHAnsi" w:hAnsiTheme="minorHAnsi" w:cstheme="majorHAnsi"/>
                <w:sz w:val="20"/>
                <w:szCs w:val="20"/>
                <w:lang w:val="es-ES" w:eastAsia="es-MX"/>
              </w:rPr>
              <w:t>En el apartado de la página de internet que señala “Casos en que debe o puede realizarse el trámite” señala que el trámite debe realizarse cuando pretenda suscribir contratos con los usuarios con motivo de la prestación de servicios, se deberán presentar para aprobación del IFT dentro de los 10 días siguientes a la aprobación y registro ante la Profeco.</w:t>
            </w:r>
          </w:p>
          <w:p w:rsidR="004A4A1C" w:rsidRPr="00692485" w:rsidRDefault="004A4A1C" w:rsidP="00645022">
            <w:pPr>
              <w:pStyle w:val="Prrafodelista"/>
              <w:numPr>
                <w:ilvl w:val="0"/>
                <w:numId w:val="32"/>
              </w:numPr>
              <w:spacing w:before="240"/>
              <w:ind w:left="462"/>
              <w:jc w:val="both"/>
              <w:rPr>
                <w:rFonts w:asciiTheme="minorHAnsi" w:hAnsiTheme="minorHAnsi" w:cstheme="majorHAnsi"/>
                <w:sz w:val="20"/>
                <w:szCs w:val="20"/>
                <w:lang w:val="es-ES" w:eastAsia="es-MX"/>
              </w:rPr>
            </w:pPr>
            <w:r w:rsidRPr="00692485">
              <w:rPr>
                <w:rFonts w:asciiTheme="minorHAnsi" w:hAnsiTheme="minorHAnsi" w:cstheme="majorHAnsi"/>
                <w:sz w:val="20"/>
                <w:szCs w:val="20"/>
                <w:lang w:val="es-ES" w:eastAsia="es-MX"/>
              </w:rPr>
              <w:t>Los artículos de la LFTR en ningún momento señalan que es obligatorio tener un contrato de adhesión y el trámite lo hace obligatorio sin fundamento alguno.</w:t>
            </w:r>
          </w:p>
          <w:p w:rsidR="004A4A1C" w:rsidRPr="00692485" w:rsidRDefault="004A4A1C" w:rsidP="00645022">
            <w:pPr>
              <w:pStyle w:val="Prrafodelista"/>
              <w:numPr>
                <w:ilvl w:val="0"/>
                <w:numId w:val="32"/>
              </w:numPr>
              <w:spacing w:before="240"/>
              <w:ind w:left="462"/>
              <w:jc w:val="both"/>
              <w:rPr>
                <w:rFonts w:asciiTheme="minorHAnsi" w:hAnsiTheme="minorHAnsi" w:cstheme="majorHAnsi"/>
                <w:sz w:val="20"/>
                <w:szCs w:val="20"/>
                <w:lang w:val="es-ES" w:eastAsia="es-MX"/>
              </w:rPr>
            </w:pPr>
            <w:r w:rsidRPr="00692485">
              <w:rPr>
                <w:rFonts w:asciiTheme="minorHAnsi" w:hAnsiTheme="minorHAnsi" w:cstheme="majorHAnsi"/>
                <w:sz w:val="20"/>
                <w:szCs w:val="20"/>
                <w:lang w:val="es-ES" w:eastAsia="es-MX"/>
              </w:rPr>
              <w:t>Además se habla claramente de contratos (192) y de contratos de adhesión (193)</w:t>
            </w:r>
          </w:p>
          <w:p w:rsidR="004A4A1C" w:rsidRPr="00692485" w:rsidRDefault="004A4A1C" w:rsidP="00645022">
            <w:pPr>
              <w:pStyle w:val="Prrafodelista"/>
              <w:numPr>
                <w:ilvl w:val="0"/>
                <w:numId w:val="32"/>
              </w:numPr>
              <w:spacing w:before="240"/>
              <w:ind w:left="462"/>
              <w:jc w:val="both"/>
              <w:rPr>
                <w:rFonts w:asciiTheme="minorHAnsi" w:hAnsiTheme="minorHAnsi" w:cstheme="majorHAnsi"/>
                <w:sz w:val="20"/>
                <w:szCs w:val="20"/>
                <w:lang w:val="es-ES" w:eastAsia="es-MX"/>
              </w:rPr>
            </w:pPr>
            <w:r w:rsidRPr="00692485">
              <w:rPr>
                <w:rFonts w:asciiTheme="minorHAnsi" w:hAnsiTheme="minorHAnsi" w:cstheme="majorHAnsi"/>
                <w:sz w:val="20"/>
                <w:szCs w:val="20"/>
                <w:lang w:val="es-ES" w:eastAsia="es-MX"/>
              </w:rPr>
              <w:t>Es una barrera imponer un trámite o requisito que no está en ley y exigir un contrato de adhesión sin que haya ley o reglamento que lo exija resulta ilegal</w:t>
            </w:r>
          </w:p>
          <w:p w:rsidR="004A4A1C" w:rsidRPr="00692485" w:rsidRDefault="004A4A1C" w:rsidP="00645022">
            <w:pPr>
              <w:pStyle w:val="Prrafodelista"/>
              <w:numPr>
                <w:ilvl w:val="0"/>
                <w:numId w:val="32"/>
              </w:numPr>
              <w:spacing w:before="240"/>
              <w:ind w:left="462"/>
              <w:jc w:val="both"/>
              <w:rPr>
                <w:rFonts w:asciiTheme="minorHAnsi" w:hAnsiTheme="minorHAnsi" w:cstheme="majorHAnsi"/>
                <w:sz w:val="20"/>
                <w:szCs w:val="20"/>
                <w:lang w:val="es-ES" w:eastAsia="es-MX"/>
              </w:rPr>
            </w:pPr>
            <w:r w:rsidRPr="00692485">
              <w:rPr>
                <w:rFonts w:asciiTheme="minorHAnsi" w:hAnsiTheme="minorHAnsi" w:cstheme="majorHAnsi"/>
                <w:sz w:val="20"/>
                <w:szCs w:val="20"/>
                <w:lang w:val="es-ES" w:eastAsia="es-MX"/>
              </w:rPr>
              <w:t>El trámite debe cambiar para que se lleve a cabo únicamente cuando el comercializador decida utilizar contratos de adhesión, en cuyo caso será obligatorio registrarlos ante Profeco</w:t>
            </w:r>
          </w:p>
          <w:p w:rsidR="004A4A1C" w:rsidRPr="00692485" w:rsidRDefault="004A4A1C" w:rsidP="00645022">
            <w:pPr>
              <w:pStyle w:val="Prrafodelista"/>
              <w:numPr>
                <w:ilvl w:val="0"/>
                <w:numId w:val="32"/>
              </w:numPr>
              <w:spacing w:before="240"/>
              <w:ind w:left="462"/>
              <w:jc w:val="both"/>
              <w:rPr>
                <w:rFonts w:asciiTheme="minorHAnsi" w:hAnsiTheme="minorHAnsi" w:cstheme="majorHAnsi"/>
                <w:sz w:val="20"/>
                <w:szCs w:val="20"/>
                <w:lang w:val="es-ES" w:eastAsia="es-MX"/>
              </w:rPr>
            </w:pPr>
            <w:r w:rsidRPr="00692485">
              <w:rPr>
                <w:rFonts w:asciiTheme="minorHAnsi" w:hAnsiTheme="minorHAnsi" w:cstheme="majorHAnsi"/>
                <w:sz w:val="20"/>
                <w:szCs w:val="20"/>
                <w:lang w:val="es-ES" w:eastAsia="es-MX"/>
              </w:rPr>
              <w:t xml:space="preserve">También resulta irregular que este trámite tenga una negativa ficta si la Profeco ya ha autorizado el contrato de adhesión. Resulta que el registro ante el IFT es para enseñar que ya se cuenta con </w:t>
            </w:r>
            <w:r w:rsidRPr="00692485">
              <w:rPr>
                <w:rFonts w:asciiTheme="minorHAnsi" w:hAnsiTheme="minorHAnsi" w:cstheme="majorHAnsi"/>
                <w:sz w:val="20"/>
                <w:szCs w:val="20"/>
                <w:lang w:val="es-ES" w:eastAsia="es-MX"/>
              </w:rPr>
              <w:lastRenderedPageBreak/>
              <w:t>un contrato de adhesión aprobado por Profeco, no para que se hagan más comentarios al mismo.</w:t>
            </w:r>
          </w:p>
        </w:tc>
        <w:tc>
          <w:tcPr>
            <w:tcW w:w="926" w:type="pct"/>
          </w:tcPr>
          <w:p w:rsidR="004A4A1C" w:rsidRPr="00692485" w:rsidRDefault="004A4A1C" w:rsidP="00645022">
            <w:pPr>
              <w:spacing w:before="240"/>
              <w:jc w:val="both"/>
              <w:rPr>
                <w:rFonts w:asciiTheme="minorHAnsi" w:eastAsia="Times New Roman" w:hAnsiTheme="minorHAnsi" w:cstheme="majorHAnsi"/>
                <w:color w:val="000000"/>
                <w:sz w:val="20"/>
                <w:szCs w:val="20"/>
                <w:lang w:val="es-ES" w:eastAsia="es-MX"/>
              </w:rPr>
            </w:pPr>
            <w:r w:rsidRPr="00692485">
              <w:rPr>
                <w:rFonts w:asciiTheme="minorHAnsi" w:eastAsia="Times New Roman" w:hAnsiTheme="minorHAnsi" w:cstheme="majorHAnsi"/>
                <w:color w:val="000000"/>
                <w:sz w:val="20"/>
                <w:szCs w:val="20"/>
                <w:lang w:val="es-ES" w:eastAsia="es-MX"/>
              </w:rPr>
              <w:lastRenderedPageBreak/>
              <w:t>Existe una interpretación del IFT que no está ni en ley ni en reglamento y representa una barrera de entrada</w:t>
            </w:r>
          </w:p>
        </w:tc>
      </w:tr>
      <w:tr w:rsidR="004A4A1C" w:rsidRPr="00692485" w:rsidTr="00645022">
        <w:tc>
          <w:tcPr>
            <w:tcW w:w="442" w:type="pct"/>
          </w:tcPr>
          <w:p w:rsidR="004A4A1C" w:rsidRPr="00692485" w:rsidRDefault="004A4A1C" w:rsidP="00645022">
            <w:pPr>
              <w:spacing w:before="240"/>
              <w:jc w:val="both"/>
              <w:rPr>
                <w:rFonts w:asciiTheme="minorHAnsi" w:eastAsia="Times New Roman" w:hAnsiTheme="minorHAnsi" w:cstheme="majorHAnsi"/>
                <w:b/>
                <w:color w:val="000000"/>
                <w:sz w:val="20"/>
                <w:szCs w:val="20"/>
                <w:lang w:val="es-ES" w:eastAsia="es-MX"/>
              </w:rPr>
            </w:pPr>
            <w:r w:rsidRPr="00692485">
              <w:rPr>
                <w:rFonts w:asciiTheme="minorHAnsi" w:eastAsia="Times New Roman" w:hAnsiTheme="minorHAnsi" w:cstheme="majorHAnsi"/>
                <w:color w:val="000000"/>
                <w:sz w:val="20"/>
                <w:szCs w:val="20"/>
                <w:lang w:val="es-ES" w:eastAsia="es-MX"/>
              </w:rPr>
              <w:lastRenderedPageBreak/>
              <w:t>UCS-04-034</w:t>
            </w:r>
          </w:p>
        </w:tc>
        <w:tc>
          <w:tcPr>
            <w:tcW w:w="713" w:type="pct"/>
          </w:tcPr>
          <w:p w:rsidR="004A4A1C" w:rsidRPr="00692485" w:rsidRDefault="00016105" w:rsidP="00645022">
            <w:pPr>
              <w:spacing w:before="240"/>
              <w:jc w:val="both"/>
              <w:rPr>
                <w:rFonts w:asciiTheme="minorHAnsi" w:eastAsia="Times New Roman" w:hAnsiTheme="minorHAnsi" w:cstheme="majorHAnsi"/>
                <w:color w:val="000000"/>
                <w:sz w:val="20"/>
                <w:szCs w:val="20"/>
                <w:lang w:val="es-ES" w:eastAsia="es-MX"/>
              </w:rPr>
            </w:pPr>
            <w:hyperlink r:id="rId21" w:tooltip="Solicitud de acreditación de representante legal despúes de los primeramente designados en permisos para establecer, operar o explotar una comercializadora de servicios de telecomunicaciones." w:history="1">
              <w:r w:rsidR="004A4A1C" w:rsidRPr="00692485">
                <w:rPr>
                  <w:rFonts w:asciiTheme="minorHAnsi" w:eastAsia="Times New Roman" w:hAnsiTheme="minorHAnsi" w:cstheme="majorHAnsi"/>
                  <w:color w:val="000000"/>
                  <w:sz w:val="20"/>
                  <w:szCs w:val="20"/>
                  <w:lang w:val="es-ES" w:eastAsia="es-MX"/>
                </w:rPr>
                <w:t>Solicitud de acreditación de representante legal después de los primeramente designados en permisos para establecer, operar o explotar una comercializadora de servicios de telecomunicaciones.</w:t>
              </w:r>
            </w:hyperlink>
          </w:p>
        </w:tc>
        <w:tc>
          <w:tcPr>
            <w:tcW w:w="2919" w:type="pct"/>
          </w:tcPr>
          <w:p w:rsidR="004A4A1C" w:rsidRPr="00692485" w:rsidRDefault="004A4A1C" w:rsidP="00645022">
            <w:pPr>
              <w:pStyle w:val="Prrafodelista"/>
              <w:numPr>
                <w:ilvl w:val="0"/>
                <w:numId w:val="34"/>
              </w:numPr>
              <w:spacing w:before="240"/>
              <w:ind w:left="462"/>
              <w:jc w:val="both"/>
              <w:rPr>
                <w:rFonts w:asciiTheme="minorHAnsi" w:eastAsia="Times New Roman" w:hAnsiTheme="minorHAnsi" w:cstheme="majorHAnsi"/>
                <w:color w:val="000000"/>
                <w:sz w:val="20"/>
                <w:szCs w:val="20"/>
                <w:lang w:val="es-ES" w:eastAsia="es-MX"/>
              </w:rPr>
            </w:pPr>
            <w:r w:rsidRPr="00692485">
              <w:rPr>
                <w:rFonts w:asciiTheme="minorHAnsi" w:eastAsia="Times New Roman" w:hAnsiTheme="minorHAnsi" w:cstheme="majorHAnsi"/>
                <w:color w:val="000000"/>
                <w:sz w:val="20"/>
                <w:szCs w:val="20"/>
                <w:lang w:val="es-ES" w:eastAsia="es-MX"/>
              </w:rPr>
              <w:t xml:space="preserve">Se utilizan como fundamento los artículos 2553 y 2554 del Código Civil Federal y el 19 de la Ley Federal del Procedimiento Administrativo. </w:t>
            </w:r>
          </w:p>
          <w:p w:rsidR="004A4A1C" w:rsidRPr="00692485" w:rsidRDefault="004A4A1C" w:rsidP="00645022">
            <w:pPr>
              <w:pStyle w:val="Prrafodelista"/>
              <w:numPr>
                <w:ilvl w:val="0"/>
                <w:numId w:val="34"/>
              </w:numPr>
              <w:spacing w:before="240"/>
              <w:ind w:left="462"/>
              <w:jc w:val="both"/>
              <w:rPr>
                <w:rFonts w:asciiTheme="minorHAnsi" w:eastAsia="Times New Roman" w:hAnsiTheme="minorHAnsi" w:cstheme="majorHAnsi"/>
                <w:color w:val="000000"/>
                <w:sz w:val="20"/>
                <w:szCs w:val="20"/>
                <w:lang w:val="es-ES" w:eastAsia="es-MX"/>
              </w:rPr>
            </w:pPr>
            <w:r w:rsidRPr="00692485">
              <w:rPr>
                <w:rFonts w:asciiTheme="minorHAnsi" w:hAnsiTheme="minorHAnsi" w:cstheme="majorHAnsi"/>
                <w:sz w:val="20"/>
                <w:szCs w:val="20"/>
                <w:lang w:val="es-ES" w:eastAsia="es-MX"/>
              </w:rPr>
              <w:t>Existe la negativa ficta, cuando lo que se envía es el nombre de representantes legales. Debería ser un simple registro de nombres que sólo se rechazaría en el caso que no se acredite la personalidad de los mismos.</w:t>
            </w:r>
          </w:p>
        </w:tc>
        <w:tc>
          <w:tcPr>
            <w:tcW w:w="926" w:type="pct"/>
          </w:tcPr>
          <w:p w:rsidR="004A4A1C" w:rsidRPr="00692485" w:rsidRDefault="004A4A1C" w:rsidP="00645022">
            <w:pPr>
              <w:spacing w:before="240"/>
              <w:jc w:val="both"/>
              <w:rPr>
                <w:rFonts w:asciiTheme="minorHAnsi" w:eastAsia="Times New Roman" w:hAnsiTheme="minorHAnsi" w:cstheme="majorHAnsi"/>
                <w:color w:val="000000"/>
                <w:sz w:val="20"/>
                <w:szCs w:val="20"/>
                <w:lang w:val="es-ES" w:eastAsia="es-MX"/>
              </w:rPr>
            </w:pPr>
            <w:r w:rsidRPr="00692485">
              <w:rPr>
                <w:rFonts w:asciiTheme="minorHAnsi" w:eastAsia="Times New Roman" w:hAnsiTheme="minorHAnsi" w:cstheme="majorHAnsi"/>
                <w:color w:val="000000"/>
                <w:sz w:val="20"/>
                <w:szCs w:val="20"/>
                <w:lang w:val="es-ES" w:eastAsia="es-MX"/>
              </w:rPr>
              <w:t>Al parecer esta es la fundamentación correcta para este tipo de trámites.</w:t>
            </w:r>
          </w:p>
        </w:tc>
      </w:tr>
      <w:tr w:rsidR="004A4A1C" w:rsidRPr="00692485" w:rsidTr="00645022">
        <w:tc>
          <w:tcPr>
            <w:tcW w:w="442" w:type="pct"/>
          </w:tcPr>
          <w:p w:rsidR="004A4A1C" w:rsidRPr="00692485" w:rsidRDefault="004A4A1C" w:rsidP="00645022">
            <w:pPr>
              <w:spacing w:before="240"/>
              <w:jc w:val="both"/>
              <w:rPr>
                <w:rFonts w:asciiTheme="minorHAnsi" w:eastAsia="Times New Roman" w:hAnsiTheme="minorHAnsi" w:cstheme="majorHAnsi"/>
                <w:b/>
                <w:color w:val="000000"/>
                <w:sz w:val="20"/>
                <w:szCs w:val="20"/>
                <w:lang w:val="es-ES" w:eastAsia="es-MX"/>
              </w:rPr>
            </w:pPr>
            <w:r w:rsidRPr="00692485">
              <w:rPr>
                <w:rFonts w:asciiTheme="minorHAnsi" w:eastAsia="Times New Roman" w:hAnsiTheme="minorHAnsi" w:cstheme="majorHAnsi"/>
                <w:color w:val="000000"/>
                <w:sz w:val="20"/>
                <w:szCs w:val="20"/>
                <w:lang w:val="es-ES" w:eastAsia="es-MX"/>
              </w:rPr>
              <w:t>UCS-04-035</w:t>
            </w:r>
          </w:p>
        </w:tc>
        <w:tc>
          <w:tcPr>
            <w:tcW w:w="713" w:type="pct"/>
          </w:tcPr>
          <w:p w:rsidR="004A4A1C" w:rsidRPr="00692485" w:rsidRDefault="00016105" w:rsidP="00645022">
            <w:pPr>
              <w:spacing w:before="240"/>
              <w:jc w:val="both"/>
              <w:rPr>
                <w:rFonts w:asciiTheme="minorHAnsi" w:eastAsia="Times New Roman" w:hAnsiTheme="minorHAnsi" w:cstheme="majorHAnsi"/>
                <w:color w:val="000000"/>
                <w:sz w:val="20"/>
                <w:szCs w:val="20"/>
                <w:lang w:val="es-ES" w:eastAsia="es-MX"/>
              </w:rPr>
            </w:pPr>
            <w:hyperlink r:id="rId22" w:tooltip="Solicitud de aprobación de modificaciones técnicas de Autorizaciones para establecer y operar o explotar una comercializadora de servicios de telecomunicaciones. " w:history="1">
              <w:r w:rsidR="004A4A1C" w:rsidRPr="00692485">
                <w:rPr>
                  <w:rFonts w:asciiTheme="minorHAnsi" w:eastAsia="Times New Roman" w:hAnsiTheme="minorHAnsi" w:cstheme="majorHAnsi"/>
                  <w:color w:val="000000"/>
                  <w:sz w:val="20"/>
                  <w:szCs w:val="20"/>
                  <w:lang w:val="es-ES" w:eastAsia="es-MX"/>
                </w:rPr>
                <w:t xml:space="preserve">Solicitud de aprobación de modificaciones técnicas de Autorizaciones para establecer y operar o explotar una comercializadora de servicios de telecomunicaciones. </w:t>
              </w:r>
            </w:hyperlink>
          </w:p>
        </w:tc>
        <w:tc>
          <w:tcPr>
            <w:tcW w:w="2919" w:type="pct"/>
          </w:tcPr>
          <w:p w:rsidR="004A4A1C" w:rsidRPr="00692485" w:rsidRDefault="004A4A1C" w:rsidP="00645022">
            <w:pPr>
              <w:pStyle w:val="Prrafodelista"/>
              <w:numPr>
                <w:ilvl w:val="0"/>
                <w:numId w:val="37"/>
              </w:numPr>
              <w:spacing w:before="240"/>
              <w:ind w:left="458"/>
              <w:jc w:val="both"/>
              <w:rPr>
                <w:rFonts w:asciiTheme="minorHAnsi" w:eastAsia="Times New Roman" w:hAnsiTheme="minorHAnsi" w:cstheme="majorHAnsi"/>
                <w:color w:val="000000"/>
                <w:sz w:val="20"/>
                <w:szCs w:val="20"/>
                <w:lang w:val="es-ES" w:eastAsia="es-MX"/>
              </w:rPr>
            </w:pPr>
            <w:r w:rsidRPr="00692485">
              <w:rPr>
                <w:rFonts w:asciiTheme="minorHAnsi" w:hAnsiTheme="minorHAnsi" w:cstheme="majorHAnsi"/>
                <w:sz w:val="20"/>
                <w:szCs w:val="20"/>
                <w:lang w:val="es-ES" w:eastAsia="es-MX"/>
              </w:rPr>
              <w:t>Resulta contradictorio que al solicitar una autorización existe la afirmativa ficta, pero para las modificaciones, a pesar de haber un plazo para su resolución (30 días hábiles), opera la negativa ficta.</w:t>
            </w:r>
          </w:p>
          <w:p w:rsidR="004A4A1C" w:rsidRPr="00692485" w:rsidRDefault="004A4A1C" w:rsidP="00645022">
            <w:pPr>
              <w:pStyle w:val="Prrafodelista"/>
              <w:numPr>
                <w:ilvl w:val="0"/>
                <w:numId w:val="37"/>
              </w:numPr>
              <w:spacing w:before="240"/>
              <w:ind w:left="458"/>
              <w:jc w:val="both"/>
              <w:rPr>
                <w:rFonts w:asciiTheme="minorHAnsi" w:eastAsia="Times New Roman" w:hAnsiTheme="minorHAnsi" w:cstheme="majorHAnsi"/>
                <w:color w:val="000000"/>
                <w:sz w:val="20"/>
                <w:szCs w:val="20"/>
                <w:lang w:val="es-ES" w:eastAsia="es-MX"/>
              </w:rPr>
            </w:pPr>
            <w:r w:rsidRPr="00692485">
              <w:rPr>
                <w:rFonts w:asciiTheme="minorHAnsi" w:hAnsiTheme="minorHAnsi" w:cstheme="majorHAnsi"/>
                <w:sz w:val="20"/>
                <w:szCs w:val="20"/>
                <w:lang w:val="es-ES" w:eastAsia="es-MX"/>
              </w:rPr>
              <w:t xml:space="preserve">Consideramos que si el trámite para obtener la Autorización tiene afirmativa ficta, el trámite para la modificación de la misma, también debería tener afirmativa ficta.  </w:t>
            </w:r>
          </w:p>
        </w:tc>
        <w:tc>
          <w:tcPr>
            <w:tcW w:w="926" w:type="pct"/>
          </w:tcPr>
          <w:p w:rsidR="004A4A1C" w:rsidRPr="00692485" w:rsidRDefault="004A4A1C" w:rsidP="00645022">
            <w:pPr>
              <w:spacing w:before="240"/>
              <w:jc w:val="both"/>
              <w:rPr>
                <w:rFonts w:asciiTheme="minorHAnsi" w:eastAsia="Times New Roman" w:hAnsiTheme="minorHAnsi" w:cstheme="majorHAnsi"/>
                <w:color w:val="000000"/>
                <w:sz w:val="20"/>
                <w:szCs w:val="20"/>
                <w:lang w:val="es-ES" w:eastAsia="es-MX"/>
              </w:rPr>
            </w:pPr>
          </w:p>
        </w:tc>
      </w:tr>
      <w:bookmarkEnd w:id="0"/>
    </w:tbl>
    <w:p w:rsidR="00B93C44" w:rsidRPr="00692485" w:rsidRDefault="00B93C44" w:rsidP="00645022">
      <w:pPr>
        <w:spacing w:before="240"/>
        <w:jc w:val="both"/>
        <w:rPr>
          <w:rFonts w:asciiTheme="minorHAnsi" w:hAnsiTheme="minorHAnsi" w:cstheme="majorHAnsi"/>
          <w:sz w:val="20"/>
          <w:szCs w:val="20"/>
          <w:lang w:val="es-ES"/>
        </w:rPr>
      </w:pPr>
    </w:p>
    <w:sectPr w:rsidR="00B93C44" w:rsidRPr="00692485" w:rsidSect="00827A4B">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105" w:rsidRDefault="00016105" w:rsidP="00283278">
      <w:pPr>
        <w:spacing w:after="0" w:line="240" w:lineRule="auto"/>
      </w:pPr>
      <w:r>
        <w:separator/>
      </w:r>
    </w:p>
  </w:endnote>
  <w:endnote w:type="continuationSeparator" w:id="0">
    <w:p w:rsidR="00016105" w:rsidRDefault="00016105" w:rsidP="00283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051612"/>
      <w:docPartObj>
        <w:docPartGallery w:val="Page Numbers (Bottom of Page)"/>
        <w:docPartUnique/>
      </w:docPartObj>
    </w:sdtPr>
    <w:sdtEndPr/>
    <w:sdtContent>
      <w:p w:rsidR="00A13759" w:rsidRDefault="00A13759">
        <w:pPr>
          <w:pStyle w:val="Piedepgina"/>
          <w:jc w:val="right"/>
        </w:pPr>
        <w:r>
          <w:fldChar w:fldCharType="begin"/>
        </w:r>
        <w:r>
          <w:instrText>PAGE   \* MERGEFORMAT</w:instrText>
        </w:r>
        <w:r>
          <w:fldChar w:fldCharType="separate"/>
        </w:r>
        <w:r w:rsidR="00645022" w:rsidRPr="00645022">
          <w:rPr>
            <w:noProof/>
            <w:lang w:val="es-ES"/>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105" w:rsidRDefault="00016105" w:rsidP="00283278">
      <w:pPr>
        <w:spacing w:after="0" w:line="240" w:lineRule="auto"/>
      </w:pPr>
      <w:r>
        <w:separator/>
      </w:r>
    </w:p>
  </w:footnote>
  <w:footnote w:type="continuationSeparator" w:id="0">
    <w:p w:rsidR="00016105" w:rsidRDefault="00016105" w:rsidP="00283278">
      <w:pPr>
        <w:spacing w:after="0" w:line="240" w:lineRule="auto"/>
      </w:pPr>
      <w:r>
        <w:continuationSeparator/>
      </w:r>
    </w:p>
  </w:footnote>
  <w:footnote w:id="1">
    <w:p w:rsidR="00AD3707" w:rsidRDefault="00AD3707" w:rsidP="00AD3707">
      <w:pPr>
        <w:pStyle w:val="Textonotapie"/>
        <w:rPr>
          <w:lang w:val="en-US"/>
        </w:rPr>
      </w:pPr>
      <w:r>
        <w:rPr>
          <w:rStyle w:val="Refdenotaalpie"/>
          <w:lang w:val="en-GB"/>
        </w:rPr>
        <w:t>[1]</w:t>
      </w:r>
      <w:r>
        <w:rPr>
          <w:lang w:val="en-GB"/>
        </w:rPr>
        <w:t xml:space="preserve"> </w:t>
      </w:r>
      <w:r w:rsidRPr="00645022">
        <w:rPr>
          <w:lang w:val="en-GB"/>
        </w:rPr>
        <w:t>http://www.internationalcompetitionnetwork.org/uploads/library/doc370.pdf</w:t>
      </w:r>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85" w:rsidRPr="00645022" w:rsidRDefault="00645022" w:rsidP="00645022">
    <w:pPr>
      <w:pStyle w:val="Encabezado"/>
    </w:pPr>
    <w:r>
      <w:rPr>
        <w:noProof/>
        <w:lang w:eastAsia="es-MX"/>
      </w:rPr>
      <w:drawing>
        <wp:inline distT="0" distB="0" distL="0" distR="0" wp14:anchorId="047F20BE" wp14:editId="1C17BBCB">
          <wp:extent cx="3775710" cy="957580"/>
          <wp:effectExtent l="0" t="0" r="0" b="0"/>
          <wp:docPr id="9" name="Imagen 9" descr="Hoja membretada con el logotipo del Consejo Consultivo." title="Logo del Consejo Consul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10" cy="957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6130"/>
    <w:multiLevelType w:val="hybridMultilevel"/>
    <w:tmpl w:val="C0201B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C6B7F"/>
    <w:multiLevelType w:val="multilevel"/>
    <w:tmpl w:val="4F329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A5B4E"/>
    <w:multiLevelType w:val="hybridMultilevel"/>
    <w:tmpl w:val="E51CED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EB2534"/>
    <w:multiLevelType w:val="hybridMultilevel"/>
    <w:tmpl w:val="3D1000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DA2868"/>
    <w:multiLevelType w:val="hybridMultilevel"/>
    <w:tmpl w:val="B31245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1C0EEC"/>
    <w:multiLevelType w:val="hybridMultilevel"/>
    <w:tmpl w:val="213080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CA2E7E"/>
    <w:multiLevelType w:val="hybridMultilevel"/>
    <w:tmpl w:val="AB1866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DF1CE8"/>
    <w:multiLevelType w:val="hybridMultilevel"/>
    <w:tmpl w:val="1AF23A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B87237"/>
    <w:multiLevelType w:val="hybridMultilevel"/>
    <w:tmpl w:val="1AF23A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452B02"/>
    <w:multiLevelType w:val="hybridMultilevel"/>
    <w:tmpl w:val="3C585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6B6290"/>
    <w:multiLevelType w:val="hybridMultilevel"/>
    <w:tmpl w:val="B4ACB1A6"/>
    <w:lvl w:ilvl="0" w:tplc="080A000F">
      <w:start w:val="1"/>
      <w:numFmt w:val="decimal"/>
      <w:lvlText w:val="%1."/>
      <w:lvlJc w:val="left"/>
      <w:pPr>
        <w:ind w:left="502" w:hanging="360"/>
      </w:pPr>
      <w:rPr>
        <w:rFonts w:hint="default"/>
      </w:r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15:restartNumberingAfterBreak="0">
    <w:nsid w:val="1982592B"/>
    <w:multiLevelType w:val="hybridMultilevel"/>
    <w:tmpl w:val="637CF2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C60C44"/>
    <w:multiLevelType w:val="hybridMultilevel"/>
    <w:tmpl w:val="495E10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63562C"/>
    <w:multiLevelType w:val="hybridMultilevel"/>
    <w:tmpl w:val="FA043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0F0523"/>
    <w:multiLevelType w:val="hybridMultilevel"/>
    <w:tmpl w:val="B4ACB1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CF4F54"/>
    <w:multiLevelType w:val="hybridMultilevel"/>
    <w:tmpl w:val="0A5E18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BF40F3"/>
    <w:multiLevelType w:val="hybridMultilevel"/>
    <w:tmpl w:val="C67C1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8587366"/>
    <w:multiLevelType w:val="hybridMultilevel"/>
    <w:tmpl w:val="322418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D0181C"/>
    <w:multiLevelType w:val="multilevel"/>
    <w:tmpl w:val="58DC5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0035D9"/>
    <w:multiLevelType w:val="hybridMultilevel"/>
    <w:tmpl w:val="483693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F0E6C3B"/>
    <w:multiLevelType w:val="hybridMultilevel"/>
    <w:tmpl w:val="703C3A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19D0D46"/>
    <w:multiLevelType w:val="hybridMultilevel"/>
    <w:tmpl w:val="B046F5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B33702"/>
    <w:multiLevelType w:val="hybridMultilevel"/>
    <w:tmpl w:val="374A81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466C25"/>
    <w:multiLevelType w:val="hybridMultilevel"/>
    <w:tmpl w:val="B4ACB1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757919"/>
    <w:multiLevelType w:val="hybridMultilevel"/>
    <w:tmpl w:val="EBB2BE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451823"/>
    <w:multiLevelType w:val="hybridMultilevel"/>
    <w:tmpl w:val="B4ACB1A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D3050D"/>
    <w:multiLevelType w:val="hybridMultilevel"/>
    <w:tmpl w:val="99DE51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F5091B"/>
    <w:multiLevelType w:val="hybridMultilevel"/>
    <w:tmpl w:val="D2023C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440CFE"/>
    <w:multiLevelType w:val="hybridMultilevel"/>
    <w:tmpl w:val="E1AAB4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0D958C6"/>
    <w:multiLevelType w:val="hybridMultilevel"/>
    <w:tmpl w:val="B4ACB1A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1E6C86"/>
    <w:multiLevelType w:val="hybridMultilevel"/>
    <w:tmpl w:val="495E10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AB0BF3"/>
    <w:multiLevelType w:val="hybridMultilevel"/>
    <w:tmpl w:val="BB0430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3F45E4"/>
    <w:multiLevelType w:val="hybridMultilevel"/>
    <w:tmpl w:val="495E10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0D2B52"/>
    <w:multiLevelType w:val="hybridMultilevel"/>
    <w:tmpl w:val="FA043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8307468"/>
    <w:multiLevelType w:val="hybridMultilevel"/>
    <w:tmpl w:val="DBC4B0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9420951"/>
    <w:multiLevelType w:val="hybridMultilevel"/>
    <w:tmpl w:val="495E10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9A6AAA"/>
    <w:multiLevelType w:val="hybridMultilevel"/>
    <w:tmpl w:val="2C4226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E244EA"/>
    <w:multiLevelType w:val="hybridMultilevel"/>
    <w:tmpl w:val="637CF2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44F67E5"/>
    <w:multiLevelType w:val="hybridMultilevel"/>
    <w:tmpl w:val="BB0430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05538DB"/>
    <w:multiLevelType w:val="hybridMultilevel"/>
    <w:tmpl w:val="94120F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A76E44"/>
    <w:multiLevelType w:val="hybridMultilevel"/>
    <w:tmpl w:val="DBC4B0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D5123D"/>
    <w:multiLevelType w:val="multilevel"/>
    <w:tmpl w:val="CC74F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6646B2"/>
    <w:multiLevelType w:val="hybridMultilevel"/>
    <w:tmpl w:val="12F46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18"/>
  </w:num>
  <w:num w:numId="3">
    <w:abstractNumId w:val="1"/>
  </w:num>
  <w:num w:numId="4">
    <w:abstractNumId w:val="21"/>
  </w:num>
  <w:num w:numId="5">
    <w:abstractNumId w:val="27"/>
  </w:num>
  <w:num w:numId="6">
    <w:abstractNumId w:val="2"/>
  </w:num>
  <w:num w:numId="7">
    <w:abstractNumId w:val="19"/>
  </w:num>
  <w:num w:numId="8">
    <w:abstractNumId w:val="40"/>
  </w:num>
  <w:num w:numId="9">
    <w:abstractNumId w:val="4"/>
  </w:num>
  <w:num w:numId="10">
    <w:abstractNumId w:val="24"/>
  </w:num>
  <w:num w:numId="11">
    <w:abstractNumId w:val="15"/>
  </w:num>
  <w:num w:numId="12">
    <w:abstractNumId w:val="25"/>
  </w:num>
  <w:num w:numId="13">
    <w:abstractNumId w:val="23"/>
  </w:num>
  <w:num w:numId="14">
    <w:abstractNumId w:val="34"/>
  </w:num>
  <w:num w:numId="15">
    <w:abstractNumId w:val="37"/>
  </w:num>
  <w:num w:numId="16">
    <w:abstractNumId w:val="9"/>
  </w:num>
  <w:num w:numId="17">
    <w:abstractNumId w:val="7"/>
  </w:num>
  <w:num w:numId="18">
    <w:abstractNumId w:val="36"/>
  </w:num>
  <w:num w:numId="19">
    <w:abstractNumId w:val="20"/>
  </w:num>
  <w:num w:numId="20">
    <w:abstractNumId w:val="28"/>
  </w:num>
  <w:num w:numId="21">
    <w:abstractNumId w:val="33"/>
  </w:num>
  <w:num w:numId="22">
    <w:abstractNumId w:val="26"/>
  </w:num>
  <w:num w:numId="23">
    <w:abstractNumId w:val="13"/>
  </w:num>
  <w:num w:numId="24">
    <w:abstractNumId w:val="38"/>
  </w:num>
  <w:num w:numId="25">
    <w:abstractNumId w:val="22"/>
  </w:num>
  <w:num w:numId="26">
    <w:abstractNumId w:val="11"/>
  </w:num>
  <w:num w:numId="27">
    <w:abstractNumId w:val="8"/>
  </w:num>
  <w:num w:numId="28">
    <w:abstractNumId w:val="31"/>
  </w:num>
  <w:num w:numId="29">
    <w:abstractNumId w:val="14"/>
  </w:num>
  <w:num w:numId="30">
    <w:abstractNumId w:val="17"/>
  </w:num>
  <w:num w:numId="31">
    <w:abstractNumId w:val="30"/>
  </w:num>
  <w:num w:numId="32">
    <w:abstractNumId w:val="12"/>
  </w:num>
  <w:num w:numId="33">
    <w:abstractNumId w:val="35"/>
  </w:num>
  <w:num w:numId="34">
    <w:abstractNumId w:val="32"/>
  </w:num>
  <w:num w:numId="35">
    <w:abstractNumId w:val="6"/>
  </w:num>
  <w:num w:numId="36">
    <w:abstractNumId w:val="3"/>
  </w:num>
  <w:num w:numId="37">
    <w:abstractNumId w:val="42"/>
  </w:num>
  <w:num w:numId="38">
    <w:abstractNumId w:val="5"/>
  </w:num>
  <w:num w:numId="39">
    <w:abstractNumId w:val="0"/>
  </w:num>
  <w:num w:numId="40">
    <w:abstractNumId w:val="39"/>
  </w:num>
  <w:num w:numId="41">
    <w:abstractNumId w:val="10"/>
  </w:num>
  <w:num w:numId="42">
    <w:abstractNumId w:val="2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F5"/>
    <w:rsid w:val="00016105"/>
    <w:rsid w:val="000775FE"/>
    <w:rsid w:val="00092FF6"/>
    <w:rsid w:val="00103E20"/>
    <w:rsid w:val="0010782E"/>
    <w:rsid w:val="00111F32"/>
    <w:rsid w:val="001C26E0"/>
    <w:rsid w:val="001C6782"/>
    <w:rsid w:val="001C7463"/>
    <w:rsid w:val="00202D5E"/>
    <w:rsid w:val="0021098B"/>
    <w:rsid w:val="00215D99"/>
    <w:rsid w:val="002663DC"/>
    <w:rsid w:val="00283278"/>
    <w:rsid w:val="002D1566"/>
    <w:rsid w:val="002D2A9E"/>
    <w:rsid w:val="003171DE"/>
    <w:rsid w:val="003373CC"/>
    <w:rsid w:val="003E5797"/>
    <w:rsid w:val="003F3F46"/>
    <w:rsid w:val="003F7187"/>
    <w:rsid w:val="00470D41"/>
    <w:rsid w:val="004771EA"/>
    <w:rsid w:val="004A4A1C"/>
    <w:rsid w:val="004B155C"/>
    <w:rsid w:val="004B422D"/>
    <w:rsid w:val="004F377C"/>
    <w:rsid w:val="0050270F"/>
    <w:rsid w:val="005611A5"/>
    <w:rsid w:val="005C25D1"/>
    <w:rsid w:val="00610D2B"/>
    <w:rsid w:val="00615F99"/>
    <w:rsid w:val="00626DA4"/>
    <w:rsid w:val="00633B7A"/>
    <w:rsid w:val="00644700"/>
    <w:rsid w:val="00645022"/>
    <w:rsid w:val="0067672D"/>
    <w:rsid w:val="00683202"/>
    <w:rsid w:val="00683A26"/>
    <w:rsid w:val="00692485"/>
    <w:rsid w:val="006B142A"/>
    <w:rsid w:val="006F1C5A"/>
    <w:rsid w:val="00701193"/>
    <w:rsid w:val="00711A8F"/>
    <w:rsid w:val="00751FEF"/>
    <w:rsid w:val="00790C8F"/>
    <w:rsid w:val="007C7FB8"/>
    <w:rsid w:val="00827A4B"/>
    <w:rsid w:val="008623D7"/>
    <w:rsid w:val="00886B85"/>
    <w:rsid w:val="008D3611"/>
    <w:rsid w:val="008D37F5"/>
    <w:rsid w:val="008D5D89"/>
    <w:rsid w:val="008E2825"/>
    <w:rsid w:val="008F54AB"/>
    <w:rsid w:val="0091224F"/>
    <w:rsid w:val="009160D2"/>
    <w:rsid w:val="00931830"/>
    <w:rsid w:val="00972122"/>
    <w:rsid w:val="00997E5D"/>
    <w:rsid w:val="009A1757"/>
    <w:rsid w:val="009B40FF"/>
    <w:rsid w:val="009C4373"/>
    <w:rsid w:val="009E1CE2"/>
    <w:rsid w:val="00A13759"/>
    <w:rsid w:val="00A1575E"/>
    <w:rsid w:val="00A2161E"/>
    <w:rsid w:val="00A356B5"/>
    <w:rsid w:val="00A45EFF"/>
    <w:rsid w:val="00A86D03"/>
    <w:rsid w:val="00AB26E5"/>
    <w:rsid w:val="00AD3707"/>
    <w:rsid w:val="00B04939"/>
    <w:rsid w:val="00B147EB"/>
    <w:rsid w:val="00B16448"/>
    <w:rsid w:val="00B340DA"/>
    <w:rsid w:val="00B4278D"/>
    <w:rsid w:val="00B60D84"/>
    <w:rsid w:val="00B74E03"/>
    <w:rsid w:val="00B93C44"/>
    <w:rsid w:val="00BA0207"/>
    <w:rsid w:val="00BF57D0"/>
    <w:rsid w:val="00BF5BEB"/>
    <w:rsid w:val="00C106D2"/>
    <w:rsid w:val="00C84BB2"/>
    <w:rsid w:val="00CB11FC"/>
    <w:rsid w:val="00CB3556"/>
    <w:rsid w:val="00D66074"/>
    <w:rsid w:val="00D92920"/>
    <w:rsid w:val="00DB6F51"/>
    <w:rsid w:val="00DD61B5"/>
    <w:rsid w:val="00E07ECB"/>
    <w:rsid w:val="00E17E97"/>
    <w:rsid w:val="00E36802"/>
    <w:rsid w:val="00E53787"/>
    <w:rsid w:val="00E57E7D"/>
    <w:rsid w:val="00EF23C5"/>
    <w:rsid w:val="00EF71A8"/>
    <w:rsid w:val="00F113B5"/>
    <w:rsid w:val="00F710DE"/>
    <w:rsid w:val="00FA416C"/>
    <w:rsid w:val="00FB0AA5"/>
    <w:rsid w:val="00FC6396"/>
    <w:rsid w:val="00FD45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AD9F7A-1A4C-4A01-B10D-8F7B89F1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4502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Ttulo2">
    <w:name w:val="heading 2"/>
    <w:basedOn w:val="Normal"/>
    <w:next w:val="Normal"/>
    <w:link w:val="Ttulo2Car"/>
    <w:uiPriority w:val="9"/>
    <w:unhideWhenUsed/>
    <w:qFormat/>
    <w:rsid w:val="0064502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37F5"/>
    <w:rPr>
      <w:strike w:val="0"/>
      <w:dstrike w:val="0"/>
      <w:color w:val="000000"/>
      <w:u w:val="none"/>
      <w:effect w:val="none"/>
      <w:shd w:val="clear" w:color="auto" w:fill="auto"/>
    </w:rPr>
  </w:style>
  <w:style w:type="table" w:styleId="Tablaconcuadrcula">
    <w:name w:val="Table Grid"/>
    <w:basedOn w:val="Tablanormal"/>
    <w:uiPriority w:val="39"/>
    <w:rsid w:val="008D3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83278"/>
    <w:rPr>
      <w:color w:val="954F72" w:themeColor="followedHyperlink"/>
      <w:u w:val="single"/>
    </w:rPr>
  </w:style>
  <w:style w:type="paragraph" w:styleId="Encabezado">
    <w:name w:val="header"/>
    <w:basedOn w:val="Normal"/>
    <w:link w:val="EncabezadoCar"/>
    <w:uiPriority w:val="99"/>
    <w:unhideWhenUsed/>
    <w:rsid w:val="002832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3278"/>
  </w:style>
  <w:style w:type="paragraph" w:styleId="Piedepgina">
    <w:name w:val="footer"/>
    <w:basedOn w:val="Normal"/>
    <w:link w:val="PiedepginaCar"/>
    <w:uiPriority w:val="99"/>
    <w:unhideWhenUsed/>
    <w:rsid w:val="002832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3278"/>
  </w:style>
  <w:style w:type="paragraph" w:styleId="Prrafodelista">
    <w:name w:val="List Paragraph"/>
    <w:basedOn w:val="Normal"/>
    <w:uiPriority w:val="34"/>
    <w:qFormat/>
    <w:rsid w:val="00B60D84"/>
    <w:pPr>
      <w:ind w:left="720"/>
      <w:contextualSpacing/>
    </w:pPr>
  </w:style>
  <w:style w:type="paragraph" w:styleId="Textodeglobo">
    <w:name w:val="Balloon Text"/>
    <w:basedOn w:val="Normal"/>
    <w:link w:val="TextodegloboCar"/>
    <w:uiPriority w:val="99"/>
    <w:semiHidden/>
    <w:unhideWhenUsed/>
    <w:rsid w:val="00A45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5EFF"/>
    <w:rPr>
      <w:rFonts w:ascii="Segoe UI" w:hAnsi="Segoe UI" w:cs="Segoe UI"/>
      <w:sz w:val="18"/>
      <w:szCs w:val="18"/>
    </w:rPr>
  </w:style>
  <w:style w:type="paragraph" w:styleId="Textonotapie">
    <w:name w:val="footnote text"/>
    <w:basedOn w:val="Normal"/>
    <w:link w:val="TextonotapieCar"/>
    <w:uiPriority w:val="99"/>
    <w:semiHidden/>
    <w:unhideWhenUsed/>
    <w:rsid w:val="00D92920"/>
    <w:pPr>
      <w:spacing w:after="0" w:line="240" w:lineRule="auto"/>
    </w:pPr>
    <w:rPr>
      <w:rFonts w:ascii="Times New Roman" w:hAnsi="Times New Roman" w:cs="Times New Roman"/>
      <w:sz w:val="24"/>
      <w:szCs w:val="24"/>
      <w:lang w:eastAsia="es-MX"/>
    </w:rPr>
  </w:style>
  <w:style w:type="character" w:customStyle="1" w:styleId="TextonotapieCar">
    <w:name w:val="Texto nota pie Car"/>
    <w:basedOn w:val="Fuentedeprrafopredeter"/>
    <w:link w:val="Textonotapie"/>
    <w:uiPriority w:val="99"/>
    <w:semiHidden/>
    <w:rsid w:val="00D92920"/>
    <w:rPr>
      <w:rFonts w:ascii="Times New Roman" w:hAnsi="Times New Roman" w:cs="Times New Roman"/>
      <w:sz w:val="24"/>
      <w:szCs w:val="24"/>
      <w:lang w:eastAsia="es-MX"/>
    </w:rPr>
  </w:style>
  <w:style w:type="character" w:styleId="Refdenotaalpie">
    <w:name w:val="footnote reference"/>
    <w:basedOn w:val="Fuentedeprrafopredeter"/>
    <w:uiPriority w:val="99"/>
    <w:semiHidden/>
    <w:unhideWhenUsed/>
    <w:rsid w:val="00D92920"/>
    <w:rPr>
      <w:vertAlign w:val="superscript"/>
    </w:rPr>
  </w:style>
  <w:style w:type="character" w:customStyle="1" w:styleId="Ttulo1Car">
    <w:name w:val="Título 1 Car"/>
    <w:basedOn w:val="Fuentedeprrafopredeter"/>
    <w:link w:val="Ttulo1"/>
    <w:uiPriority w:val="9"/>
    <w:rsid w:val="00645022"/>
    <w:rPr>
      <w:rFonts w:asciiTheme="majorHAnsi" w:eastAsiaTheme="majorEastAsia" w:hAnsiTheme="majorHAnsi" w:cstheme="majorBidi"/>
      <w:color w:val="2E74B5" w:themeColor="accent1" w:themeShade="BF"/>
      <w:sz w:val="32"/>
      <w:szCs w:val="32"/>
      <w:lang w:val="en-US"/>
    </w:rPr>
  </w:style>
  <w:style w:type="character" w:customStyle="1" w:styleId="Ttulo2Car">
    <w:name w:val="Título 2 Car"/>
    <w:basedOn w:val="Fuentedeprrafopredeter"/>
    <w:link w:val="Ttulo2"/>
    <w:uiPriority w:val="9"/>
    <w:rsid w:val="00645022"/>
    <w:rPr>
      <w:rFonts w:asciiTheme="majorHAnsi" w:eastAsiaTheme="majorEastAsia" w:hAnsiTheme="majorHAnsi" w:cstheme="majorBidi"/>
      <w:color w:val="2E74B5" w:themeColor="accent1" w:themeShade="BF"/>
      <w:sz w:val="26"/>
      <w:szCs w:val="26"/>
      <w:lang w:val="en-US"/>
    </w:rPr>
  </w:style>
  <w:style w:type="table" w:styleId="Cuadrculadetablaclara">
    <w:name w:val="Grid Table Light"/>
    <w:basedOn w:val="Tablanormal"/>
    <w:uiPriority w:val="40"/>
    <w:rsid w:val="006450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37392">
      <w:bodyDiv w:val="1"/>
      <w:marLeft w:val="0"/>
      <w:marRight w:val="0"/>
      <w:marTop w:val="0"/>
      <w:marBottom w:val="0"/>
      <w:divBdr>
        <w:top w:val="none" w:sz="0" w:space="0" w:color="auto"/>
        <w:left w:val="none" w:sz="0" w:space="0" w:color="auto"/>
        <w:bottom w:val="none" w:sz="0" w:space="0" w:color="auto"/>
        <w:right w:val="none" w:sz="0" w:space="0" w:color="auto"/>
      </w:divBdr>
      <w:divsChild>
        <w:div w:id="1722973721">
          <w:marLeft w:val="0"/>
          <w:marRight w:val="0"/>
          <w:marTop w:val="0"/>
          <w:marBottom w:val="0"/>
          <w:divBdr>
            <w:top w:val="none" w:sz="0" w:space="0" w:color="auto"/>
            <w:left w:val="none" w:sz="0" w:space="0" w:color="auto"/>
            <w:bottom w:val="none" w:sz="0" w:space="0" w:color="auto"/>
            <w:right w:val="none" w:sz="0" w:space="0" w:color="auto"/>
          </w:divBdr>
          <w:divsChild>
            <w:div w:id="339432106">
              <w:marLeft w:val="-225"/>
              <w:marRight w:val="-225"/>
              <w:marTop w:val="0"/>
              <w:marBottom w:val="0"/>
              <w:divBdr>
                <w:top w:val="none" w:sz="0" w:space="0" w:color="auto"/>
                <w:left w:val="none" w:sz="0" w:space="0" w:color="auto"/>
                <w:bottom w:val="none" w:sz="0" w:space="0" w:color="auto"/>
                <w:right w:val="none" w:sz="0" w:space="0" w:color="auto"/>
              </w:divBdr>
              <w:divsChild>
                <w:div w:id="1643004393">
                  <w:marLeft w:val="0"/>
                  <w:marRight w:val="0"/>
                  <w:marTop w:val="0"/>
                  <w:marBottom w:val="0"/>
                  <w:divBdr>
                    <w:top w:val="none" w:sz="0" w:space="0" w:color="auto"/>
                    <w:left w:val="none" w:sz="0" w:space="0" w:color="auto"/>
                    <w:bottom w:val="none" w:sz="0" w:space="0" w:color="auto"/>
                    <w:right w:val="none" w:sz="0" w:space="0" w:color="auto"/>
                  </w:divBdr>
                  <w:divsChild>
                    <w:div w:id="1678651354">
                      <w:marLeft w:val="-225"/>
                      <w:marRight w:val="-225"/>
                      <w:marTop w:val="0"/>
                      <w:marBottom w:val="0"/>
                      <w:divBdr>
                        <w:top w:val="none" w:sz="0" w:space="0" w:color="auto"/>
                        <w:left w:val="none" w:sz="0" w:space="0" w:color="auto"/>
                        <w:bottom w:val="none" w:sz="0" w:space="0" w:color="auto"/>
                        <w:right w:val="none" w:sz="0" w:space="0" w:color="auto"/>
                      </w:divBdr>
                      <w:divsChild>
                        <w:div w:id="1764297938">
                          <w:marLeft w:val="0"/>
                          <w:marRight w:val="0"/>
                          <w:marTop w:val="0"/>
                          <w:marBottom w:val="0"/>
                          <w:divBdr>
                            <w:top w:val="none" w:sz="0" w:space="0" w:color="auto"/>
                            <w:left w:val="none" w:sz="0" w:space="0" w:color="auto"/>
                            <w:bottom w:val="none" w:sz="0" w:space="0" w:color="auto"/>
                            <w:right w:val="none" w:sz="0" w:space="0" w:color="auto"/>
                          </w:divBdr>
                          <w:divsChild>
                            <w:div w:id="493763337">
                              <w:marLeft w:val="0"/>
                              <w:marRight w:val="0"/>
                              <w:marTop w:val="0"/>
                              <w:marBottom w:val="0"/>
                              <w:divBdr>
                                <w:top w:val="none" w:sz="0" w:space="0" w:color="auto"/>
                                <w:left w:val="none" w:sz="0" w:space="0" w:color="auto"/>
                                <w:bottom w:val="none" w:sz="0" w:space="0" w:color="auto"/>
                                <w:right w:val="none" w:sz="0" w:space="0" w:color="auto"/>
                              </w:divBdr>
                              <w:divsChild>
                                <w:div w:id="2067221170">
                                  <w:marLeft w:val="0"/>
                                  <w:marRight w:val="0"/>
                                  <w:marTop w:val="0"/>
                                  <w:marBottom w:val="0"/>
                                  <w:divBdr>
                                    <w:top w:val="none" w:sz="0" w:space="0" w:color="auto"/>
                                    <w:left w:val="none" w:sz="0" w:space="0" w:color="auto"/>
                                    <w:bottom w:val="none" w:sz="0" w:space="0" w:color="auto"/>
                                    <w:right w:val="none" w:sz="0" w:space="0" w:color="auto"/>
                                  </w:divBdr>
                                  <w:divsChild>
                                    <w:div w:id="77872886">
                                      <w:marLeft w:val="0"/>
                                      <w:marRight w:val="0"/>
                                      <w:marTop w:val="0"/>
                                      <w:marBottom w:val="0"/>
                                      <w:divBdr>
                                        <w:top w:val="none" w:sz="0" w:space="0" w:color="auto"/>
                                        <w:left w:val="none" w:sz="0" w:space="0" w:color="auto"/>
                                        <w:bottom w:val="none" w:sz="0" w:space="0" w:color="auto"/>
                                        <w:right w:val="none" w:sz="0" w:space="0" w:color="auto"/>
                                      </w:divBdr>
                                      <w:divsChild>
                                        <w:div w:id="1968049126">
                                          <w:marLeft w:val="0"/>
                                          <w:marRight w:val="0"/>
                                          <w:marTop w:val="0"/>
                                          <w:marBottom w:val="0"/>
                                          <w:divBdr>
                                            <w:top w:val="none" w:sz="0" w:space="0" w:color="auto"/>
                                            <w:left w:val="none" w:sz="0" w:space="0" w:color="auto"/>
                                            <w:bottom w:val="none" w:sz="0" w:space="0" w:color="auto"/>
                                            <w:right w:val="none" w:sz="0" w:space="0" w:color="auto"/>
                                          </w:divBdr>
                                          <w:divsChild>
                                            <w:div w:id="719595105">
                                              <w:marLeft w:val="0"/>
                                              <w:marRight w:val="0"/>
                                              <w:marTop w:val="0"/>
                                              <w:marBottom w:val="0"/>
                                              <w:divBdr>
                                                <w:top w:val="none" w:sz="0" w:space="0" w:color="auto"/>
                                                <w:left w:val="none" w:sz="0" w:space="0" w:color="auto"/>
                                                <w:bottom w:val="none" w:sz="0" w:space="0" w:color="auto"/>
                                                <w:right w:val="none" w:sz="0" w:space="0" w:color="auto"/>
                                              </w:divBdr>
                                              <w:divsChild>
                                                <w:div w:id="1582523500">
                                                  <w:marLeft w:val="0"/>
                                                  <w:marRight w:val="0"/>
                                                  <w:marTop w:val="0"/>
                                                  <w:marBottom w:val="0"/>
                                                  <w:divBdr>
                                                    <w:top w:val="single" w:sz="6" w:space="8" w:color="CACACF"/>
                                                    <w:left w:val="single" w:sz="6" w:space="11" w:color="CACACF"/>
                                                    <w:bottom w:val="single" w:sz="6" w:space="8" w:color="CACACF"/>
                                                    <w:right w:val="single" w:sz="6" w:space="11" w:color="CACACF"/>
                                                  </w:divBdr>
                                                  <w:divsChild>
                                                    <w:div w:id="3892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6464543">
      <w:bodyDiv w:val="1"/>
      <w:marLeft w:val="0"/>
      <w:marRight w:val="0"/>
      <w:marTop w:val="0"/>
      <w:marBottom w:val="0"/>
      <w:divBdr>
        <w:top w:val="none" w:sz="0" w:space="0" w:color="auto"/>
        <w:left w:val="none" w:sz="0" w:space="0" w:color="auto"/>
        <w:bottom w:val="none" w:sz="0" w:space="0" w:color="auto"/>
        <w:right w:val="none" w:sz="0" w:space="0" w:color="auto"/>
      </w:divBdr>
      <w:divsChild>
        <w:div w:id="867136164">
          <w:marLeft w:val="0"/>
          <w:marRight w:val="0"/>
          <w:marTop w:val="0"/>
          <w:marBottom w:val="0"/>
          <w:divBdr>
            <w:top w:val="none" w:sz="0" w:space="0" w:color="auto"/>
            <w:left w:val="none" w:sz="0" w:space="0" w:color="auto"/>
            <w:bottom w:val="none" w:sz="0" w:space="0" w:color="auto"/>
            <w:right w:val="none" w:sz="0" w:space="0" w:color="auto"/>
          </w:divBdr>
          <w:divsChild>
            <w:div w:id="2134210640">
              <w:marLeft w:val="-225"/>
              <w:marRight w:val="-225"/>
              <w:marTop w:val="0"/>
              <w:marBottom w:val="0"/>
              <w:divBdr>
                <w:top w:val="none" w:sz="0" w:space="0" w:color="auto"/>
                <w:left w:val="none" w:sz="0" w:space="0" w:color="auto"/>
                <w:bottom w:val="none" w:sz="0" w:space="0" w:color="auto"/>
                <w:right w:val="none" w:sz="0" w:space="0" w:color="auto"/>
              </w:divBdr>
              <w:divsChild>
                <w:div w:id="1486126058">
                  <w:marLeft w:val="0"/>
                  <w:marRight w:val="0"/>
                  <w:marTop w:val="0"/>
                  <w:marBottom w:val="0"/>
                  <w:divBdr>
                    <w:top w:val="none" w:sz="0" w:space="0" w:color="auto"/>
                    <w:left w:val="none" w:sz="0" w:space="0" w:color="auto"/>
                    <w:bottom w:val="none" w:sz="0" w:space="0" w:color="auto"/>
                    <w:right w:val="none" w:sz="0" w:space="0" w:color="auto"/>
                  </w:divBdr>
                  <w:divsChild>
                    <w:div w:id="315956465">
                      <w:marLeft w:val="-225"/>
                      <w:marRight w:val="-225"/>
                      <w:marTop w:val="0"/>
                      <w:marBottom w:val="0"/>
                      <w:divBdr>
                        <w:top w:val="none" w:sz="0" w:space="0" w:color="auto"/>
                        <w:left w:val="none" w:sz="0" w:space="0" w:color="auto"/>
                        <w:bottom w:val="none" w:sz="0" w:space="0" w:color="auto"/>
                        <w:right w:val="none" w:sz="0" w:space="0" w:color="auto"/>
                      </w:divBdr>
                      <w:divsChild>
                        <w:div w:id="2073262406">
                          <w:marLeft w:val="0"/>
                          <w:marRight w:val="0"/>
                          <w:marTop w:val="0"/>
                          <w:marBottom w:val="0"/>
                          <w:divBdr>
                            <w:top w:val="none" w:sz="0" w:space="0" w:color="auto"/>
                            <w:left w:val="none" w:sz="0" w:space="0" w:color="auto"/>
                            <w:bottom w:val="none" w:sz="0" w:space="0" w:color="auto"/>
                            <w:right w:val="none" w:sz="0" w:space="0" w:color="auto"/>
                          </w:divBdr>
                          <w:divsChild>
                            <w:div w:id="950937005">
                              <w:marLeft w:val="0"/>
                              <w:marRight w:val="0"/>
                              <w:marTop w:val="0"/>
                              <w:marBottom w:val="0"/>
                              <w:divBdr>
                                <w:top w:val="none" w:sz="0" w:space="0" w:color="auto"/>
                                <w:left w:val="none" w:sz="0" w:space="0" w:color="auto"/>
                                <w:bottom w:val="none" w:sz="0" w:space="0" w:color="auto"/>
                                <w:right w:val="none" w:sz="0" w:space="0" w:color="auto"/>
                              </w:divBdr>
                              <w:divsChild>
                                <w:div w:id="1414427487">
                                  <w:marLeft w:val="0"/>
                                  <w:marRight w:val="0"/>
                                  <w:marTop w:val="0"/>
                                  <w:marBottom w:val="0"/>
                                  <w:divBdr>
                                    <w:top w:val="none" w:sz="0" w:space="0" w:color="auto"/>
                                    <w:left w:val="none" w:sz="0" w:space="0" w:color="auto"/>
                                    <w:bottom w:val="none" w:sz="0" w:space="0" w:color="auto"/>
                                    <w:right w:val="none" w:sz="0" w:space="0" w:color="auto"/>
                                  </w:divBdr>
                                  <w:divsChild>
                                    <w:div w:id="1770395555">
                                      <w:marLeft w:val="0"/>
                                      <w:marRight w:val="0"/>
                                      <w:marTop w:val="0"/>
                                      <w:marBottom w:val="0"/>
                                      <w:divBdr>
                                        <w:top w:val="none" w:sz="0" w:space="0" w:color="auto"/>
                                        <w:left w:val="none" w:sz="0" w:space="0" w:color="auto"/>
                                        <w:bottom w:val="none" w:sz="0" w:space="0" w:color="auto"/>
                                        <w:right w:val="none" w:sz="0" w:space="0" w:color="auto"/>
                                      </w:divBdr>
                                      <w:divsChild>
                                        <w:div w:id="250241554">
                                          <w:marLeft w:val="0"/>
                                          <w:marRight w:val="0"/>
                                          <w:marTop w:val="0"/>
                                          <w:marBottom w:val="0"/>
                                          <w:divBdr>
                                            <w:top w:val="none" w:sz="0" w:space="0" w:color="auto"/>
                                            <w:left w:val="none" w:sz="0" w:space="0" w:color="auto"/>
                                            <w:bottom w:val="none" w:sz="0" w:space="0" w:color="auto"/>
                                            <w:right w:val="none" w:sz="0" w:space="0" w:color="auto"/>
                                          </w:divBdr>
                                          <w:divsChild>
                                            <w:div w:id="246815703">
                                              <w:marLeft w:val="0"/>
                                              <w:marRight w:val="0"/>
                                              <w:marTop w:val="0"/>
                                              <w:marBottom w:val="0"/>
                                              <w:divBdr>
                                                <w:top w:val="none" w:sz="0" w:space="0" w:color="auto"/>
                                                <w:left w:val="none" w:sz="0" w:space="0" w:color="auto"/>
                                                <w:bottom w:val="none" w:sz="0" w:space="0" w:color="auto"/>
                                                <w:right w:val="none" w:sz="0" w:space="0" w:color="auto"/>
                                              </w:divBdr>
                                              <w:divsChild>
                                                <w:div w:id="1645619567">
                                                  <w:marLeft w:val="0"/>
                                                  <w:marRight w:val="0"/>
                                                  <w:marTop w:val="0"/>
                                                  <w:marBottom w:val="0"/>
                                                  <w:divBdr>
                                                    <w:top w:val="single" w:sz="6" w:space="8" w:color="CACACF"/>
                                                    <w:left w:val="single" w:sz="6" w:space="11" w:color="CACACF"/>
                                                    <w:bottom w:val="single" w:sz="6" w:space="8" w:color="CACACF"/>
                                                    <w:right w:val="single" w:sz="6" w:space="11" w:color="CACACF"/>
                                                  </w:divBdr>
                                                  <w:divsChild>
                                                    <w:div w:id="18782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174937">
      <w:bodyDiv w:val="1"/>
      <w:marLeft w:val="0"/>
      <w:marRight w:val="0"/>
      <w:marTop w:val="0"/>
      <w:marBottom w:val="0"/>
      <w:divBdr>
        <w:top w:val="none" w:sz="0" w:space="0" w:color="auto"/>
        <w:left w:val="none" w:sz="0" w:space="0" w:color="auto"/>
        <w:bottom w:val="none" w:sz="0" w:space="0" w:color="auto"/>
        <w:right w:val="none" w:sz="0" w:space="0" w:color="auto"/>
      </w:divBdr>
    </w:div>
    <w:div w:id="2106030316">
      <w:bodyDiv w:val="1"/>
      <w:marLeft w:val="0"/>
      <w:marRight w:val="0"/>
      <w:marTop w:val="0"/>
      <w:marBottom w:val="0"/>
      <w:divBdr>
        <w:top w:val="none" w:sz="0" w:space="0" w:color="auto"/>
        <w:left w:val="none" w:sz="0" w:space="0" w:color="auto"/>
        <w:bottom w:val="none" w:sz="0" w:space="0" w:color="auto"/>
        <w:right w:val="none" w:sz="0" w:space="0" w:color="auto"/>
      </w:divBdr>
      <w:divsChild>
        <w:div w:id="118687678">
          <w:marLeft w:val="0"/>
          <w:marRight w:val="0"/>
          <w:marTop w:val="0"/>
          <w:marBottom w:val="0"/>
          <w:divBdr>
            <w:top w:val="none" w:sz="0" w:space="0" w:color="auto"/>
            <w:left w:val="none" w:sz="0" w:space="0" w:color="auto"/>
            <w:bottom w:val="none" w:sz="0" w:space="0" w:color="auto"/>
            <w:right w:val="none" w:sz="0" w:space="0" w:color="auto"/>
          </w:divBdr>
          <w:divsChild>
            <w:div w:id="1883591289">
              <w:marLeft w:val="-225"/>
              <w:marRight w:val="-225"/>
              <w:marTop w:val="0"/>
              <w:marBottom w:val="0"/>
              <w:divBdr>
                <w:top w:val="none" w:sz="0" w:space="0" w:color="auto"/>
                <w:left w:val="none" w:sz="0" w:space="0" w:color="auto"/>
                <w:bottom w:val="none" w:sz="0" w:space="0" w:color="auto"/>
                <w:right w:val="none" w:sz="0" w:space="0" w:color="auto"/>
              </w:divBdr>
              <w:divsChild>
                <w:div w:id="2086535888">
                  <w:marLeft w:val="0"/>
                  <w:marRight w:val="0"/>
                  <w:marTop w:val="0"/>
                  <w:marBottom w:val="0"/>
                  <w:divBdr>
                    <w:top w:val="none" w:sz="0" w:space="0" w:color="auto"/>
                    <w:left w:val="none" w:sz="0" w:space="0" w:color="auto"/>
                    <w:bottom w:val="none" w:sz="0" w:space="0" w:color="auto"/>
                    <w:right w:val="none" w:sz="0" w:space="0" w:color="auto"/>
                  </w:divBdr>
                  <w:divsChild>
                    <w:div w:id="1232816320">
                      <w:marLeft w:val="-225"/>
                      <w:marRight w:val="-225"/>
                      <w:marTop w:val="0"/>
                      <w:marBottom w:val="0"/>
                      <w:divBdr>
                        <w:top w:val="none" w:sz="0" w:space="0" w:color="auto"/>
                        <w:left w:val="none" w:sz="0" w:space="0" w:color="auto"/>
                        <w:bottom w:val="none" w:sz="0" w:space="0" w:color="auto"/>
                        <w:right w:val="none" w:sz="0" w:space="0" w:color="auto"/>
                      </w:divBdr>
                      <w:divsChild>
                        <w:div w:id="950548035">
                          <w:marLeft w:val="0"/>
                          <w:marRight w:val="0"/>
                          <w:marTop w:val="0"/>
                          <w:marBottom w:val="0"/>
                          <w:divBdr>
                            <w:top w:val="none" w:sz="0" w:space="0" w:color="auto"/>
                            <w:left w:val="none" w:sz="0" w:space="0" w:color="auto"/>
                            <w:bottom w:val="none" w:sz="0" w:space="0" w:color="auto"/>
                            <w:right w:val="none" w:sz="0" w:space="0" w:color="auto"/>
                          </w:divBdr>
                          <w:divsChild>
                            <w:div w:id="1874538040">
                              <w:marLeft w:val="0"/>
                              <w:marRight w:val="0"/>
                              <w:marTop w:val="0"/>
                              <w:marBottom w:val="0"/>
                              <w:divBdr>
                                <w:top w:val="none" w:sz="0" w:space="0" w:color="auto"/>
                                <w:left w:val="none" w:sz="0" w:space="0" w:color="auto"/>
                                <w:bottom w:val="none" w:sz="0" w:space="0" w:color="auto"/>
                                <w:right w:val="none" w:sz="0" w:space="0" w:color="auto"/>
                              </w:divBdr>
                              <w:divsChild>
                                <w:div w:id="940526970">
                                  <w:marLeft w:val="0"/>
                                  <w:marRight w:val="0"/>
                                  <w:marTop w:val="0"/>
                                  <w:marBottom w:val="0"/>
                                  <w:divBdr>
                                    <w:top w:val="none" w:sz="0" w:space="0" w:color="auto"/>
                                    <w:left w:val="none" w:sz="0" w:space="0" w:color="auto"/>
                                    <w:bottom w:val="none" w:sz="0" w:space="0" w:color="auto"/>
                                    <w:right w:val="none" w:sz="0" w:space="0" w:color="auto"/>
                                  </w:divBdr>
                                  <w:divsChild>
                                    <w:div w:id="42952643">
                                      <w:marLeft w:val="0"/>
                                      <w:marRight w:val="0"/>
                                      <w:marTop w:val="0"/>
                                      <w:marBottom w:val="0"/>
                                      <w:divBdr>
                                        <w:top w:val="none" w:sz="0" w:space="0" w:color="auto"/>
                                        <w:left w:val="none" w:sz="0" w:space="0" w:color="auto"/>
                                        <w:bottom w:val="none" w:sz="0" w:space="0" w:color="auto"/>
                                        <w:right w:val="none" w:sz="0" w:space="0" w:color="auto"/>
                                      </w:divBdr>
                                      <w:divsChild>
                                        <w:div w:id="953291120">
                                          <w:marLeft w:val="0"/>
                                          <w:marRight w:val="0"/>
                                          <w:marTop w:val="0"/>
                                          <w:marBottom w:val="0"/>
                                          <w:divBdr>
                                            <w:top w:val="none" w:sz="0" w:space="0" w:color="auto"/>
                                            <w:left w:val="none" w:sz="0" w:space="0" w:color="auto"/>
                                            <w:bottom w:val="none" w:sz="0" w:space="0" w:color="auto"/>
                                            <w:right w:val="none" w:sz="0" w:space="0" w:color="auto"/>
                                          </w:divBdr>
                                          <w:divsChild>
                                            <w:div w:id="832570123">
                                              <w:marLeft w:val="0"/>
                                              <w:marRight w:val="0"/>
                                              <w:marTop w:val="0"/>
                                              <w:marBottom w:val="0"/>
                                              <w:divBdr>
                                                <w:top w:val="none" w:sz="0" w:space="0" w:color="auto"/>
                                                <w:left w:val="none" w:sz="0" w:space="0" w:color="auto"/>
                                                <w:bottom w:val="none" w:sz="0" w:space="0" w:color="auto"/>
                                                <w:right w:val="none" w:sz="0" w:space="0" w:color="auto"/>
                                              </w:divBdr>
                                              <w:divsChild>
                                                <w:div w:id="234515842">
                                                  <w:marLeft w:val="0"/>
                                                  <w:marRight w:val="0"/>
                                                  <w:marTop w:val="0"/>
                                                  <w:marBottom w:val="0"/>
                                                  <w:divBdr>
                                                    <w:top w:val="single" w:sz="6" w:space="8" w:color="CACACF"/>
                                                    <w:left w:val="single" w:sz="6" w:space="11" w:color="CACACF"/>
                                                    <w:bottom w:val="single" w:sz="6" w:space="8" w:color="CACACF"/>
                                                    <w:right w:val="single" w:sz="6" w:space="11" w:color="CACACF"/>
                                                  </w:divBdr>
                                                  <w:divsChild>
                                                    <w:div w:id="14832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ft.org.mx/industria/tramites-y-servicios/inventario/solicitud-de-acceso-al-sistema-electronico-de-registro-de-tarifas-del-registro-publico-de" TargetMode="External"/><Relationship Id="rId18" Type="http://schemas.openxmlformats.org/officeDocument/2006/relationships/hyperlink" Target="http://www.ift.org.mx/tramites/solicitud-de-registro-de-representantes-legales-despues-de-los-primeros-registrados-en-autorizacion" TargetMode="External"/><Relationship Id="rId3" Type="http://schemas.openxmlformats.org/officeDocument/2006/relationships/styles" Target="styles.xml"/><Relationship Id="rId21" Type="http://schemas.openxmlformats.org/officeDocument/2006/relationships/hyperlink" Target="http://www.ift.org.mx/tramites/solicitud-de-acreditacion-de-representante-legal-despues-de-los-primeramente-designados-en-permisos" TargetMode="External"/><Relationship Id="rId7" Type="http://schemas.openxmlformats.org/officeDocument/2006/relationships/endnotes" Target="endnotes.xml"/><Relationship Id="rId12" Type="http://schemas.openxmlformats.org/officeDocument/2006/relationships/hyperlink" Target="http://www.ift.org.mx/tramites/presentacion-de-la-estructura-accionaria-o-de-partes-sociales-de-los-concesionarios-de-los-sectores" TargetMode="External"/><Relationship Id="rId17" Type="http://schemas.openxmlformats.org/officeDocument/2006/relationships/hyperlink" Target="http://www.ift.org.mx/tramites/solicitud-de-autorizacion-de-representantes-legales-de-los-concesionarios-yo-permisionarios-en" TargetMode="External"/><Relationship Id="rId2" Type="http://schemas.openxmlformats.org/officeDocument/2006/relationships/numbering" Target="numbering.xml"/><Relationship Id="rId16" Type="http://schemas.openxmlformats.org/officeDocument/2006/relationships/hyperlink" Target="http://www.ift.org.mx/tramites/presentacion-del-aviso-de-modificacion-de-estatuto-social-en-relacion-al-articulo-112-de-la-ley" TargetMode="External"/><Relationship Id="rId20" Type="http://schemas.openxmlformats.org/officeDocument/2006/relationships/hyperlink" Target="http://www.ift.org.mx/tramites/solicitud-de-aprobacion-de-contratos-de-los-autorizados-para-establecer-y-operar-o-explotar-u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t.org.mx/industria/tramites-y-servicios/inventario/presentacion-de-renuncia-de-permiso-o-conces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ft.org.mx/tramites/presentacion-del-aviso-de-suscripcion-o-enajenacion-de-acciones-o-partes-sociales-de-los" TargetMode="External"/><Relationship Id="rId23" Type="http://schemas.openxmlformats.org/officeDocument/2006/relationships/fontTable" Target="fontTable.xml"/><Relationship Id="rId10" Type="http://schemas.openxmlformats.org/officeDocument/2006/relationships/hyperlink" Target="http://www.ift.org.mx/industria/tramites-y-servicios/inventario/presentacion-del-informe-respecto-de-la-instalacion-de-una-o-mas-centrales-de-larga-distancia" TargetMode="External"/><Relationship Id="rId19" Type="http://schemas.openxmlformats.org/officeDocument/2006/relationships/hyperlink" Target="http://www.ift.org.mx/tramites/solicitud-de-aprobacion-de-ampliacion-de-plazos-para-el-cumplimiento-de-obligaciones-establecidas-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ft.org.mx/tramites/solicitud-de-autorizacion-de-suscripcion-o-enajenacion-de-acciones-o-partes-sociales-de-los" TargetMode="External"/><Relationship Id="rId22" Type="http://schemas.openxmlformats.org/officeDocument/2006/relationships/hyperlink" Target="http://www.ift.org.mx/tramites/solicitud-de-aprobacion-de-modificaciones-tecnicas-de-autorizaciones-para-establecer-y-oper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A046E-5819-4702-88D0-3806B365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3274</Words>
  <Characters>18009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Bello</dc:creator>
  <cp:keywords/>
  <dc:description/>
  <cp:lastModifiedBy>Maria del Consuelo Gonzalez Moreno</cp:lastModifiedBy>
  <cp:revision>8</cp:revision>
  <dcterms:created xsi:type="dcterms:W3CDTF">2017-02-10T18:15:00Z</dcterms:created>
  <dcterms:modified xsi:type="dcterms:W3CDTF">2017-02-20T20:00:00Z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