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ECCE" w14:textId="71AE158D" w:rsidR="00066FA2" w:rsidRPr="007F5CF4" w:rsidRDefault="001D4F0A" w:rsidP="007F5CF4">
      <w:pPr>
        <w:pStyle w:val="Ttulo1"/>
        <w:spacing w:after="240"/>
        <w:jc w:val="both"/>
        <w:rPr>
          <w:b/>
          <w:color w:val="auto"/>
          <w:sz w:val="24"/>
          <w:szCs w:val="24"/>
          <w:lang w:val="es-ES"/>
        </w:rPr>
      </w:pPr>
      <w:r w:rsidRPr="007F5CF4">
        <w:rPr>
          <w:b/>
          <w:color w:val="auto"/>
          <w:sz w:val="24"/>
          <w:szCs w:val="24"/>
          <w:lang w:val="es-ES"/>
        </w:rPr>
        <w:t xml:space="preserve">RECOMENDACIÓN QUE EMITE EL CONSEJO CONSULTIVO DEL INSTITUTO FEDERAL DE TELECOMUNICACIONES RESPECTO DE LAS MEJORAS EN LA REGULACIÓN DE DERECHOS DE VÍA COMO HABILITADOR DE LA CONSTRUCCIÓN DE INFRAESTRUCTURA DE FIBRA ÓPTICA.  </w:t>
      </w:r>
    </w:p>
    <w:p w14:paraId="33A94B7D" w14:textId="77777777" w:rsidR="002373E6" w:rsidRPr="00A1318D" w:rsidRDefault="002373E6"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I. Problemática.</w:t>
      </w:r>
    </w:p>
    <w:p w14:paraId="00C1D467" w14:textId="77777777" w:rsidR="008A5268" w:rsidRPr="00FB1C76" w:rsidRDefault="008A5268" w:rsidP="007F5CF4">
      <w:pPr>
        <w:spacing w:after="240" w:line="240" w:lineRule="auto"/>
        <w:jc w:val="both"/>
      </w:pPr>
      <w:r w:rsidRPr="00FB1C76">
        <w:t>México cuenta con unas 200 mil localidades y la mayoría de ellas totalmente incomunicadas. El esfuerzo por dar a los habitantes de estas localidades acceso el mundo digital pasa en gran medida por conectarlos a la “carretera de la información”: no hay banda ancha sin fibra óptica.</w:t>
      </w:r>
    </w:p>
    <w:p w14:paraId="26FE2CAA" w14:textId="77777777" w:rsidR="00187580" w:rsidRPr="00FB1C76" w:rsidRDefault="002373E6" w:rsidP="007F5CF4">
      <w:pPr>
        <w:spacing w:after="240" w:line="240" w:lineRule="auto"/>
        <w:jc w:val="both"/>
      </w:pPr>
      <w:r w:rsidRPr="00FB1C76">
        <w:t>Un elemento necesario para la creación de infraestructura de redes troncales</w:t>
      </w:r>
      <w:r w:rsidR="008A5268" w:rsidRPr="00FB1C76">
        <w:t xml:space="preserve"> de fibra óptica</w:t>
      </w:r>
      <w:r w:rsidR="000D1A62" w:rsidRPr="00FB1C76">
        <w:t>,</w:t>
      </w:r>
      <w:r w:rsidRPr="00FB1C76">
        <w:t xml:space="preserve"> son los derechos de vía</w:t>
      </w:r>
      <w:r w:rsidR="00187580" w:rsidRPr="00FB1C76">
        <w:t xml:space="preserve">.  Los constructores de redes de fibra afirman que la parte más difícil y costosa de la </w:t>
      </w:r>
      <w:r w:rsidR="000D1A62" w:rsidRPr="00FB1C76">
        <w:t>realización</w:t>
      </w:r>
      <w:r w:rsidR="00187580" w:rsidRPr="00FB1C76">
        <w:t xml:space="preserve"> de una obra </w:t>
      </w:r>
      <w:r w:rsidR="000D1A62" w:rsidRPr="00FB1C76">
        <w:t xml:space="preserve">de tendido de fibra </w:t>
      </w:r>
      <w:r w:rsidR="00187580" w:rsidRPr="00FB1C76">
        <w:t xml:space="preserve">son </w:t>
      </w:r>
      <w:r w:rsidR="00D30F28" w:rsidRPr="00FB1C76">
        <w:t>éstos</w:t>
      </w:r>
      <w:r w:rsidR="000D1A62" w:rsidRPr="00FB1C76">
        <w:t>,</w:t>
      </w:r>
      <w:r w:rsidR="00187580" w:rsidRPr="00FB1C76">
        <w:t xml:space="preserve"> ya que pueden llegar a presentar un costo de entre el 15% y 20% de</w:t>
      </w:r>
      <w:r w:rsidR="000D1A62" w:rsidRPr="00FB1C76">
        <w:t>l total de la</w:t>
      </w:r>
      <w:r w:rsidR="00187580" w:rsidRPr="00FB1C76">
        <w:t xml:space="preserve"> obra, así como retrasarla indefinidamente</w:t>
      </w:r>
      <w:r w:rsidR="00582DC1" w:rsidRPr="00FB1C76">
        <w:rPr>
          <w:rStyle w:val="Refdenotaalpie"/>
        </w:rPr>
        <w:footnoteReference w:id="1"/>
      </w:r>
      <w:r w:rsidR="00187580" w:rsidRPr="00FB1C76">
        <w:t xml:space="preserve">. </w:t>
      </w:r>
    </w:p>
    <w:p w14:paraId="000446E9" w14:textId="77777777" w:rsidR="001C15B6" w:rsidRPr="00FB1C76" w:rsidRDefault="00CD5F11" w:rsidP="007F5CF4">
      <w:pPr>
        <w:spacing w:after="240" w:line="240" w:lineRule="auto"/>
        <w:jc w:val="both"/>
      </w:pPr>
      <w:r w:rsidRPr="00FB1C76">
        <w:t xml:space="preserve">Es </w:t>
      </w:r>
      <w:r w:rsidR="001C15B6" w:rsidRPr="00FB1C76">
        <w:t>importante considerar que</w:t>
      </w:r>
      <w:r w:rsidRPr="00FB1C76">
        <w:t xml:space="preserve"> los espacios para tendido de fibra son limitados</w:t>
      </w:r>
      <w:r w:rsidR="001C15B6" w:rsidRPr="00FB1C76">
        <w:t>, es decir</w:t>
      </w:r>
      <w:r w:rsidR="00785A04" w:rsidRPr="00FB1C76">
        <w:t>,</w:t>
      </w:r>
      <w:r w:rsidR="001C15B6" w:rsidRPr="00FB1C76">
        <w:t xml:space="preserve"> no podemos construir cien ductos en una carretera,</w:t>
      </w:r>
      <w:r w:rsidRPr="00FB1C76">
        <w:t xml:space="preserve"> además de que es </w:t>
      </w:r>
      <w:r w:rsidR="008A5268" w:rsidRPr="00FB1C76">
        <w:t>ineficiente</w:t>
      </w:r>
      <w:r w:rsidRPr="00FB1C76">
        <w:t xml:space="preserve"> y costoso construir fibra donde ya existe disponibilidad,</w:t>
      </w:r>
      <w:r w:rsidR="001C15B6" w:rsidRPr="00FB1C76">
        <w:t xml:space="preserve"> o construir ductos donde ya los hay.</w:t>
      </w:r>
    </w:p>
    <w:p w14:paraId="3F210CC2" w14:textId="11DD82FA" w:rsidR="006932EA" w:rsidRPr="00FB1C76" w:rsidRDefault="008A5268" w:rsidP="007F5CF4">
      <w:pPr>
        <w:spacing w:after="240" w:line="240" w:lineRule="auto"/>
        <w:jc w:val="both"/>
      </w:pPr>
      <w:r w:rsidRPr="00FB1C76">
        <w:t xml:space="preserve">La red más importante de fibra en México es las del Agente </w:t>
      </w:r>
      <w:proofErr w:type="spellStart"/>
      <w:r w:rsidRPr="00FB1C76">
        <w:t>Econímico</w:t>
      </w:r>
      <w:proofErr w:type="spellEnd"/>
      <w:r w:rsidRPr="00FB1C76">
        <w:t xml:space="preserve"> Preponderante (AEP). La posibilidad de utilizar la infraestructura de dicho agente depende en gran medida</w:t>
      </w:r>
      <w:r w:rsidR="006932EA" w:rsidRPr="00FB1C76">
        <w:t xml:space="preserve"> de que se cuente con la información su inventario de red.  El plazo concedido</w:t>
      </w:r>
      <w:r w:rsidR="00453972" w:rsidRPr="00FB1C76">
        <w:t xml:space="preserve"> para la entrega de sus inventarios en el título de concesión </w:t>
      </w:r>
      <w:r w:rsidR="006932EA" w:rsidRPr="00FB1C76">
        <w:t xml:space="preserve">al AEP en </w:t>
      </w:r>
      <w:r w:rsidR="00453972" w:rsidRPr="00FB1C76">
        <w:t>su título de concesión</w:t>
      </w:r>
      <w:r w:rsidR="006932EA" w:rsidRPr="00FB1C76">
        <w:t xml:space="preserve"> es de dos años mientras que el que existe en los nuevos títulos de concesión es de sesenta días</w:t>
      </w:r>
      <w:r w:rsidR="00453972" w:rsidRPr="00FB1C76">
        <w:t>.</w:t>
      </w:r>
      <w:r w:rsidR="006932EA" w:rsidRPr="00FB1C76">
        <w:t xml:space="preserve"> </w:t>
      </w:r>
    </w:p>
    <w:p w14:paraId="71F341D5" w14:textId="77777777" w:rsidR="002426FF" w:rsidRPr="00FB1C76" w:rsidRDefault="006932EA" w:rsidP="007F5CF4">
      <w:pPr>
        <w:spacing w:after="240" w:line="240" w:lineRule="auto"/>
        <w:jc w:val="both"/>
      </w:pPr>
      <w:r w:rsidRPr="00FB1C76">
        <w:t xml:space="preserve"> </w:t>
      </w:r>
      <w:r w:rsidR="002426FF" w:rsidRPr="00FB1C76">
        <w:t xml:space="preserve">De acuerdo con lo anterior, </w:t>
      </w:r>
      <w:r w:rsidR="00D30F28" w:rsidRPr="00FB1C76">
        <w:t>hemos clasificado</w:t>
      </w:r>
      <w:r w:rsidR="002426FF" w:rsidRPr="00FB1C76">
        <w:t xml:space="preserve"> los problemas que se enfrentan en la infraestructura de redes de alta capacidad en los siguientes grupos:</w:t>
      </w:r>
    </w:p>
    <w:p w14:paraId="1C31861C" w14:textId="77777777" w:rsidR="002426FF" w:rsidRPr="00A1318D" w:rsidRDefault="002426FF" w:rsidP="00A1318D">
      <w:pPr>
        <w:pStyle w:val="Ttulo3"/>
        <w:spacing w:before="240" w:after="240"/>
        <w:rPr>
          <w:color w:val="000000" w:themeColor="text1"/>
        </w:rPr>
      </w:pPr>
      <w:r w:rsidRPr="00A1318D">
        <w:rPr>
          <w:color w:val="000000" w:themeColor="text1"/>
        </w:rPr>
        <w:t xml:space="preserve">1. Problemas de acceso </w:t>
      </w:r>
      <w:proofErr w:type="gramStart"/>
      <w:r w:rsidRPr="00A1318D">
        <w:rPr>
          <w:color w:val="000000" w:themeColor="text1"/>
        </w:rPr>
        <w:t>a</w:t>
      </w:r>
      <w:proofErr w:type="gramEnd"/>
      <w:r w:rsidRPr="00A1318D">
        <w:rPr>
          <w:color w:val="000000" w:themeColor="text1"/>
        </w:rPr>
        <w:t xml:space="preserve"> información: </w:t>
      </w:r>
    </w:p>
    <w:p w14:paraId="32F2B238" w14:textId="77777777" w:rsidR="002426FF" w:rsidRPr="00FB1C76" w:rsidRDefault="002426FF" w:rsidP="007F5CF4">
      <w:pPr>
        <w:pStyle w:val="Prrafodelista"/>
        <w:numPr>
          <w:ilvl w:val="0"/>
          <w:numId w:val="1"/>
        </w:numPr>
        <w:spacing w:after="240" w:line="240" w:lineRule="auto"/>
        <w:jc w:val="both"/>
      </w:pPr>
      <w:r w:rsidRPr="00FB1C76">
        <w:t>No existe información disponible sobre el tend</w:t>
      </w:r>
      <w:r w:rsidR="006932EA" w:rsidRPr="00FB1C76">
        <w:t xml:space="preserve">ido de redes de alta capacidad, especialmente la concerniente al AEP. </w:t>
      </w:r>
    </w:p>
    <w:p w14:paraId="23ABE437" w14:textId="77777777" w:rsidR="002426FF" w:rsidRPr="00FB1C76" w:rsidRDefault="002426FF" w:rsidP="007F5CF4">
      <w:pPr>
        <w:pStyle w:val="Prrafodelista"/>
        <w:numPr>
          <w:ilvl w:val="0"/>
          <w:numId w:val="1"/>
        </w:numPr>
        <w:spacing w:after="240" w:line="240" w:lineRule="auto"/>
        <w:jc w:val="both"/>
      </w:pPr>
      <w:r w:rsidRPr="00FB1C76">
        <w:t>No existe información sobre los ductos y su disponibilidad.</w:t>
      </w:r>
    </w:p>
    <w:p w14:paraId="145ECB9A" w14:textId="77777777" w:rsidR="0019375F" w:rsidRPr="00FB1C76" w:rsidRDefault="002426FF" w:rsidP="007F5CF4">
      <w:pPr>
        <w:pStyle w:val="Prrafodelista"/>
        <w:numPr>
          <w:ilvl w:val="0"/>
          <w:numId w:val="1"/>
        </w:numPr>
        <w:spacing w:after="240" w:line="240" w:lineRule="auto"/>
        <w:jc w:val="both"/>
      </w:pPr>
      <w:r w:rsidRPr="00FB1C76">
        <w:t>No existe un registro de tarifas de derechos de vía o costos asociados.</w:t>
      </w:r>
    </w:p>
    <w:p w14:paraId="13B5A093" w14:textId="77777777" w:rsidR="002426FF" w:rsidRPr="00FB1C76" w:rsidRDefault="0019375F" w:rsidP="007F5CF4">
      <w:pPr>
        <w:pStyle w:val="Prrafodelista"/>
        <w:numPr>
          <w:ilvl w:val="0"/>
          <w:numId w:val="1"/>
        </w:numPr>
        <w:spacing w:after="240" w:line="240" w:lineRule="auto"/>
        <w:jc w:val="both"/>
      </w:pPr>
      <w:r w:rsidRPr="00FB1C76">
        <w:t>No existe una tarifa general y algunos municipios busca</w:t>
      </w:r>
      <w:r w:rsidR="008A5268" w:rsidRPr="00FB1C76">
        <w:t>n</w:t>
      </w:r>
      <w:r w:rsidRPr="00FB1C76">
        <w:t xml:space="preserve"> cobrar hasta $5,000.00 por m.</w:t>
      </w:r>
    </w:p>
    <w:p w14:paraId="39DDE1C6" w14:textId="77777777" w:rsidR="002426FF" w:rsidRPr="00A1318D" w:rsidRDefault="0019375F" w:rsidP="00A1318D">
      <w:pPr>
        <w:pStyle w:val="Ttulo3"/>
        <w:spacing w:before="240" w:after="240"/>
        <w:rPr>
          <w:color w:val="000000" w:themeColor="text1"/>
        </w:rPr>
      </w:pPr>
      <w:r w:rsidRPr="00A1318D">
        <w:rPr>
          <w:color w:val="000000" w:themeColor="text1"/>
        </w:rPr>
        <w:t xml:space="preserve">2. </w:t>
      </w:r>
      <w:r w:rsidR="002426FF" w:rsidRPr="00A1318D">
        <w:rPr>
          <w:color w:val="000000" w:themeColor="text1"/>
        </w:rPr>
        <w:t>Problemas de acceso a infraestructura:</w:t>
      </w:r>
    </w:p>
    <w:p w14:paraId="102B2F84" w14:textId="41BDD70C" w:rsidR="0019375F" w:rsidRPr="00FB1C76" w:rsidRDefault="0019375F" w:rsidP="007F5CF4">
      <w:pPr>
        <w:pStyle w:val="Prrafodelista"/>
        <w:numPr>
          <w:ilvl w:val="0"/>
          <w:numId w:val="2"/>
        </w:numPr>
        <w:spacing w:after="240" w:line="240" w:lineRule="auto"/>
        <w:jc w:val="both"/>
      </w:pPr>
      <w:r w:rsidRPr="00FB1C76">
        <w:t xml:space="preserve">A pesar de que se ha instrumentado un nuevo esquema de construcción en autopistas que incorpora </w:t>
      </w:r>
      <w:proofErr w:type="spellStart"/>
      <w:r w:rsidRPr="00FB1C76">
        <w:t>triductos</w:t>
      </w:r>
      <w:proofErr w:type="spellEnd"/>
      <w:r w:rsidRPr="00FB1C76">
        <w:t xml:space="preserve"> en éstas, no existe información transparente sobre su disponibilidad y sus costos, lo que lleva a tener que negociar caso por caso, habiendo ocasiones en que es </w:t>
      </w:r>
      <w:r w:rsidR="00D30F28" w:rsidRPr="00FB1C76">
        <w:lastRenderedPageBreak/>
        <w:t>más</w:t>
      </w:r>
      <w:r w:rsidRPr="00FB1C76">
        <w:t xml:space="preserve"> barato construir una zanja y meter ductos en una carretera federal, que tender fibra en una d</w:t>
      </w:r>
      <w:r w:rsidR="008A5268" w:rsidRPr="00FB1C76">
        <w:t>e cuota que ya cuenta con ellos</w:t>
      </w:r>
      <w:r w:rsidRPr="00FB1C76">
        <w:t>.</w:t>
      </w:r>
    </w:p>
    <w:p w14:paraId="63CA9279" w14:textId="77777777" w:rsidR="0019375F" w:rsidRPr="00FB1C76" w:rsidRDefault="0019375F" w:rsidP="007F5CF4">
      <w:pPr>
        <w:pStyle w:val="Prrafodelista"/>
        <w:numPr>
          <w:ilvl w:val="0"/>
          <w:numId w:val="2"/>
        </w:numPr>
        <w:spacing w:after="240" w:line="240" w:lineRule="auto"/>
        <w:jc w:val="both"/>
      </w:pPr>
      <w:r w:rsidRPr="00FB1C76">
        <w:t>No existen disposiciones que permitan que los ductos o fibra del Estado estén disponibles para concesionarios públicos y sociales.</w:t>
      </w:r>
    </w:p>
    <w:p w14:paraId="6D621CA6" w14:textId="731B6779" w:rsidR="0019375F" w:rsidRPr="00FB1C76" w:rsidRDefault="00015DBB" w:rsidP="007F5CF4">
      <w:pPr>
        <w:pStyle w:val="Prrafodelista"/>
        <w:numPr>
          <w:ilvl w:val="0"/>
          <w:numId w:val="2"/>
        </w:numPr>
        <w:spacing w:after="240" w:line="240" w:lineRule="auto"/>
        <w:jc w:val="both"/>
      </w:pPr>
      <w:r w:rsidRPr="00FB1C76">
        <w:t xml:space="preserve">Los mecanismos actuales de acceso a infraestructura esencial, son bloqueados a través de precios </w:t>
      </w:r>
      <w:r w:rsidR="00E71998" w:rsidRPr="00FB1C76">
        <w:t xml:space="preserve">altos </w:t>
      </w:r>
      <w:r w:rsidRPr="00FB1C76">
        <w:t>o escasez artificial.</w:t>
      </w:r>
    </w:p>
    <w:p w14:paraId="67F1ED56" w14:textId="77777777" w:rsidR="00015DBB" w:rsidRPr="00A1318D" w:rsidRDefault="0019375F" w:rsidP="00A1318D">
      <w:pPr>
        <w:pStyle w:val="Ttulo3"/>
        <w:spacing w:before="240" w:after="240"/>
        <w:rPr>
          <w:color w:val="000000" w:themeColor="text1"/>
        </w:rPr>
      </w:pPr>
      <w:r w:rsidRPr="00A1318D">
        <w:rPr>
          <w:color w:val="000000" w:themeColor="text1"/>
        </w:rPr>
        <w:t xml:space="preserve">3. </w:t>
      </w:r>
      <w:r w:rsidR="002426FF" w:rsidRPr="00A1318D">
        <w:rPr>
          <w:color w:val="000000" w:themeColor="text1"/>
        </w:rPr>
        <w:t>Problemas en la construcción de infraestructura:</w:t>
      </w:r>
    </w:p>
    <w:p w14:paraId="472ADEC6" w14:textId="77777777" w:rsidR="00015DBB" w:rsidRPr="00FB1C76" w:rsidRDefault="00015DBB" w:rsidP="007F5CF4">
      <w:pPr>
        <w:pStyle w:val="Prrafodelista"/>
        <w:numPr>
          <w:ilvl w:val="0"/>
          <w:numId w:val="3"/>
        </w:numPr>
        <w:spacing w:after="240" w:line="240" w:lineRule="auto"/>
        <w:jc w:val="both"/>
      </w:pPr>
      <w:r w:rsidRPr="00FB1C76">
        <w:t xml:space="preserve">Al no existir un registro de infraestructura en carreteras, la información sobre no afectación que solicita el Art. 6-A Del Reglamento de Aprovechamiento del Derecho de Vía en Carreteras Federales y Zonas Aledañas, depende de la que proporcione el concesionario que puede no darla o retrasarla. </w:t>
      </w:r>
      <w:r w:rsidR="00A748B2" w:rsidRPr="00FB1C76">
        <w:t>Es decir, no existen incentivos para que el concesionario entregue información veraz ni oportuna.</w:t>
      </w:r>
    </w:p>
    <w:p w14:paraId="52B1264C" w14:textId="77777777" w:rsidR="0058652F" w:rsidRPr="00FB1C76" w:rsidRDefault="00015DBB" w:rsidP="007F5CF4">
      <w:pPr>
        <w:pStyle w:val="Prrafodelista"/>
        <w:numPr>
          <w:ilvl w:val="0"/>
          <w:numId w:val="3"/>
        </w:numPr>
        <w:spacing w:after="240" w:line="240" w:lineRule="auto"/>
        <w:jc w:val="both"/>
      </w:pPr>
      <w:r w:rsidRPr="00FB1C76">
        <w:t xml:space="preserve">No existe una figura que resuelva con carácter imparcial las opiniones técnicas o conflictos </w:t>
      </w:r>
      <w:r w:rsidR="0058652F" w:rsidRPr="00FB1C76">
        <w:t xml:space="preserve">en costos entre el concesionario de autopista y quien solicita el permiso. </w:t>
      </w:r>
    </w:p>
    <w:p w14:paraId="71171FAD" w14:textId="77777777" w:rsidR="003E4D64" w:rsidRPr="00FB1C76" w:rsidRDefault="0058652F" w:rsidP="007F5CF4">
      <w:pPr>
        <w:pStyle w:val="Prrafodelista"/>
        <w:numPr>
          <w:ilvl w:val="0"/>
          <w:numId w:val="3"/>
        </w:numPr>
        <w:spacing w:after="240" w:line="240" w:lineRule="auto"/>
        <w:jc w:val="both"/>
      </w:pPr>
      <w:r w:rsidRPr="00FB1C76">
        <w:t xml:space="preserve">No existe una norma de construcción para </w:t>
      </w:r>
      <w:proofErr w:type="gramStart"/>
      <w:r w:rsidRPr="00FB1C76">
        <w:t>la</w:t>
      </w:r>
      <w:proofErr w:type="gramEnd"/>
      <w:r w:rsidRPr="00FB1C76">
        <w:t xml:space="preserve"> micro-zanja y </w:t>
      </w:r>
      <w:r w:rsidR="00D30F28" w:rsidRPr="00FB1C76">
        <w:t xml:space="preserve">en ocasiones </w:t>
      </w:r>
      <w:r w:rsidRPr="00FB1C76">
        <w:t>se exigen al constructor los mismos requisitos de excavación que para una tubería de gas</w:t>
      </w:r>
      <w:r w:rsidR="00A748B2" w:rsidRPr="00FB1C76">
        <w:t>, siendo que los riesgos asociados con la construcción de cada ducto son radicalmente distintos</w:t>
      </w:r>
      <w:r w:rsidRPr="00FB1C76">
        <w:t xml:space="preserve">.  </w:t>
      </w:r>
    </w:p>
    <w:p w14:paraId="1F272989" w14:textId="77777777" w:rsidR="009757EC" w:rsidRPr="00A1318D" w:rsidRDefault="00B74A83" w:rsidP="00A1318D">
      <w:pPr>
        <w:pStyle w:val="Ttulo3"/>
        <w:spacing w:before="240" w:after="240"/>
        <w:rPr>
          <w:color w:val="000000" w:themeColor="text1"/>
        </w:rPr>
      </w:pPr>
      <w:r w:rsidRPr="00A1318D">
        <w:rPr>
          <w:color w:val="000000" w:themeColor="text1"/>
        </w:rPr>
        <w:t>4. Problemas en materia de competencia regulatoria</w:t>
      </w:r>
    </w:p>
    <w:p w14:paraId="3C711FA5" w14:textId="77777777" w:rsidR="00AE2950" w:rsidRPr="00FB1C76" w:rsidRDefault="00AE2950" w:rsidP="007F5CF4">
      <w:pPr>
        <w:pStyle w:val="Prrafodelista"/>
        <w:numPr>
          <w:ilvl w:val="0"/>
          <w:numId w:val="3"/>
        </w:numPr>
        <w:spacing w:after="240" w:line="240" w:lineRule="auto"/>
        <w:jc w:val="both"/>
      </w:pPr>
      <w:r w:rsidRPr="00FB1C76">
        <w:t>Como puede apreciarse en el tema de derechos de vía existen múltiples autoridades y niveles de gobierno dependiendo de quien tenga a cargo la vía de comunicación de que se trate.</w:t>
      </w:r>
    </w:p>
    <w:p w14:paraId="5AD7E398" w14:textId="77777777" w:rsidR="00E71998" w:rsidRPr="00FB1C76" w:rsidRDefault="00AE2950" w:rsidP="007F5CF4">
      <w:pPr>
        <w:pStyle w:val="Prrafodelista"/>
        <w:numPr>
          <w:ilvl w:val="0"/>
          <w:numId w:val="3"/>
        </w:numPr>
        <w:spacing w:after="240" w:line="240" w:lineRule="auto"/>
        <w:jc w:val="both"/>
      </w:pPr>
      <w:r w:rsidRPr="00FB1C76">
        <w:t>Es difícil establecer una autoridad competente única que resu</w:t>
      </w:r>
      <w:r w:rsidR="001F761F" w:rsidRPr="00FB1C76">
        <w:t>e</w:t>
      </w:r>
      <w:r w:rsidRPr="00FB1C76">
        <w:t xml:space="preserve">lva los conflictos en la materia pues dichas infraestructuras pueden ser de carácter federal, estatal, y municipal. </w:t>
      </w:r>
    </w:p>
    <w:p w14:paraId="27431237" w14:textId="77777777" w:rsidR="00AE2950" w:rsidRPr="00FB1C76" w:rsidRDefault="00AE2950" w:rsidP="007F5CF4">
      <w:pPr>
        <w:spacing w:after="240" w:line="240" w:lineRule="auto"/>
        <w:jc w:val="both"/>
      </w:pPr>
      <w:r w:rsidRPr="00FB1C76">
        <w:t xml:space="preserve">Este sin duda es el problema central de acuerdo con las consultas realizadas. </w:t>
      </w:r>
    </w:p>
    <w:p w14:paraId="5702402E" w14:textId="77777777" w:rsidR="003E4D64" w:rsidRPr="00A1318D" w:rsidRDefault="00177AD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II. Considerando.</w:t>
      </w:r>
    </w:p>
    <w:p w14:paraId="0C64FC15" w14:textId="77777777" w:rsidR="00177ADB" w:rsidRPr="00A1318D" w:rsidRDefault="00177ADB" w:rsidP="00A1318D">
      <w:pPr>
        <w:pStyle w:val="Ttulo3"/>
        <w:spacing w:before="240" w:after="240"/>
        <w:ind w:firstLine="708"/>
        <w:rPr>
          <w:color w:val="000000" w:themeColor="text1"/>
        </w:rPr>
      </w:pPr>
      <w:r w:rsidRPr="00A1318D">
        <w:rPr>
          <w:color w:val="000000" w:themeColor="text1"/>
        </w:rPr>
        <w:t xml:space="preserve">1. Competencia </w:t>
      </w:r>
      <w:proofErr w:type="gramStart"/>
      <w:r w:rsidRPr="00A1318D">
        <w:rPr>
          <w:color w:val="000000" w:themeColor="text1"/>
        </w:rPr>
        <w:t>del</w:t>
      </w:r>
      <w:proofErr w:type="gramEnd"/>
      <w:r w:rsidRPr="00A1318D">
        <w:rPr>
          <w:color w:val="000000" w:themeColor="text1"/>
        </w:rPr>
        <w:t xml:space="preserve"> I</w:t>
      </w:r>
      <w:r w:rsidR="00F5229D" w:rsidRPr="00A1318D">
        <w:rPr>
          <w:color w:val="000000" w:themeColor="text1"/>
        </w:rPr>
        <w:t>nstituto</w:t>
      </w:r>
      <w:r w:rsidRPr="00A1318D">
        <w:rPr>
          <w:color w:val="000000" w:themeColor="text1"/>
        </w:rPr>
        <w:t xml:space="preserve">. </w:t>
      </w:r>
    </w:p>
    <w:p w14:paraId="19275D2A" w14:textId="77777777" w:rsidR="004D17C8" w:rsidRPr="00FB1C76" w:rsidRDefault="00B70300" w:rsidP="007F5CF4">
      <w:pPr>
        <w:spacing w:after="240" w:line="240" w:lineRule="auto"/>
        <w:jc w:val="both"/>
      </w:pPr>
      <w:r w:rsidRPr="00FB1C76">
        <w:t>a) Las vías generales de comunicación,</w:t>
      </w:r>
      <w:r w:rsidR="004D17C8" w:rsidRPr="00FB1C76">
        <w:t xml:space="preserve"> en específico los derechos de vía</w:t>
      </w:r>
      <w:r w:rsidRPr="00FB1C76">
        <w:t xml:space="preserve"> constituyen</w:t>
      </w:r>
      <w:r w:rsidR="004D17C8" w:rsidRPr="00FB1C76">
        <w:t xml:space="preserve"> infraestructura pasiva </w:t>
      </w:r>
      <w:r w:rsidR="00177ADB" w:rsidRPr="00FB1C76">
        <w:t>de telecomunicaciones</w:t>
      </w:r>
      <w:r w:rsidR="00AE2950" w:rsidRPr="00FB1C76">
        <w:t xml:space="preserve"> </w:t>
      </w:r>
      <w:r w:rsidR="004D17C8" w:rsidRPr="00FB1C76">
        <w:t>(Art 3º Frac. XXVIII LFTR).</w:t>
      </w:r>
    </w:p>
    <w:p w14:paraId="162DDC31" w14:textId="77777777" w:rsidR="003E4D64" w:rsidRPr="00FB1C76" w:rsidRDefault="004D17C8" w:rsidP="007F5CF4">
      <w:pPr>
        <w:spacing w:after="240" w:line="240" w:lineRule="auto"/>
        <w:jc w:val="both"/>
      </w:pPr>
      <w:r w:rsidRPr="00FB1C76">
        <w:t xml:space="preserve">b) Dicha infraestructura pasiva consiste en un </w:t>
      </w:r>
      <w:r w:rsidR="00B70300" w:rsidRPr="00FB1C76">
        <w:t xml:space="preserve">insumo esencial, ya que desde el puno de </w:t>
      </w:r>
      <w:r w:rsidR="001272FC" w:rsidRPr="00FB1C76">
        <w:t>vista técnico legal y económico, no es viable su reproducción por otro agente económico y resulta ind</w:t>
      </w:r>
      <w:r w:rsidR="001F761F" w:rsidRPr="00FB1C76">
        <w:t>i</w:t>
      </w:r>
      <w:r w:rsidR="001272FC" w:rsidRPr="00FB1C76">
        <w:t xml:space="preserve">spensable para la provisión de bienes o servicios en el mercado de telecomunicaciones, siendo su único bien sustituto la </w:t>
      </w:r>
      <w:proofErr w:type="spellStart"/>
      <w:r w:rsidR="001272FC" w:rsidRPr="00FB1C76">
        <w:t>postería</w:t>
      </w:r>
      <w:proofErr w:type="spellEnd"/>
      <w:r w:rsidR="00785A04" w:rsidRPr="00FB1C76">
        <w:t>,</w:t>
      </w:r>
      <w:r w:rsidR="001272FC" w:rsidRPr="00FB1C76">
        <w:t xml:space="preserve"> que igualmente constituye un insumo esencial. (Art.60 LFCE)</w:t>
      </w:r>
      <w:r w:rsidRPr="00FB1C76">
        <w:t xml:space="preserve">. </w:t>
      </w:r>
    </w:p>
    <w:p w14:paraId="786505A9" w14:textId="77777777" w:rsidR="00177ADB" w:rsidRPr="00FB1C76" w:rsidRDefault="004D17C8" w:rsidP="007F5CF4">
      <w:pPr>
        <w:spacing w:after="240" w:line="240" w:lineRule="auto"/>
        <w:jc w:val="both"/>
      </w:pPr>
      <w:r w:rsidRPr="00FB1C76">
        <w:lastRenderedPageBreak/>
        <w:t>c) El Instituto es competente para regular el acceso a infraestructura pasiva e insumos esenciale</w:t>
      </w:r>
      <w:r w:rsidR="00177ADB" w:rsidRPr="00FB1C76">
        <w:t xml:space="preserve">s del mercado de telecomunicaciones y autoridad en materia de competencia económica </w:t>
      </w:r>
      <w:r w:rsidR="00785A04" w:rsidRPr="00FB1C76">
        <w:t>p</w:t>
      </w:r>
      <w:r w:rsidR="00177ADB" w:rsidRPr="00FB1C76">
        <w:t xml:space="preserve">ara estos efectos. (Art. 7 LFTR). </w:t>
      </w:r>
    </w:p>
    <w:p w14:paraId="569717A2" w14:textId="77777777" w:rsidR="00F5229D" w:rsidRPr="00FB1C76" w:rsidRDefault="00F5229D" w:rsidP="007F5CF4">
      <w:pPr>
        <w:spacing w:after="240" w:line="240" w:lineRule="auto"/>
        <w:jc w:val="both"/>
      </w:pPr>
      <w:r w:rsidRPr="00FB1C76">
        <w:t>d) En materia de insumos esenciales</w:t>
      </w:r>
      <w:r w:rsidR="00785A04" w:rsidRPr="00FB1C76">
        <w:t>,</w:t>
      </w:r>
      <w:r w:rsidRPr="00FB1C76">
        <w:t xml:space="preserve"> el Instituto podrá emitir lineamientos, que determinen, según sea el caso: acceso, tarifas, condiciones técnicas, etc. </w:t>
      </w:r>
      <w:r w:rsidR="00066FA2" w:rsidRPr="00FB1C76">
        <w:t>(Art. 9</w:t>
      </w:r>
      <w:r w:rsidR="009757EC" w:rsidRPr="00FB1C76">
        <w:t xml:space="preserve">4 </w:t>
      </w:r>
      <w:proofErr w:type="spellStart"/>
      <w:r w:rsidR="009757EC" w:rsidRPr="00FB1C76">
        <w:t>Fracc</w:t>
      </w:r>
      <w:proofErr w:type="spellEnd"/>
      <w:r w:rsidR="009757EC" w:rsidRPr="00FB1C76">
        <w:t>. VII Inciso C LFCE)</w:t>
      </w:r>
      <w:r w:rsidR="00AE2950" w:rsidRPr="00FB1C76">
        <w:t>.</w:t>
      </w:r>
    </w:p>
    <w:p w14:paraId="7D7289C6" w14:textId="77777777" w:rsidR="00AE2950" w:rsidRPr="00FB1C76" w:rsidRDefault="00AE2950" w:rsidP="007F5CF4">
      <w:pPr>
        <w:spacing w:after="240" w:line="240" w:lineRule="auto"/>
        <w:jc w:val="both"/>
      </w:pPr>
      <w:r w:rsidRPr="00FB1C76">
        <w:t>e) El Instituto ha sometido a consulta pública</w:t>
      </w:r>
      <w:r w:rsidR="0033120C" w:rsidRPr="00FB1C76">
        <w:t xml:space="preserve"> el </w:t>
      </w:r>
      <w:r w:rsidR="0033120C" w:rsidRPr="00FB1C76">
        <w:rPr>
          <w:i/>
        </w:rPr>
        <w:t>Anteproyecto de Lineamientos para la Entrega y Acceso de Información por Parte de los Concesionarios, Autorizados, Particulares, Instituciones Públicas,</w:t>
      </w:r>
      <w:r w:rsidR="00672072" w:rsidRPr="00FB1C76">
        <w:rPr>
          <w:i/>
        </w:rPr>
        <w:t xml:space="preserve"> </w:t>
      </w:r>
      <w:r w:rsidR="0033120C" w:rsidRPr="00FB1C76">
        <w:rPr>
          <w:i/>
        </w:rPr>
        <w:t>Universidades y Centros de Investigación, para la Conformación del Sistema Nacional de Información de Infraestructura</w:t>
      </w:r>
      <w:r w:rsidR="0033120C" w:rsidRPr="00FB1C76">
        <w:t xml:space="preserve">. </w:t>
      </w:r>
    </w:p>
    <w:p w14:paraId="2E1C6EA9" w14:textId="77777777" w:rsidR="00672072" w:rsidRPr="00FB1C76" w:rsidRDefault="00672072" w:rsidP="007F5CF4">
      <w:pPr>
        <w:spacing w:after="240" w:line="240" w:lineRule="auto"/>
        <w:jc w:val="both"/>
      </w:pPr>
      <w:r w:rsidRPr="00FB1C76">
        <w:t xml:space="preserve">Un análisis detallado sobre las facultades de este Instituto en la materia corre agregado a la presente recomendación. </w:t>
      </w:r>
    </w:p>
    <w:p w14:paraId="13CE1B72" w14:textId="77777777" w:rsidR="004D17C8" w:rsidRPr="00A1318D" w:rsidRDefault="00177ADB" w:rsidP="00A1318D">
      <w:pPr>
        <w:pStyle w:val="Ttulo3"/>
        <w:spacing w:before="240" w:after="240"/>
        <w:ind w:firstLine="708"/>
        <w:rPr>
          <w:color w:val="000000" w:themeColor="text1"/>
        </w:rPr>
      </w:pPr>
      <w:r w:rsidRPr="00A1318D">
        <w:rPr>
          <w:color w:val="000000" w:themeColor="text1"/>
        </w:rPr>
        <w:t xml:space="preserve">2. </w:t>
      </w:r>
      <w:r w:rsidR="009757EC" w:rsidRPr="00A1318D">
        <w:rPr>
          <w:color w:val="000000" w:themeColor="text1"/>
        </w:rPr>
        <w:t>Conclusiones derivadas de la</w:t>
      </w:r>
      <w:r w:rsidR="00F5229D" w:rsidRPr="00A1318D">
        <w:rPr>
          <w:color w:val="000000" w:themeColor="text1"/>
        </w:rPr>
        <w:t xml:space="preserve"> problemática</w:t>
      </w:r>
      <w:r w:rsidRPr="00A1318D">
        <w:rPr>
          <w:color w:val="000000" w:themeColor="text1"/>
        </w:rPr>
        <w:t xml:space="preserve">. </w:t>
      </w:r>
    </w:p>
    <w:p w14:paraId="64FF93EB" w14:textId="72B4CDE1" w:rsidR="003E4D64" w:rsidRPr="00FB1C76" w:rsidRDefault="003E4D64" w:rsidP="007F5CF4">
      <w:pPr>
        <w:spacing w:after="240" w:line="240" w:lineRule="auto"/>
        <w:jc w:val="both"/>
      </w:pPr>
      <w:r w:rsidRPr="00FB1C76">
        <w:t>b) El acceso a información es elemento clave para el mejor aprovechamie</w:t>
      </w:r>
      <w:r w:rsidR="0033120C" w:rsidRPr="00FB1C76">
        <w:t>nto de infraestructura esencial, problema que se aborda en el anteproyecto de lineamientos que se menciona en el inciso e) del apartado anterior.</w:t>
      </w:r>
      <w:r w:rsidRPr="00FB1C76">
        <w:t xml:space="preserve"> </w:t>
      </w:r>
      <w:r w:rsidR="00672072" w:rsidRPr="00FB1C76">
        <w:t xml:space="preserve">Sin embargo </w:t>
      </w:r>
      <w:r w:rsidR="00453972" w:rsidRPr="00FB1C76">
        <w:t>m</w:t>
      </w:r>
      <w:r w:rsidR="001F761F" w:rsidRPr="00FB1C76">
        <w:t>uchas de las obligaciones del Agente Económico Preponderante (AEP) en cuanto a su obligación de compartir infraestructura no se han podido comenzar a utilizar por los demás operadores porque se le ha concedido un plazo excesivamente largo para entregar sus inventarios (dos años a partir de que esté operando el Sistema Electrónico de Gestión), plazo que contrasta notablemente con los establecidos en los nuevos Títulos de Concesión Únicos (60 días)</w:t>
      </w:r>
    </w:p>
    <w:p w14:paraId="3BDA7E5B" w14:textId="77777777" w:rsidR="0033120C" w:rsidRPr="00FB1C76" w:rsidRDefault="003E4D64" w:rsidP="007F5CF4">
      <w:pPr>
        <w:spacing w:after="240" w:line="240" w:lineRule="auto"/>
        <w:jc w:val="both"/>
      </w:pPr>
      <w:r w:rsidRPr="00FB1C76">
        <w:t>c) Es necesario</w:t>
      </w:r>
      <w:r w:rsidR="0033120C" w:rsidRPr="00FB1C76">
        <w:t xml:space="preserve"> que los lineamientos referidos en el inciso anterior cuenten también con</w:t>
      </w:r>
      <w:r w:rsidRPr="00FB1C76">
        <w:t xml:space="preserve"> un registro de tarifas e</w:t>
      </w:r>
      <w:r w:rsidR="0033120C" w:rsidRPr="00FB1C76">
        <w:t>n derechos de vía.</w:t>
      </w:r>
    </w:p>
    <w:p w14:paraId="482E36AF" w14:textId="77777777" w:rsidR="003E4D64" w:rsidRPr="00FB1C76" w:rsidRDefault="0033120C" w:rsidP="007F5CF4">
      <w:pPr>
        <w:spacing w:after="240" w:line="240" w:lineRule="auto"/>
        <w:jc w:val="both"/>
      </w:pPr>
      <w:r w:rsidRPr="00FB1C76">
        <w:t xml:space="preserve">d) Es necesario </w:t>
      </w:r>
      <w:r w:rsidR="003E4D64" w:rsidRPr="00FB1C76">
        <w:t>el establecimiento de parámetros para la determinación de una tarifa cuando existan cobros excesivos</w:t>
      </w:r>
      <w:r w:rsidR="00672072" w:rsidRPr="00FB1C76">
        <w:t xml:space="preserve"> en materia de derechos de vía</w:t>
      </w:r>
      <w:r w:rsidR="00A748B2" w:rsidRPr="00FB1C76">
        <w:t>, que sirva de precio base sobre la cual se puedan establecer negociaciones hacia arriba o hacia abajo pero respecto de un referente “objetivo”</w:t>
      </w:r>
      <w:r w:rsidR="003E4D64" w:rsidRPr="00FB1C76">
        <w:t>.</w:t>
      </w:r>
    </w:p>
    <w:p w14:paraId="2FF4B84F" w14:textId="77777777" w:rsidR="00D30F28" w:rsidRPr="00FB1C76" w:rsidRDefault="003E4D64" w:rsidP="007F5CF4">
      <w:pPr>
        <w:spacing w:after="240" w:line="240" w:lineRule="auto"/>
        <w:jc w:val="both"/>
      </w:pPr>
      <w:r w:rsidRPr="00FB1C76">
        <w:t xml:space="preserve">d) Es necesaria la existencia de una figura imparcial que resuelva de manera vinculante </w:t>
      </w:r>
      <w:r w:rsidR="00D30F28" w:rsidRPr="00FB1C76">
        <w:t xml:space="preserve">los dictámenes técnicos o tarifas </w:t>
      </w:r>
      <w:r w:rsidR="00672072" w:rsidRPr="00FB1C76">
        <w:t>en materia de derechos de vía</w:t>
      </w:r>
      <w:r w:rsidR="00D30F28" w:rsidRPr="00FB1C76">
        <w:t>.</w:t>
      </w:r>
    </w:p>
    <w:p w14:paraId="5A4F7548" w14:textId="77777777" w:rsidR="00D30F28" w:rsidRPr="00FB1C76" w:rsidRDefault="00D30F28" w:rsidP="007F5CF4">
      <w:pPr>
        <w:spacing w:after="240" w:line="240" w:lineRule="auto"/>
        <w:jc w:val="both"/>
      </w:pPr>
      <w:r w:rsidRPr="00FB1C76">
        <w:t>e) Es necesaria la existencia de mecanismos de acceso a infraestructura del Estado (ductos o fibra) para conces</w:t>
      </w:r>
      <w:r w:rsidR="001272FC" w:rsidRPr="00FB1C76">
        <w:t>ionarios públicos y sociales.</w:t>
      </w:r>
    </w:p>
    <w:p w14:paraId="525A5553" w14:textId="77777777" w:rsidR="002373E6" w:rsidRPr="00A1318D" w:rsidRDefault="00E63949"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III. Recomendaciones</w:t>
      </w:r>
      <w:r w:rsidR="009757EC" w:rsidRPr="00A1318D">
        <w:rPr>
          <w:b/>
          <w:color w:val="0D0D0D" w:themeColor="text1" w:themeTint="F2"/>
          <w:sz w:val="24"/>
          <w:szCs w:val="24"/>
          <w:lang w:val="es-ES"/>
        </w:rPr>
        <w:t>.</w:t>
      </w:r>
    </w:p>
    <w:p w14:paraId="6E88322F" w14:textId="77777777" w:rsidR="009757EC" w:rsidRDefault="00785A04" w:rsidP="007F5CF4">
      <w:pPr>
        <w:spacing w:after="240" w:line="240" w:lineRule="auto"/>
        <w:jc w:val="both"/>
      </w:pPr>
      <w:r w:rsidRPr="00FB1C76">
        <w:rPr>
          <w:b/>
        </w:rPr>
        <w:t>Primera:</w:t>
      </w:r>
      <w:r w:rsidRPr="00FB1C76">
        <w:t xml:space="preserve"> </w:t>
      </w:r>
      <w:r w:rsidR="00273AAC" w:rsidRPr="00FB1C76">
        <w:t xml:space="preserve"> </w:t>
      </w:r>
      <w:r w:rsidR="009757EC" w:rsidRPr="00FB1C76">
        <w:t xml:space="preserve">Se recomienda al Pleno de este Instituto, con base en las facultades mencionadas, iniciar una investigación </w:t>
      </w:r>
      <w:r w:rsidR="0033120C" w:rsidRPr="00FB1C76">
        <w:t xml:space="preserve">sobre insumos esenciales </w:t>
      </w:r>
      <w:r w:rsidR="009757EC" w:rsidRPr="00FB1C76">
        <w:t xml:space="preserve">en materia de derechos de vía para emitir lineamientos que permitan garantizar el acceso a este insumo, considerando entre otros elementos: </w:t>
      </w:r>
    </w:p>
    <w:p w14:paraId="79FA1787" w14:textId="77777777" w:rsidR="009757EC" w:rsidRPr="00FB1C76" w:rsidRDefault="009757EC" w:rsidP="007F5CF4">
      <w:pPr>
        <w:spacing w:after="240" w:line="240" w:lineRule="auto"/>
        <w:ind w:firstLine="708"/>
        <w:jc w:val="both"/>
      </w:pPr>
      <w:r w:rsidRPr="00FB1C76">
        <w:t>a) La existencia de información</w:t>
      </w:r>
      <w:r w:rsidR="00B74A83" w:rsidRPr="00FB1C76">
        <w:t xml:space="preserve"> de ductos y fibra</w:t>
      </w:r>
      <w:r w:rsidRPr="00FB1C76">
        <w:t>,</w:t>
      </w:r>
    </w:p>
    <w:p w14:paraId="0A6589F6" w14:textId="77777777" w:rsidR="002235B1" w:rsidRPr="00FB1C76" w:rsidRDefault="002235B1" w:rsidP="007F5CF4">
      <w:pPr>
        <w:spacing w:after="240" w:line="240" w:lineRule="auto"/>
        <w:ind w:firstLine="708"/>
        <w:jc w:val="both"/>
      </w:pPr>
      <w:r w:rsidRPr="00FB1C76">
        <w:lastRenderedPageBreak/>
        <w:t>b) L</w:t>
      </w:r>
      <w:r w:rsidR="009757EC" w:rsidRPr="00FB1C76">
        <w:t>os mecanis</w:t>
      </w:r>
      <w:r w:rsidRPr="00FB1C76">
        <w:t>mos para el registro de tarifas en materia de derechos de vía</w:t>
      </w:r>
    </w:p>
    <w:p w14:paraId="746A55D7" w14:textId="77777777" w:rsidR="002235B1" w:rsidRPr="00FB1C76" w:rsidRDefault="002235B1" w:rsidP="007F5CF4">
      <w:pPr>
        <w:spacing w:after="240" w:line="240" w:lineRule="auto"/>
        <w:ind w:left="708"/>
        <w:jc w:val="both"/>
      </w:pPr>
      <w:r w:rsidRPr="00FB1C76">
        <w:t xml:space="preserve">c) Los mecanismos para solución de controversias en materia de dictámenes técnicos para el derecho de vía o la determinación de tarifas. </w:t>
      </w:r>
    </w:p>
    <w:p w14:paraId="2E6C1124" w14:textId="77777777" w:rsidR="005B1DEF" w:rsidRDefault="002235B1" w:rsidP="007F5CF4">
      <w:pPr>
        <w:spacing w:after="240" w:line="240" w:lineRule="auto"/>
        <w:ind w:left="708"/>
        <w:jc w:val="both"/>
      </w:pPr>
      <w:r w:rsidRPr="00FB1C76">
        <w:t>d) Los mecanismos para el a</w:t>
      </w:r>
      <w:r w:rsidR="00672072" w:rsidRPr="00FB1C76">
        <w:t>cceso a infraestructura pasiva</w:t>
      </w:r>
      <w:r w:rsidRPr="00FB1C76">
        <w:t xml:space="preserve"> del Estado.</w:t>
      </w:r>
    </w:p>
    <w:p w14:paraId="02DA6B9F" w14:textId="30F7598D" w:rsidR="00785A04" w:rsidRDefault="00785A04" w:rsidP="007F5CF4">
      <w:pPr>
        <w:spacing w:after="240" w:line="240" w:lineRule="auto"/>
        <w:jc w:val="both"/>
      </w:pPr>
      <w:r w:rsidRPr="00FB1C76">
        <w:rPr>
          <w:b/>
        </w:rPr>
        <w:t>Segunda:</w:t>
      </w:r>
      <w:r w:rsidRPr="00FB1C76">
        <w:t xml:space="preserve"> </w:t>
      </w:r>
      <w:r w:rsidR="0033120C" w:rsidRPr="00FB1C76">
        <w:t>Complementar el Registro Nacional de Infraestructura con un registr</w:t>
      </w:r>
      <w:r w:rsidR="001748D7" w:rsidRPr="00FB1C76">
        <w:t>o de tarifas de derechos de vía y reducir el tiempo concedido a la AEP</w:t>
      </w:r>
      <w:r w:rsidR="001F761F" w:rsidRPr="00FB1C76">
        <w:t xml:space="preserve"> en</w:t>
      </w:r>
      <w:r w:rsidR="00453972" w:rsidRPr="00FB1C76">
        <w:t xml:space="preserve"> el título de concesión</w:t>
      </w:r>
      <w:r w:rsidR="00672072" w:rsidRPr="00FB1C76">
        <w:t xml:space="preserve"> para presentar sus inventarios</w:t>
      </w:r>
      <w:r w:rsidR="00453972" w:rsidRPr="00FB1C76">
        <w:t>.</w:t>
      </w:r>
    </w:p>
    <w:p w14:paraId="6A0BB486" w14:textId="6E54BA65" w:rsidR="005A7227" w:rsidRPr="00FB1C76" w:rsidRDefault="00A508EA" w:rsidP="007F5CF4">
      <w:pPr>
        <w:spacing w:after="240" w:line="240" w:lineRule="auto"/>
        <w:jc w:val="both"/>
      </w:pPr>
      <w:r w:rsidRPr="00FB1C76">
        <w:rPr>
          <w:b/>
        </w:rPr>
        <w:t>Tercera:</w:t>
      </w:r>
      <w:r w:rsidRPr="00FB1C76">
        <w:t xml:space="preserve"> Aplicar el principio</w:t>
      </w:r>
      <w:r w:rsidR="000608EF" w:rsidRPr="00FB1C76">
        <w:t xml:space="preserve"> máxima publicidad siguiendo la normatividad de datos abiertos</w:t>
      </w:r>
      <w:r w:rsidRPr="00FB1C76">
        <w:t xml:space="preserve"> en torno a la infraestructura de red existente </w:t>
      </w:r>
      <w:r w:rsidR="005A7227" w:rsidRPr="00FB1C76">
        <w:t>y c</w:t>
      </w:r>
      <w:r w:rsidRPr="00FB1C76">
        <w:t xml:space="preserve">ontar con una versión pública geo-referenciada </w:t>
      </w:r>
      <w:r w:rsidR="000608EF" w:rsidRPr="00FB1C76">
        <w:t xml:space="preserve">3D </w:t>
      </w:r>
      <w:r w:rsidRPr="00FB1C76">
        <w:t>de la infraestructura disponible</w:t>
      </w:r>
      <w:r w:rsidR="005A7227" w:rsidRPr="00FB1C76">
        <w:t xml:space="preserve"> para consulta del público en general. </w:t>
      </w:r>
    </w:p>
    <w:p w14:paraId="0906449B" w14:textId="77777777" w:rsidR="007F5CF4" w:rsidRPr="001A0293" w:rsidRDefault="007F5CF4" w:rsidP="007F5CF4">
      <w:pPr>
        <w:autoSpaceDE w:val="0"/>
        <w:autoSpaceDN w:val="0"/>
        <w:adjustRightInd w:val="0"/>
        <w:spacing w:before="240" w:after="240"/>
        <w:jc w:val="center"/>
        <w:rPr>
          <w:rFonts w:ascii="Calibri" w:hAnsi="Calibri"/>
          <w:b/>
          <w:bCs/>
        </w:rPr>
      </w:pPr>
      <w:r w:rsidRPr="001A0293">
        <w:rPr>
          <w:rFonts w:ascii="Calibri" w:hAnsi="Calibri"/>
          <w:b/>
          <w:bCs/>
        </w:rPr>
        <w:t>Dr. Ernesto M. Flores-</w:t>
      </w:r>
      <w:proofErr w:type="spellStart"/>
      <w:r w:rsidRPr="001A0293">
        <w:rPr>
          <w:rFonts w:ascii="Calibri" w:hAnsi="Calibri"/>
          <w:b/>
          <w:bCs/>
        </w:rPr>
        <w:t>Roux</w:t>
      </w:r>
      <w:proofErr w:type="spellEnd"/>
      <w:r w:rsidRPr="001A0293">
        <w:rPr>
          <w:rFonts w:ascii="Calibri" w:hAnsi="Calibri"/>
          <w:b/>
          <w:bCs/>
        </w:rPr>
        <w:t xml:space="preserve"> </w:t>
      </w:r>
    </w:p>
    <w:p w14:paraId="5082B44A" w14:textId="77777777" w:rsidR="007F5CF4" w:rsidRPr="001A0293" w:rsidRDefault="007F5CF4" w:rsidP="007F5CF4">
      <w:pPr>
        <w:autoSpaceDE w:val="0"/>
        <w:autoSpaceDN w:val="0"/>
        <w:adjustRightInd w:val="0"/>
        <w:spacing w:before="240" w:after="240"/>
        <w:jc w:val="center"/>
        <w:rPr>
          <w:rFonts w:ascii="Calibri" w:hAnsi="Calibri"/>
          <w:b/>
          <w:bCs/>
        </w:rPr>
      </w:pPr>
      <w:r w:rsidRPr="001A0293">
        <w:rPr>
          <w:rFonts w:ascii="Calibri" w:hAnsi="Calibri"/>
          <w:b/>
          <w:bCs/>
        </w:rPr>
        <w:t>Presidente</w:t>
      </w:r>
    </w:p>
    <w:p w14:paraId="414B6DC0" w14:textId="77777777" w:rsidR="007F5CF4" w:rsidRPr="001A0293" w:rsidRDefault="007F5CF4" w:rsidP="007F5CF4">
      <w:pPr>
        <w:autoSpaceDE w:val="0"/>
        <w:autoSpaceDN w:val="0"/>
        <w:adjustRightInd w:val="0"/>
        <w:spacing w:before="240" w:after="240"/>
        <w:jc w:val="center"/>
        <w:rPr>
          <w:rFonts w:ascii="Calibri" w:hAnsi="Calibri"/>
          <w:b/>
          <w:bCs/>
        </w:rPr>
      </w:pPr>
      <w:r w:rsidRPr="001A0293">
        <w:rPr>
          <w:rFonts w:ascii="Calibri" w:hAnsi="Calibri"/>
          <w:b/>
          <w:bCs/>
        </w:rPr>
        <w:t>Lic. Juan José Crispín Borbolla</w:t>
      </w:r>
    </w:p>
    <w:p w14:paraId="05BE23B0" w14:textId="77777777" w:rsidR="007F5CF4" w:rsidRDefault="007F5CF4" w:rsidP="007F5CF4">
      <w:pPr>
        <w:autoSpaceDE w:val="0"/>
        <w:autoSpaceDN w:val="0"/>
        <w:adjustRightInd w:val="0"/>
        <w:spacing w:before="240" w:after="240"/>
        <w:jc w:val="center"/>
        <w:rPr>
          <w:rFonts w:ascii="Calibri" w:hAnsi="Calibri"/>
          <w:b/>
          <w:bCs/>
        </w:rPr>
      </w:pPr>
      <w:r w:rsidRPr="001A0293">
        <w:rPr>
          <w:rFonts w:ascii="Calibri" w:hAnsi="Calibri"/>
          <w:b/>
          <w:bCs/>
        </w:rPr>
        <w:t>Secretario del Consejo</w:t>
      </w:r>
    </w:p>
    <w:p w14:paraId="5C67F06C" w14:textId="3803D1B4" w:rsidR="001D4F0A" w:rsidRDefault="001D4F0A" w:rsidP="007F5CF4">
      <w:pPr>
        <w:autoSpaceDE w:val="0"/>
        <w:autoSpaceDN w:val="0"/>
        <w:adjustRightInd w:val="0"/>
        <w:spacing w:after="240"/>
        <w:jc w:val="both"/>
        <w:rPr>
          <w:bCs/>
          <w:sz w:val="18"/>
          <w:szCs w:val="18"/>
        </w:rPr>
      </w:pPr>
      <w:r w:rsidRPr="001E1DE3">
        <w:rPr>
          <w:bCs/>
          <w:sz w:val="18"/>
          <w:szCs w:val="18"/>
        </w:rPr>
        <w:t xml:space="preserve">La presente Recomendación fue aprobada por el </w:t>
      </w:r>
      <w:r>
        <w:rPr>
          <w:bCs/>
          <w:sz w:val="18"/>
          <w:szCs w:val="18"/>
        </w:rPr>
        <w:t xml:space="preserve">II </w:t>
      </w:r>
      <w:r w:rsidRPr="001E1DE3">
        <w:rPr>
          <w:bCs/>
          <w:sz w:val="18"/>
          <w:szCs w:val="18"/>
        </w:rPr>
        <w:t xml:space="preserve">Consejo Consultivo del Instituto Federal de Telecomunicaciones por unanimidad de votos de los Consejeros presentes: </w:t>
      </w:r>
      <w:r w:rsidRPr="001E1DE3">
        <w:rPr>
          <w:rFonts w:cs="Arial"/>
          <w:sz w:val="18"/>
          <w:szCs w:val="18"/>
          <w:lang w:val="es-ES_tradnl"/>
        </w:rPr>
        <w:t xml:space="preserve">Clara Luz Álvarez González de Castilla, Carlos Arturo Bello Hernández, </w:t>
      </w:r>
      <w:r>
        <w:rPr>
          <w:rFonts w:cs="Arial"/>
          <w:sz w:val="18"/>
          <w:szCs w:val="18"/>
          <w:lang w:val="es-ES_tradnl"/>
        </w:rPr>
        <w:t xml:space="preserve">Enriqueta Cabrera </w:t>
      </w:r>
      <w:proofErr w:type="spellStart"/>
      <w:r>
        <w:rPr>
          <w:rFonts w:cs="Arial"/>
          <w:sz w:val="18"/>
          <w:szCs w:val="18"/>
          <w:lang w:val="es-ES_tradnl"/>
        </w:rPr>
        <w:t>Cuarón</w:t>
      </w:r>
      <w:proofErr w:type="spellEnd"/>
      <w:r w:rsidRPr="001E1DE3">
        <w:rPr>
          <w:rFonts w:cs="Arial"/>
          <w:sz w:val="18"/>
          <w:szCs w:val="18"/>
          <w:lang w:val="es-ES_tradnl"/>
        </w:rPr>
        <w:t>, Ernesto M. Flores-</w:t>
      </w:r>
      <w:proofErr w:type="spellStart"/>
      <w:r w:rsidRPr="001E1DE3">
        <w:rPr>
          <w:rFonts w:cs="Arial"/>
          <w:sz w:val="18"/>
          <w:szCs w:val="18"/>
          <w:lang w:val="es-ES_tradnl"/>
        </w:rPr>
        <w:t>Roux</w:t>
      </w:r>
      <w:proofErr w:type="spellEnd"/>
      <w:r w:rsidRPr="001E1DE3">
        <w:rPr>
          <w:rFonts w:cs="Arial"/>
          <w:sz w:val="18"/>
          <w:szCs w:val="18"/>
          <w:lang w:val="es-ES_tradnl"/>
        </w:rPr>
        <w:t xml:space="preserve">, Gerardo Francisco González Abarca, </w:t>
      </w:r>
      <w:r>
        <w:rPr>
          <w:rFonts w:cs="Arial"/>
          <w:sz w:val="18"/>
          <w:szCs w:val="18"/>
          <w:lang w:val="es-ES_tradnl"/>
        </w:rPr>
        <w:t>Erick Huerta Velázquez</w:t>
      </w:r>
      <w:r w:rsidRPr="001E1DE3">
        <w:rPr>
          <w:rFonts w:cs="Arial"/>
          <w:sz w:val="18"/>
          <w:szCs w:val="18"/>
          <w:lang w:val="es-ES_tradnl"/>
        </w:rPr>
        <w:t>,</w:t>
      </w:r>
      <w:r w:rsidR="007137A1">
        <w:rPr>
          <w:rFonts w:cs="Arial"/>
          <w:sz w:val="18"/>
          <w:szCs w:val="18"/>
          <w:lang w:val="es-ES_tradnl"/>
        </w:rPr>
        <w:t xml:space="preserve"> Erik Huesca Morales,</w:t>
      </w:r>
      <w:r w:rsidRPr="001E1DE3">
        <w:rPr>
          <w:rFonts w:cs="Arial"/>
          <w:sz w:val="18"/>
          <w:szCs w:val="18"/>
          <w:lang w:val="es-ES_tradnl"/>
        </w:rPr>
        <w:t xml:space="preserve"> Salma Leticia </w:t>
      </w:r>
      <w:proofErr w:type="spellStart"/>
      <w:r w:rsidRPr="001E1DE3">
        <w:rPr>
          <w:rFonts w:cs="Arial"/>
          <w:sz w:val="18"/>
          <w:szCs w:val="18"/>
          <w:lang w:val="es-ES_tradnl"/>
        </w:rPr>
        <w:t>Jalife</w:t>
      </w:r>
      <w:proofErr w:type="spellEnd"/>
      <w:r w:rsidRPr="001E1DE3">
        <w:rPr>
          <w:rFonts w:cs="Arial"/>
          <w:sz w:val="18"/>
          <w:szCs w:val="18"/>
          <w:lang w:val="es-ES_tradnl"/>
        </w:rPr>
        <w:t xml:space="preserve"> Villalón,</w:t>
      </w:r>
      <w:r>
        <w:rPr>
          <w:rFonts w:cs="Arial"/>
          <w:sz w:val="18"/>
          <w:szCs w:val="18"/>
          <w:lang w:val="es-ES_tradnl"/>
        </w:rPr>
        <w:t xml:space="preserve"> Luis Miguel Martínez Cervantes y</w:t>
      </w:r>
      <w:r w:rsidRPr="001E1DE3">
        <w:rPr>
          <w:rFonts w:cs="Arial"/>
          <w:sz w:val="18"/>
          <w:szCs w:val="18"/>
          <w:lang w:val="es-ES_tradnl"/>
        </w:rPr>
        <w:t xml:space="preserve"> Carlos Alejandro Merchán Escalante,</w:t>
      </w:r>
      <w:r w:rsidRPr="001E1DE3">
        <w:rPr>
          <w:bCs/>
          <w:sz w:val="18"/>
          <w:szCs w:val="18"/>
        </w:rPr>
        <w:t xml:space="preserve"> en su VI Sesión Ordinaria celebrada el </w:t>
      </w:r>
      <w:r>
        <w:rPr>
          <w:bCs/>
          <w:sz w:val="18"/>
          <w:szCs w:val="18"/>
        </w:rPr>
        <w:t>06 de octubre de 2016</w:t>
      </w:r>
      <w:r w:rsidRPr="001E1DE3">
        <w:rPr>
          <w:bCs/>
          <w:sz w:val="18"/>
          <w:szCs w:val="18"/>
        </w:rPr>
        <w:t>, m</w:t>
      </w:r>
      <w:r>
        <w:rPr>
          <w:bCs/>
          <w:sz w:val="18"/>
          <w:szCs w:val="18"/>
        </w:rPr>
        <w:t>ediante Acuerdo CC/IFT/061016/8</w:t>
      </w:r>
      <w:r w:rsidRPr="001E1DE3">
        <w:rPr>
          <w:bCs/>
          <w:sz w:val="18"/>
          <w:szCs w:val="18"/>
        </w:rPr>
        <w:t>.</w:t>
      </w:r>
    </w:p>
    <w:p w14:paraId="225D7FD0" w14:textId="62234897" w:rsidR="001D4F0A" w:rsidRPr="00FB1C76" w:rsidRDefault="00363E2E" w:rsidP="007F5CF4">
      <w:pPr>
        <w:autoSpaceDE w:val="0"/>
        <w:autoSpaceDN w:val="0"/>
        <w:adjustRightInd w:val="0"/>
        <w:spacing w:after="240"/>
        <w:jc w:val="both"/>
        <w:rPr>
          <w:sz w:val="20"/>
          <w:szCs w:val="20"/>
        </w:rPr>
      </w:pPr>
      <w:r>
        <w:rPr>
          <w:bCs/>
          <w:sz w:val="18"/>
          <w:szCs w:val="18"/>
        </w:rPr>
        <w:t>El</w:t>
      </w:r>
      <w:r w:rsidR="008955A3">
        <w:rPr>
          <w:bCs/>
          <w:sz w:val="18"/>
          <w:szCs w:val="18"/>
        </w:rPr>
        <w:t xml:space="preserve"> Grupo de Trabajo</w:t>
      </w:r>
      <w:r>
        <w:rPr>
          <w:bCs/>
          <w:sz w:val="18"/>
          <w:szCs w:val="18"/>
        </w:rPr>
        <w:t xml:space="preserve"> </w:t>
      </w:r>
      <w:r w:rsidRPr="00363E2E">
        <w:rPr>
          <w:bCs/>
          <w:sz w:val="18"/>
          <w:szCs w:val="18"/>
        </w:rPr>
        <w:t xml:space="preserve">Despliegue de infraestructura </w:t>
      </w:r>
      <w:r>
        <w:rPr>
          <w:bCs/>
          <w:sz w:val="18"/>
          <w:szCs w:val="18"/>
        </w:rPr>
        <w:t xml:space="preserve">que desarrolló el proyecto de Recomendación, está integrado por los miembros primarios </w:t>
      </w:r>
      <w:r w:rsidR="007137A1" w:rsidRPr="007137A1">
        <w:rPr>
          <w:bCs/>
          <w:sz w:val="18"/>
          <w:szCs w:val="18"/>
        </w:rPr>
        <w:t xml:space="preserve">Erick Huerta Velázquez </w:t>
      </w:r>
      <w:r>
        <w:rPr>
          <w:bCs/>
          <w:sz w:val="18"/>
          <w:szCs w:val="18"/>
        </w:rPr>
        <w:t>y</w:t>
      </w:r>
      <w:r w:rsidRPr="00363E2E">
        <w:rPr>
          <w:bCs/>
          <w:sz w:val="18"/>
          <w:szCs w:val="18"/>
        </w:rPr>
        <w:t xml:space="preserve"> </w:t>
      </w:r>
      <w:r w:rsidR="007137A1" w:rsidRPr="007137A1">
        <w:rPr>
          <w:bCs/>
          <w:sz w:val="18"/>
          <w:szCs w:val="18"/>
        </w:rPr>
        <w:t xml:space="preserve">Carlos Arturo Bello Hernández </w:t>
      </w:r>
      <w:r>
        <w:rPr>
          <w:bCs/>
          <w:sz w:val="18"/>
          <w:szCs w:val="18"/>
        </w:rPr>
        <w:t xml:space="preserve">y </w:t>
      </w:r>
      <w:r w:rsidR="007137A1">
        <w:rPr>
          <w:bCs/>
          <w:sz w:val="18"/>
          <w:szCs w:val="18"/>
        </w:rPr>
        <w:t xml:space="preserve">los </w:t>
      </w:r>
      <w:r>
        <w:rPr>
          <w:bCs/>
          <w:sz w:val="18"/>
          <w:szCs w:val="18"/>
        </w:rPr>
        <w:t>miembros secundarios</w:t>
      </w:r>
      <w:r w:rsidRPr="00363E2E">
        <w:rPr>
          <w:bCs/>
          <w:sz w:val="18"/>
          <w:szCs w:val="18"/>
        </w:rPr>
        <w:t xml:space="preserve"> </w:t>
      </w:r>
      <w:r w:rsidR="007137A1" w:rsidRPr="007137A1">
        <w:rPr>
          <w:bCs/>
          <w:sz w:val="18"/>
          <w:szCs w:val="18"/>
        </w:rPr>
        <w:t xml:space="preserve">Enriqueta Cabrera </w:t>
      </w:r>
      <w:proofErr w:type="spellStart"/>
      <w:r w:rsidR="007137A1" w:rsidRPr="007137A1">
        <w:rPr>
          <w:bCs/>
          <w:sz w:val="18"/>
          <w:szCs w:val="18"/>
        </w:rPr>
        <w:t>Cuarón</w:t>
      </w:r>
      <w:proofErr w:type="spellEnd"/>
      <w:r w:rsidRPr="00363E2E">
        <w:rPr>
          <w:bCs/>
          <w:sz w:val="18"/>
          <w:szCs w:val="18"/>
        </w:rPr>
        <w:t>,</w:t>
      </w:r>
      <w:r w:rsidR="00572C1F">
        <w:rPr>
          <w:bCs/>
          <w:sz w:val="18"/>
          <w:szCs w:val="18"/>
        </w:rPr>
        <w:t xml:space="preserve"> </w:t>
      </w:r>
      <w:r w:rsidR="007137A1" w:rsidRPr="007137A1">
        <w:rPr>
          <w:bCs/>
          <w:sz w:val="18"/>
          <w:szCs w:val="18"/>
        </w:rPr>
        <w:t>Carlos Alejandro Merchán Escalante</w:t>
      </w:r>
      <w:r w:rsidRPr="00363E2E">
        <w:rPr>
          <w:bCs/>
          <w:sz w:val="18"/>
          <w:szCs w:val="18"/>
        </w:rPr>
        <w:t xml:space="preserve">, </w:t>
      </w:r>
      <w:r w:rsidR="007137A1" w:rsidRPr="007137A1">
        <w:rPr>
          <w:bCs/>
          <w:sz w:val="18"/>
          <w:szCs w:val="18"/>
        </w:rPr>
        <w:t xml:space="preserve">Gerardo Francisco González Abarca </w:t>
      </w:r>
      <w:r>
        <w:rPr>
          <w:bCs/>
          <w:sz w:val="18"/>
          <w:szCs w:val="18"/>
        </w:rPr>
        <w:t>y</w:t>
      </w:r>
      <w:r w:rsidRPr="00363E2E">
        <w:rPr>
          <w:bCs/>
          <w:sz w:val="18"/>
          <w:szCs w:val="18"/>
        </w:rPr>
        <w:t xml:space="preserve"> Santiago Gutiérrez</w:t>
      </w:r>
      <w:r w:rsidR="00405B81">
        <w:rPr>
          <w:bCs/>
          <w:sz w:val="18"/>
          <w:szCs w:val="18"/>
        </w:rPr>
        <w:t xml:space="preserve"> Fernández</w:t>
      </w:r>
      <w:r>
        <w:rPr>
          <w:bCs/>
          <w:sz w:val="18"/>
          <w:szCs w:val="18"/>
        </w:rPr>
        <w:t>.</w:t>
      </w:r>
    </w:p>
    <w:p w14:paraId="6EF79E0F" w14:textId="77777777" w:rsidR="007F5CF4" w:rsidRDefault="007F5CF4" w:rsidP="007F5CF4">
      <w:pPr>
        <w:spacing w:after="240" w:line="360" w:lineRule="auto"/>
        <w:jc w:val="center"/>
        <w:rPr>
          <w:b/>
        </w:rPr>
        <w:sectPr w:rsidR="007F5CF4" w:rsidSect="007137A1">
          <w:headerReference w:type="default" r:id="rId8"/>
          <w:footerReference w:type="default" r:id="rId9"/>
          <w:pgSz w:w="12240" w:h="15840"/>
          <w:pgMar w:top="1530" w:right="1701" w:bottom="1417" w:left="1701" w:header="708" w:footer="708" w:gutter="0"/>
          <w:cols w:space="708"/>
          <w:docGrid w:linePitch="360"/>
        </w:sectPr>
      </w:pPr>
    </w:p>
    <w:p w14:paraId="46F90AB9" w14:textId="45D4DAEC" w:rsidR="002D1D1B" w:rsidRPr="00A1318D" w:rsidRDefault="002D1D1B" w:rsidP="00A1318D">
      <w:pPr>
        <w:pStyle w:val="Ttulo1"/>
        <w:spacing w:after="240"/>
        <w:jc w:val="center"/>
        <w:rPr>
          <w:b/>
          <w:color w:val="auto"/>
          <w:sz w:val="24"/>
          <w:szCs w:val="24"/>
          <w:lang w:val="es-ES"/>
        </w:rPr>
      </w:pPr>
      <w:r w:rsidRPr="00A1318D">
        <w:rPr>
          <w:b/>
          <w:color w:val="auto"/>
          <w:sz w:val="24"/>
          <w:szCs w:val="24"/>
          <w:lang w:val="es-ES"/>
        </w:rPr>
        <w:lastRenderedPageBreak/>
        <w:t>ANEXO: ANÁLISIS DE FACULTADES DEL IFT EN MATERIA DE DERECHOS DE VÍA</w:t>
      </w:r>
    </w:p>
    <w:p w14:paraId="5B1D418F" w14:textId="77777777" w:rsidR="002D1D1B" w:rsidRPr="002D1D1B" w:rsidRDefault="002D1D1B" w:rsidP="007F5CF4">
      <w:pPr>
        <w:spacing w:after="240" w:line="360" w:lineRule="auto"/>
        <w:jc w:val="both"/>
      </w:pPr>
      <w:r w:rsidRPr="002D1D1B">
        <w:t xml:space="preserve">Recomendación: Mejoras en la Regulación de Derechos de Vía como Habilitador de la Construcción de Infraestructura de Fibra Óptica  </w:t>
      </w:r>
    </w:p>
    <w:p w14:paraId="2FD0230A" w14:textId="77777777" w:rsidR="002D1D1B" w:rsidRPr="00A1318D" w:rsidRDefault="002D1D1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I.- DEFINICIONES.</w:t>
      </w:r>
    </w:p>
    <w:p w14:paraId="5DF0F01E" w14:textId="77777777" w:rsidR="002D1D1B" w:rsidRPr="002D1D1B" w:rsidRDefault="002D1D1B" w:rsidP="007F5CF4">
      <w:pPr>
        <w:spacing w:after="240" w:line="240" w:lineRule="auto"/>
        <w:jc w:val="both"/>
      </w:pPr>
      <w:r w:rsidRPr="002D1D1B">
        <w:t>La Ley Federal de Telecomunicaciones y Radiodifusión (“</w:t>
      </w:r>
      <w:proofErr w:type="spellStart"/>
      <w:r w:rsidRPr="002D1D1B">
        <w:t>LFTyR</w:t>
      </w:r>
      <w:proofErr w:type="spellEnd"/>
      <w:r w:rsidRPr="002D1D1B">
        <w:t xml:space="preserve">” o “Ley”),  no establece la definición del concepto “derechos de vía”; sin embargo, sí establece que éstos forman parte de la </w:t>
      </w:r>
      <w:r w:rsidRPr="002D1D1B">
        <w:rPr>
          <w:i/>
        </w:rPr>
        <w:t>infraestructura pasiva</w:t>
      </w:r>
      <w:r w:rsidRPr="002D1D1B">
        <w:t xml:space="preserve">, de acuerdo al artículo 3, fracción XXVII: </w:t>
      </w:r>
    </w:p>
    <w:p w14:paraId="368C5036" w14:textId="77777777" w:rsidR="002D1D1B" w:rsidRPr="002D1D1B" w:rsidRDefault="002D1D1B" w:rsidP="007F5CF4">
      <w:pPr>
        <w:pStyle w:val="Default"/>
        <w:spacing w:after="240"/>
        <w:ind w:left="567" w:right="758"/>
        <w:jc w:val="both"/>
        <w:rPr>
          <w:rFonts w:asciiTheme="minorHAnsi" w:hAnsiTheme="minorHAnsi"/>
          <w:sz w:val="22"/>
          <w:szCs w:val="22"/>
        </w:rPr>
      </w:pPr>
      <w:r w:rsidRPr="002D1D1B">
        <w:rPr>
          <w:rFonts w:asciiTheme="minorHAnsi" w:hAnsiTheme="minorHAnsi"/>
          <w:b/>
          <w:bCs/>
          <w:sz w:val="22"/>
          <w:szCs w:val="22"/>
        </w:rPr>
        <w:t xml:space="preserve">“XXVII. Infraestructura pasiva: </w:t>
      </w:r>
      <w:r w:rsidRPr="002D1D1B">
        <w:rPr>
          <w:rFonts w:asciiTheme="minorHAnsi" w:hAnsiTheme="minorHAnsi"/>
          <w:sz w:val="22"/>
          <w:szCs w:val="22"/>
        </w:rPr>
        <w:t>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w:t>
      </w:r>
      <w:r w:rsidRPr="002D1D1B">
        <w:rPr>
          <w:rFonts w:asciiTheme="minorHAnsi" w:hAnsiTheme="minorHAnsi"/>
          <w:sz w:val="22"/>
          <w:szCs w:val="22"/>
          <w:u w:val="single"/>
        </w:rPr>
        <w:t>, incluyendo</w:t>
      </w:r>
      <w:r w:rsidRPr="002D1D1B">
        <w:rPr>
          <w:rFonts w:asciiTheme="minorHAnsi" w:hAnsiTheme="minorHAnsi"/>
          <w:sz w:val="22"/>
          <w:szCs w:val="22"/>
        </w:rPr>
        <w:t xml:space="preserve"> </w:t>
      </w:r>
      <w:r w:rsidRPr="002D1D1B">
        <w:rPr>
          <w:rFonts w:asciiTheme="minorHAnsi" w:hAnsiTheme="minorHAnsi"/>
          <w:sz w:val="22"/>
          <w:szCs w:val="22"/>
          <w:u w:val="single"/>
        </w:rPr>
        <w:t>derechos de vía,</w:t>
      </w:r>
      <w:r w:rsidRPr="002D1D1B">
        <w:rPr>
          <w:rFonts w:asciiTheme="minorHAnsi" w:hAnsiTheme="minorHAnsi"/>
          <w:sz w:val="22"/>
          <w:szCs w:val="22"/>
        </w:rPr>
        <w:t xml:space="preserve"> </w:t>
      </w:r>
      <w:r w:rsidRPr="002D1D1B">
        <w:rPr>
          <w:rFonts w:asciiTheme="minorHAnsi" w:hAnsiTheme="minorHAnsi"/>
          <w:sz w:val="22"/>
          <w:szCs w:val="22"/>
          <w:u w:val="single"/>
        </w:rPr>
        <w:t>que sean necesarios para la instalación y operación de las redes, así como para la prestación de servicios de telecomunicaciones y radiodifusión</w:t>
      </w:r>
      <w:r w:rsidRPr="002D1D1B">
        <w:rPr>
          <w:rFonts w:asciiTheme="minorHAnsi" w:hAnsiTheme="minorHAnsi"/>
          <w:sz w:val="22"/>
          <w:szCs w:val="22"/>
        </w:rPr>
        <w:t xml:space="preserve">;” </w:t>
      </w:r>
    </w:p>
    <w:p w14:paraId="29F12936" w14:textId="77777777" w:rsidR="002D1D1B" w:rsidRPr="002D1D1B" w:rsidRDefault="002D1D1B" w:rsidP="007F5CF4">
      <w:pPr>
        <w:spacing w:after="240" w:line="240" w:lineRule="auto"/>
        <w:jc w:val="both"/>
        <w:rPr>
          <w:rFonts w:eastAsia="Times New Roman" w:cs="Times New Roman"/>
          <w:u w:val="single"/>
        </w:rPr>
      </w:pPr>
      <w:r w:rsidRPr="002D1D1B">
        <w:rPr>
          <w:rFonts w:eastAsia="Times New Roman" w:cs="Times New Roman"/>
        </w:rPr>
        <w:t xml:space="preserve">A partir de la redacción del artículo anterior se entiende que, conforme a la </w:t>
      </w:r>
      <w:proofErr w:type="spellStart"/>
      <w:r w:rsidRPr="002D1D1B">
        <w:rPr>
          <w:rFonts w:eastAsia="Times New Roman" w:cs="Times New Roman"/>
        </w:rPr>
        <w:t>LFTyR</w:t>
      </w:r>
      <w:proofErr w:type="spellEnd"/>
      <w:r w:rsidRPr="002D1D1B">
        <w:rPr>
          <w:rFonts w:eastAsia="Times New Roman" w:cs="Times New Roman"/>
        </w:rPr>
        <w:t xml:space="preserve"> los derechos de vía serán considerados como infraestructura pasiva de telecomunicaciones y radiodifusión siempre que sean necesarios para:</w:t>
      </w:r>
    </w:p>
    <w:p w14:paraId="23C6BEEE" w14:textId="77777777" w:rsidR="002D1D1B" w:rsidRPr="002D1D1B" w:rsidRDefault="002D1D1B" w:rsidP="007F5CF4">
      <w:pPr>
        <w:pStyle w:val="Prrafodelista"/>
        <w:numPr>
          <w:ilvl w:val="0"/>
          <w:numId w:val="5"/>
        </w:numPr>
        <w:spacing w:after="240" w:line="240" w:lineRule="auto"/>
        <w:jc w:val="both"/>
        <w:rPr>
          <w:rFonts w:eastAsia="Times New Roman" w:cs="Times New Roman"/>
        </w:rPr>
      </w:pPr>
      <w:r w:rsidRPr="002D1D1B">
        <w:rPr>
          <w:rFonts w:eastAsia="Times New Roman" w:cs="Times New Roman"/>
        </w:rPr>
        <w:t>La instalación y operación de las redes; y/o</w:t>
      </w:r>
    </w:p>
    <w:p w14:paraId="1A9780C9" w14:textId="77777777" w:rsidR="002D1D1B" w:rsidRPr="002D1D1B" w:rsidRDefault="002D1D1B" w:rsidP="007F5CF4">
      <w:pPr>
        <w:pStyle w:val="Prrafodelista"/>
        <w:numPr>
          <w:ilvl w:val="0"/>
          <w:numId w:val="5"/>
        </w:numPr>
        <w:spacing w:after="240" w:line="240" w:lineRule="auto"/>
        <w:jc w:val="both"/>
        <w:rPr>
          <w:rFonts w:eastAsia="Times New Roman" w:cs="Times New Roman"/>
        </w:rPr>
      </w:pPr>
      <w:r w:rsidRPr="002D1D1B">
        <w:rPr>
          <w:rFonts w:eastAsia="Times New Roman" w:cs="Times New Roman"/>
        </w:rPr>
        <w:t>La prestación de servicios de telecomunicaciones y radiodifusión.</w:t>
      </w:r>
    </w:p>
    <w:p w14:paraId="41346E12" w14:textId="77777777" w:rsidR="002D1D1B" w:rsidRPr="002D1D1B" w:rsidRDefault="002D1D1B" w:rsidP="007F5CF4">
      <w:pPr>
        <w:pStyle w:val="Prrafodelista"/>
        <w:spacing w:after="240" w:line="240" w:lineRule="auto"/>
        <w:jc w:val="both"/>
        <w:rPr>
          <w:rFonts w:eastAsia="Times New Roman" w:cs="Times New Roman"/>
        </w:rPr>
      </w:pPr>
    </w:p>
    <w:p w14:paraId="136F7438" w14:textId="77777777" w:rsidR="002D1D1B" w:rsidRPr="002D1D1B" w:rsidRDefault="002D1D1B" w:rsidP="007F5CF4">
      <w:pPr>
        <w:spacing w:after="240" w:line="240" w:lineRule="auto"/>
        <w:jc w:val="both"/>
      </w:pPr>
      <w:r w:rsidRPr="002D1D1B">
        <w:t xml:space="preserve">Por su parte, el artículo 3 de la </w:t>
      </w:r>
      <w:proofErr w:type="spellStart"/>
      <w:proofErr w:type="gramStart"/>
      <w:r w:rsidRPr="002D1D1B">
        <w:t>LFTyR</w:t>
      </w:r>
      <w:proofErr w:type="spellEnd"/>
      <w:r w:rsidRPr="002D1D1B">
        <w:t xml:space="preserve"> ,</w:t>
      </w:r>
      <w:proofErr w:type="gramEnd"/>
      <w:r w:rsidRPr="002D1D1B">
        <w:t xml:space="preserve"> en su fracción XXIX, define:</w:t>
      </w:r>
    </w:p>
    <w:p w14:paraId="2D065AB3" w14:textId="77777777" w:rsidR="002D1D1B" w:rsidRPr="002D1D1B" w:rsidRDefault="002D1D1B" w:rsidP="007F5CF4">
      <w:pPr>
        <w:spacing w:after="240" w:line="240" w:lineRule="auto"/>
        <w:ind w:left="567" w:right="758"/>
        <w:jc w:val="both"/>
      </w:pPr>
      <w:r w:rsidRPr="002D1D1B">
        <w:rPr>
          <w:b/>
          <w:bCs/>
        </w:rPr>
        <w:t xml:space="preserve">“XXIX. Insumos esenciales: </w:t>
      </w:r>
      <w:r w:rsidRPr="002D1D1B">
        <w:t xml:space="preserve">Elementos de red o servicios que se proporcionan por un solo concesionario o un reducido número de concesionarios, cuya reproducción no es viable desde un punto de vista técnico, legal o económico y son insumos indispensables para la prestación de los servicios de telecomunicaciones y de radiodifusión. </w:t>
      </w:r>
      <w:r w:rsidRPr="002D1D1B">
        <w:rPr>
          <w:b/>
          <w:u w:val="single"/>
        </w:rPr>
        <w:t>En los casos no previstos</w:t>
      </w:r>
      <w:r w:rsidRPr="002D1D1B">
        <w:rPr>
          <w:u w:val="single"/>
        </w:rPr>
        <w:t xml:space="preserve"> </w:t>
      </w:r>
      <w:r w:rsidRPr="002D1D1B">
        <w:rPr>
          <w:b/>
          <w:u w:val="single"/>
        </w:rPr>
        <w:t>en esta Ley</w:t>
      </w:r>
      <w:r w:rsidRPr="002D1D1B">
        <w:rPr>
          <w:u w:val="single"/>
        </w:rPr>
        <w:t xml:space="preserve">, </w:t>
      </w:r>
      <w:r w:rsidRPr="002D1D1B">
        <w:rPr>
          <w:b/>
          <w:u w:val="single"/>
        </w:rPr>
        <w:t>el Instituto determinará la existencia</w:t>
      </w:r>
      <w:r w:rsidRPr="002D1D1B">
        <w:rPr>
          <w:u w:val="single"/>
        </w:rPr>
        <w:t xml:space="preserve"> y regulación al acceso de insumos esenciales en términos de lo dispuesto por la Ley Federal de Competencia Económica</w:t>
      </w:r>
      <w:r w:rsidRPr="002D1D1B">
        <w:t>;”</w:t>
      </w:r>
    </w:p>
    <w:p w14:paraId="0BB3C627" w14:textId="77777777" w:rsidR="002D1D1B" w:rsidRPr="002D1D1B" w:rsidRDefault="002D1D1B" w:rsidP="007F5CF4">
      <w:pPr>
        <w:spacing w:after="240" w:line="240" w:lineRule="auto"/>
        <w:jc w:val="both"/>
      </w:pPr>
      <w:r w:rsidRPr="002D1D1B">
        <w:t>Es decir, en términos de la LFTR para considerar que algún elemento de la red o servicio es un insumo esencial se requiere:</w:t>
      </w:r>
    </w:p>
    <w:p w14:paraId="0AC57F7E" w14:textId="77777777" w:rsidR="002D1D1B" w:rsidRPr="002D1D1B" w:rsidRDefault="002D1D1B" w:rsidP="007F5CF4">
      <w:pPr>
        <w:pStyle w:val="Prrafodelista"/>
        <w:numPr>
          <w:ilvl w:val="0"/>
          <w:numId w:val="7"/>
        </w:numPr>
        <w:spacing w:after="240" w:line="240" w:lineRule="auto"/>
        <w:jc w:val="both"/>
      </w:pPr>
      <w:r w:rsidRPr="002D1D1B">
        <w:t xml:space="preserve">Que la propia </w:t>
      </w:r>
      <w:proofErr w:type="spellStart"/>
      <w:r w:rsidRPr="002D1D1B">
        <w:t>LFTyR</w:t>
      </w:r>
      <w:proofErr w:type="spellEnd"/>
      <w:r w:rsidRPr="002D1D1B">
        <w:t xml:space="preserve"> lo establezca como tal; o</w:t>
      </w:r>
    </w:p>
    <w:p w14:paraId="55B8B686" w14:textId="77777777" w:rsidR="002D1D1B" w:rsidRPr="002D1D1B" w:rsidRDefault="002D1D1B" w:rsidP="007F5CF4">
      <w:pPr>
        <w:pStyle w:val="Prrafodelista"/>
        <w:numPr>
          <w:ilvl w:val="0"/>
          <w:numId w:val="7"/>
        </w:numPr>
        <w:spacing w:after="240" w:line="240" w:lineRule="auto"/>
        <w:jc w:val="both"/>
      </w:pPr>
      <w:r w:rsidRPr="002D1D1B">
        <w:t>Que el Instituto Federal de Telecomunicaciones (“IFT” o “Instituto”) determine su existencia.</w:t>
      </w:r>
    </w:p>
    <w:p w14:paraId="0C42A281" w14:textId="77777777" w:rsidR="002D1D1B" w:rsidRDefault="002D1D1B" w:rsidP="007F5CF4">
      <w:pPr>
        <w:spacing w:after="240" w:line="240" w:lineRule="auto"/>
        <w:jc w:val="both"/>
      </w:pPr>
      <w:r w:rsidRPr="002D1D1B">
        <w:lastRenderedPageBreak/>
        <w:t>Por su parte la Ley Federal de Competencia Económica (LFCE) que en materia de Telecomunicaciones y Radiodifusión aplica el Instituto, establece un procedimiento para determinar la existencia de un insumo esencial</w:t>
      </w:r>
      <w:r>
        <w:t>.</w:t>
      </w:r>
    </w:p>
    <w:p w14:paraId="639FA02F" w14:textId="690569F0" w:rsidR="002D1D1B" w:rsidRPr="002D1D1B" w:rsidRDefault="002D1D1B" w:rsidP="007F5CF4">
      <w:pPr>
        <w:spacing w:after="240" w:line="240" w:lineRule="auto"/>
        <w:jc w:val="both"/>
        <w:rPr>
          <w:lang w:val="es-ES"/>
        </w:rPr>
      </w:pPr>
      <w:r w:rsidRPr="002D1D1B">
        <w:rPr>
          <w:lang w:val="es-ES"/>
        </w:rPr>
        <w:t>Sección III</w:t>
      </w:r>
      <w:r w:rsidRPr="002D1D1B">
        <w:rPr>
          <w:rFonts w:ascii="MS Gothic" w:eastAsia="MS Gothic" w:hAnsi="MS Gothic" w:cs="MS Gothic" w:hint="eastAsia"/>
          <w:lang w:val="es-ES"/>
        </w:rPr>
        <w:t> </w:t>
      </w:r>
      <w:r w:rsidRPr="002D1D1B">
        <w:rPr>
          <w:lang w:val="es-ES"/>
        </w:rPr>
        <w:t>De la De</w:t>
      </w:r>
      <w:r>
        <w:rPr>
          <w:lang w:val="es-ES"/>
        </w:rPr>
        <w:t>terminación del Insumo Esencial.</w:t>
      </w:r>
    </w:p>
    <w:p w14:paraId="7DD12175" w14:textId="77777777" w:rsidR="002D1D1B" w:rsidRPr="002D1D1B" w:rsidRDefault="002D1D1B" w:rsidP="007F5CF4">
      <w:pPr>
        <w:spacing w:after="240" w:line="240" w:lineRule="auto"/>
        <w:jc w:val="both"/>
        <w:rPr>
          <w:lang w:val="es-ES"/>
        </w:rPr>
      </w:pPr>
      <w:r w:rsidRPr="002D1D1B">
        <w:rPr>
          <w:lang w:val="es-ES"/>
        </w:rPr>
        <w:t>ARTÍCULO 60.- Para determinar la existencia de insumo esencial, la Comisión [</w:t>
      </w:r>
      <w:r w:rsidRPr="002D1D1B">
        <w:rPr>
          <w:i/>
          <w:lang w:val="es-ES"/>
        </w:rPr>
        <w:t>El Instituto</w:t>
      </w:r>
      <w:r w:rsidRPr="002D1D1B">
        <w:rPr>
          <w:lang w:val="es-ES"/>
        </w:rPr>
        <w:t xml:space="preserve">] deberá considerar: </w:t>
      </w:r>
    </w:p>
    <w:p w14:paraId="5AFD8568" w14:textId="77777777" w:rsidR="002D1D1B" w:rsidRPr="002D1D1B" w:rsidRDefault="002D1D1B" w:rsidP="007F5CF4">
      <w:pPr>
        <w:pStyle w:val="Prrafodelista"/>
        <w:numPr>
          <w:ilvl w:val="0"/>
          <w:numId w:val="9"/>
        </w:numPr>
        <w:spacing w:after="240" w:line="240" w:lineRule="auto"/>
        <w:jc w:val="both"/>
        <w:rPr>
          <w:lang w:val="es-ES"/>
        </w:rPr>
      </w:pPr>
      <w:r w:rsidRPr="002D1D1B">
        <w:rPr>
          <w:lang w:val="es-ES"/>
        </w:rPr>
        <w:t xml:space="preserve">Si el insumo es controlado por uno, o varios Agentes Económicos con poder sustancial o que hayan sido determinados como preponderantes por el Instituto Federal de Telecomunicaciones; </w:t>
      </w:r>
    </w:p>
    <w:p w14:paraId="4AF3C305" w14:textId="77777777" w:rsidR="002D1D1B" w:rsidRPr="002D1D1B" w:rsidRDefault="002D1D1B" w:rsidP="007F5CF4">
      <w:pPr>
        <w:pStyle w:val="Prrafodelista"/>
        <w:numPr>
          <w:ilvl w:val="0"/>
          <w:numId w:val="9"/>
        </w:numPr>
        <w:spacing w:after="240" w:line="240" w:lineRule="auto"/>
        <w:jc w:val="both"/>
        <w:rPr>
          <w:lang w:val="es-ES"/>
        </w:rPr>
      </w:pPr>
      <w:r w:rsidRPr="002D1D1B">
        <w:rPr>
          <w:lang w:val="es-ES"/>
        </w:rPr>
        <w:t xml:space="preserve">Si no es viable la reproducción del insumo desde un punto de vista técnico, legal o económico por otro Agente Económico; </w:t>
      </w:r>
    </w:p>
    <w:p w14:paraId="048D614D" w14:textId="77777777" w:rsidR="002D1D1B" w:rsidRPr="002D1D1B" w:rsidRDefault="002D1D1B" w:rsidP="007F5CF4">
      <w:pPr>
        <w:pStyle w:val="Prrafodelista"/>
        <w:numPr>
          <w:ilvl w:val="0"/>
          <w:numId w:val="9"/>
        </w:numPr>
        <w:spacing w:after="240" w:line="240" w:lineRule="auto"/>
        <w:jc w:val="both"/>
        <w:rPr>
          <w:lang w:val="es-ES"/>
        </w:rPr>
      </w:pPr>
      <w:r w:rsidRPr="002D1D1B">
        <w:rPr>
          <w:lang w:val="es-ES"/>
        </w:rPr>
        <w:t xml:space="preserve">Si el insumo resulta indispensable para la provisión de bienes o servicios en uno o más mercados, y no tiene sustitutos cercanos; </w:t>
      </w:r>
    </w:p>
    <w:p w14:paraId="3EDA6937" w14:textId="77777777" w:rsidR="002D1D1B" w:rsidRPr="002D1D1B" w:rsidRDefault="002D1D1B" w:rsidP="007F5CF4">
      <w:pPr>
        <w:pStyle w:val="Prrafodelista"/>
        <w:numPr>
          <w:ilvl w:val="0"/>
          <w:numId w:val="9"/>
        </w:numPr>
        <w:spacing w:after="240" w:line="240" w:lineRule="auto"/>
        <w:jc w:val="both"/>
        <w:rPr>
          <w:lang w:val="es-ES"/>
        </w:rPr>
      </w:pPr>
      <w:r w:rsidRPr="002D1D1B">
        <w:rPr>
          <w:lang w:val="es-ES"/>
        </w:rPr>
        <w:t xml:space="preserve">Las circunstancias bajo las cuales el Agente Económico llegó a controlar el insumo, y V. Los demás criterios que, en su caso, se establezcan en las Disposiciones Regulatorias. </w:t>
      </w:r>
    </w:p>
    <w:p w14:paraId="5C033D31" w14:textId="4CBA32FF" w:rsidR="002D1D1B" w:rsidRPr="002D1D1B" w:rsidRDefault="002D1D1B" w:rsidP="007F5CF4">
      <w:pPr>
        <w:spacing w:after="240" w:line="240" w:lineRule="auto"/>
        <w:jc w:val="both"/>
        <w:rPr>
          <w:lang w:val="es-ES"/>
        </w:rPr>
      </w:pPr>
      <w:r w:rsidRPr="002D1D1B">
        <w:rPr>
          <w:lang w:val="es-ES"/>
        </w:rPr>
        <w:t>Y otro procedimiento para regular el acceso a un insumo esencial</w:t>
      </w:r>
      <w:r w:rsidR="00E7691D">
        <w:rPr>
          <w:lang w:val="es-ES"/>
        </w:rPr>
        <w:t>:</w:t>
      </w:r>
    </w:p>
    <w:p w14:paraId="1A546936" w14:textId="2D4393AA" w:rsidR="002D1D1B" w:rsidRPr="00A1318D" w:rsidRDefault="00A1318D" w:rsidP="00A1318D">
      <w:pPr>
        <w:spacing w:after="240" w:line="240" w:lineRule="auto"/>
        <w:jc w:val="both"/>
        <w:rPr>
          <w:lang w:val="es-ES"/>
        </w:rPr>
      </w:pPr>
      <w:bookmarkStart w:id="0" w:name="_GoBack"/>
      <w:r w:rsidRPr="00A1318D">
        <w:rPr>
          <w:lang w:val="es-ES"/>
        </w:rPr>
        <w:t>TÍTULO IV</w:t>
      </w:r>
    </w:p>
    <w:bookmarkEnd w:id="0"/>
    <w:p w14:paraId="33550CB8" w14:textId="77777777" w:rsidR="002D1D1B" w:rsidRPr="002D1D1B" w:rsidRDefault="002D1D1B" w:rsidP="007F5CF4">
      <w:pPr>
        <w:spacing w:after="240" w:line="240" w:lineRule="auto"/>
        <w:jc w:val="both"/>
        <w:rPr>
          <w:lang w:val="es-ES"/>
        </w:rPr>
      </w:pPr>
      <w:r w:rsidRPr="002D1D1B">
        <w:rPr>
          <w:lang w:val="es-ES"/>
        </w:rPr>
        <w:t xml:space="preserve">DE LOS PROCEDIMIENTOS ESPECIALES Capítulo I </w:t>
      </w:r>
    </w:p>
    <w:p w14:paraId="60D5BFFD" w14:textId="77777777" w:rsidR="002D1D1B" w:rsidRPr="002D1D1B" w:rsidRDefault="002D1D1B" w:rsidP="007F5CF4">
      <w:pPr>
        <w:spacing w:after="240" w:line="240" w:lineRule="auto"/>
        <w:jc w:val="both"/>
        <w:rPr>
          <w:lang w:val="es-ES"/>
        </w:rPr>
      </w:pPr>
      <w:r w:rsidRPr="002D1D1B">
        <w:rPr>
          <w:lang w:val="es-ES"/>
        </w:rPr>
        <w:t xml:space="preserve">De las Investigaciones para Determinar Insumos Esenciales o Barreras a la Competencia </w:t>
      </w:r>
    </w:p>
    <w:p w14:paraId="608155F5" w14:textId="77777777" w:rsidR="002D1D1B" w:rsidRPr="002D1D1B" w:rsidRDefault="002D1D1B" w:rsidP="007F5CF4">
      <w:pPr>
        <w:spacing w:after="240" w:line="240" w:lineRule="auto"/>
        <w:jc w:val="both"/>
        <w:rPr>
          <w:lang w:val="es-ES"/>
        </w:rPr>
      </w:pPr>
      <w:r w:rsidRPr="002D1D1B">
        <w:rPr>
          <w:lang w:val="es-ES"/>
        </w:rPr>
        <w:t>ARTÍCULO 94.- La Comisión [</w:t>
      </w:r>
      <w:r w:rsidRPr="002D1D1B">
        <w:rPr>
          <w:i/>
          <w:lang w:val="es-ES"/>
        </w:rPr>
        <w:t>El Instituto</w:t>
      </w:r>
      <w:r w:rsidRPr="002D1D1B">
        <w:rPr>
          <w:lang w:val="es-ES"/>
        </w:rPr>
        <w:t xml:space="preserve">] iniciará de oficio o a solicitud del Ejecutivo Federal, por sí o por conducto de la Secretaría, el procedimiento de investigación cuando existan elementos que hagan suponer que no existen condiciones de competencia efectiva en un mercado y con el fin de determinar la existencia de barreras a la competencia y libre concurrencia o insumos esenciales que puedan generar efectos anticompetitivos, mismo que se realizará conforme a lo siguiente: </w:t>
      </w:r>
    </w:p>
    <w:p w14:paraId="5CCB8780" w14:textId="77777777" w:rsidR="002D1D1B" w:rsidRPr="002D1D1B" w:rsidRDefault="002D1D1B" w:rsidP="007F5CF4">
      <w:pPr>
        <w:spacing w:after="240" w:line="240" w:lineRule="auto"/>
        <w:jc w:val="both"/>
        <w:rPr>
          <w:lang w:val="es-ES"/>
        </w:rPr>
      </w:pPr>
      <w:r w:rsidRPr="002D1D1B">
        <w:rPr>
          <w:lang w:val="es-ES"/>
        </w:rPr>
        <w:t>…</w:t>
      </w:r>
    </w:p>
    <w:p w14:paraId="071A0EC6" w14:textId="77777777" w:rsidR="002D1D1B" w:rsidRPr="002D1D1B" w:rsidRDefault="002D1D1B" w:rsidP="007F5CF4">
      <w:pPr>
        <w:spacing w:after="240" w:line="240" w:lineRule="auto"/>
        <w:jc w:val="both"/>
        <w:rPr>
          <w:lang w:val="es-ES"/>
        </w:rPr>
      </w:pPr>
      <w:r w:rsidRPr="002D1D1B">
        <w:rPr>
          <w:lang w:val="es-ES"/>
        </w:rPr>
        <w:t xml:space="preserve">La resolución de la Comisión podrá incluir: </w:t>
      </w:r>
    </w:p>
    <w:p w14:paraId="0DB56A2B" w14:textId="77777777" w:rsidR="002D1D1B" w:rsidRPr="002D1D1B" w:rsidRDefault="002D1D1B" w:rsidP="007F5CF4">
      <w:pPr>
        <w:numPr>
          <w:ilvl w:val="0"/>
          <w:numId w:val="10"/>
        </w:numPr>
        <w:spacing w:after="240" w:line="240" w:lineRule="auto"/>
        <w:jc w:val="both"/>
        <w:rPr>
          <w:lang w:val="es-ES"/>
        </w:rPr>
      </w:pPr>
      <w:r w:rsidRPr="002D1D1B">
        <w:rPr>
          <w:lang w:val="es-ES"/>
        </w:rPr>
        <w:t xml:space="preserve">c)  La determinación sobre la existencia de insumos esenciales y lineamientos para regular, según sea el caso, las modalidades de acceso, precios o tarifas, condiciones técnicas y calidad, así como el calendario de aplicación, o </w:t>
      </w:r>
      <w:r w:rsidRPr="002D1D1B">
        <w:rPr>
          <w:rFonts w:ascii="MS Gothic" w:eastAsia="MS Gothic" w:hAnsi="MS Gothic" w:cs="MS Gothic" w:hint="eastAsia"/>
          <w:lang w:val="es-ES"/>
        </w:rPr>
        <w:t> </w:t>
      </w:r>
    </w:p>
    <w:p w14:paraId="03B6BBDB" w14:textId="77777777" w:rsidR="002D1D1B" w:rsidRPr="002D1D1B" w:rsidRDefault="002D1D1B" w:rsidP="007F5CF4">
      <w:pPr>
        <w:numPr>
          <w:ilvl w:val="0"/>
          <w:numId w:val="10"/>
        </w:numPr>
        <w:spacing w:after="240" w:line="240" w:lineRule="auto"/>
        <w:jc w:val="both"/>
        <w:rPr>
          <w:lang w:val="es-ES"/>
        </w:rPr>
      </w:pPr>
      <w:r w:rsidRPr="002D1D1B">
        <w:rPr>
          <w:lang w:val="es-ES"/>
        </w:rPr>
        <w:t xml:space="preserve">d)  La desincorporación de activos, derechos, partes sociales o acciones del Agente Económico involucrado, en las proporciones necesarias para eliminar los efectos anticompetitivos, procederá cuando otras medidas correctivas no son suficientes para solucionar el problema de competencia identificado. </w:t>
      </w:r>
      <w:r w:rsidRPr="002D1D1B">
        <w:rPr>
          <w:rFonts w:ascii="MS Gothic" w:eastAsia="MS Gothic" w:hAnsi="MS Gothic" w:cs="MS Gothic" w:hint="eastAsia"/>
          <w:lang w:val="es-ES"/>
        </w:rPr>
        <w:t> </w:t>
      </w:r>
    </w:p>
    <w:p w14:paraId="1472C838" w14:textId="77777777" w:rsidR="002D1D1B" w:rsidRPr="002D1D1B" w:rsidRDefault="002D1D1B" w:rsidP="007F5CF4">
      <w:pPr>
        <w:spacing w:after="240" w:line="240" w:lineRule="auto"/>
        <w:jc w:val="both"/>
      </w:pPr>
      <w:r w:rsidRPr="002D1D1B">
        <w:lastRenderedPageBreak/>
        <w:t>En ambos casos, el Instituto está facultado para actuar y regular este acceso en caso de que se determine su existencia.</w:t>
      </w:r>
    </w:p>
    <w:p w14:paraId="1956D253" w14:textId="77777777" w:rsidR="002D1D1B" w:rsidRPr="002D1D1B" w:rsidRDefault="002D1D1B" w:rsidP="007F5CF4">
      <w:pPr>
        <w:spacing w:after="240" w:line="240" w:lineRule="auto"/>
        <w:jc w:val="both"/>
      </w:pPr>
      <w:r w:rsidRPr="002D1D1B">
        <w:t xml:space="preserve">Sin entrar por lo pronto al análisis de los derechos de vía como insumos esenciales, que se realiza posteriormente en el presente documento, vale la pena retomar, a manera de ejemplo, un insumo esencial definido por la propia Ley. Así, el artículo 269, fracción V, segundo párrafo de la </w:t>
      </w:r>
      <w:proofErr w:type="spellStart"/>
      <w:r w:rsidRPr="002D1D1B">
        <w:t>LFTyR</w:t>
      </w:r>
      <w:proofErr w:type="spellEnd"/>
      <w:r w:rsidRPr="002D1D1B">
        <w:t xml:space="preserve"> establece:</w:t>
      </w:r>
    </w:p>
    <w:p w14:paraId="32CF683C" w14:textId="77777777" w:rsidR="002D1D1B" w:rsidRPr="002D1D1B" w:rsidRDefault="002D1D1B" w:rsidP="007F5CF4">
      <w:pPr>
        <w:spacing w:after="240" w:line="240" w:lineRule="auto"/>
        <w:ind w:left="720" w:right="616"/>
        <w:jc w:val="both"/>
      </w:pPr>
      <w:r w:rsidRPr="002D1D1B">
        <w:rPr>
          <w:b/>
        </w:rPr>
        <w:t>“V</w:t>
      </w:r>
      <w:proofErr w:type="gramStart"/>
      <w:r w:rsidRPr="002D1D1B">
        <w:t>. …</w:t>
      </w:r>
      <w:proofErr w:type="gramEnd"/>
    </w:p>
    <w:p w14:paraId="4AF2B528" w14:textId="77777777" w:rsidR="002D1D1B" w:rsidRPr="002D1D1B" w:rsidRDefault="002D1D1B" w:rsidP="007F5CF4">
      <w:pPr>
        <w:spacing w:after="240" w:line="240" w:lineRule="auto"/>
        <w:ind w:left="708" w:right="616"/>
        <w:jc w:val="both"/>
      </w:pPr>
      <w:r w:rsidRPr="002D1D1B">
        <w:t xml:space="preserve">Las medidas a que se refiere el </w:t>
      </w:r>
      <w:proofErr w:type="spellStart"/>
      <w:r w:rsidRPr="002D1D1B">
        <w:t>párrafo</w:t>
      </w:r>
      <w:proofErr w:type="spellEnd"/>
      <w:r w:rsidRPr="002D1D1B">
        <w:t xml:space="preserve"> anterior </w:t>
      </w:r>
      <w:proofErr w:type="spellStart"/>
      <w:r w:rsidRPr="002D1D1B">
        <w:rPr>
          <w:u w:val="single"/>
        </w:rPr>
        <w:t>deberán</w:t>
      </w:r>
      <w:proofErr w:type="spellEnd"/>
      <w:r w:rsidRPr="002D1D1B">
        <w:rPr>
          <w:u w:val="single"/>
        </w:rPr>
        <w:t xml:space="preserve"> considerar como insumo esencial todos los elementos necesarios para la </w:t>
      </w:r>
      <w:proofErr w:type="spellStart"/>
      <w:r w:rsidRPr="002D1D1B">
        <w:rPr>
          <w:u w:val="single"/>
        </w:rPr>
        <w:t>desagregación</w:t>
      </w:r>
      <w:proofErr w:type="spellEnd"/>
      <w:r w:rsidRPr="002D1D1B">
        <w:rPr>
          <w:u w:val="single"/>
        </w:rPr>
        <w:t xml:space="preserve"> efectiva de la red </w:t>
      </w:r>
      <w:proofErr w:type="spellStart"/>
      <w:r w:rsidRPr="002D1D1B">
        <w:rPr>
          <w:u w:val="single"/>
        </w:rPr>
        <w:t>pública</w:t>
      </w:r>
      <w:proofErr w:type="spellEnd"/>
      <w:r w:rsidRPr="002D1D1B">
        <w:rPr>
          <w:u w:val="single"/>
        </w:rPr>
        <w:t xml:space="preserve"> de telecomunicaciones local</w:t>
      </w:r>
      <w:r w:rsidRPr="002D1D1B">
        <w:t xml:space="preserve">.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 </w:t>
      </w:r>
    </w:p>
    <w:p w14:paraId="502C0392" w14:textId="77777777" w:rsidR="002D1D1B" w:rsidRPr="002D1D1B" w:rsidRDefault="002D1D1B" w:rsidP="007F5CF4">
      <w:pPr>
        <w:spacing w:after="240" w:line="240" w:lineRule="auto"/>
        <w:jc w:val="both"/>
      </w:pPr>
      <w:r w:rsidRPr="002D1D1B">
        <w:t xml:space="preserve">Por otra parte, el concepto de derecho de vía, aunque en el contexto de carreteras federales, también se encuentra definido en el artículo 2, fracción IV, del </w:t>
      </w:r>
      <w:r w:rsidRPr="002D1D1B">
        <w:rPr>
          <w:rFonts w:eastAsia="Times New Roman" w:cs="Times New Roman"/>
        </w:rPr>
        <w:t>Reglamento para el Aprovechamiento del Derecho de Vía de las Carreteras Federales y Zonas Aledañas (“Reglamento”)</w:t>
      </w:r>
      <w:r w:rsidRPr="002D1D1B">
        <w:rPr>
          <w:rStyle w:val="Refdenotaalpie"/>
          <w:rFonts w:eastAsia="Times New Roman" w:cs="Times New Roman"/>
        </w:rPr>
        <w:footnoteReference w:id="2"/>
      </w:r>
      <w:r w:rsidRPr="002D1D1B">
        <w:rPr>
          <w:rFonts w:eastAsia="Times New Roman" w:cs="Times New Roman"/>
        </w:rPr>
        <w:t>, que establece:</w:t>
      </w:r>
    </w:p>
    <w:p w14:paraId="4DF681D9" w14:textId="77777777" w:rsidR="002D1D1B" w:rsidRPr="002D1D1B" w:rsidRDefault="002D1D1B" w:rsidP="007F5CF4">
      <w:pPr>
        <w:spacing w:after="240" w:line="240" w:lineRule="auto"/>
        <w:ind w:left="567" w:right="758"/>
        <w:jc w:val="both"/>
        <w:rPr>
          <w:rFonts w:eastAsia="Times New Roman" w:cs="Times New Roman"/>
        </w:rPr>
      </w:pPr>
      <w:r w:rsidRPr="002D1D1B">
        <w:rPr>
          <w:rFonts w:eastAsia="Times New Roman" w:cs="Times New Roman"/>
          <w:b/>
        </w:rPr>
        <w:t>“IV.</w:t>
      </w:r>
      <w:r w:rsidRPr="002D1D1B">
        <w:rPr>
          <w:rFonts w:eastAsia="Times New Roman" w:cs="Times New Roman"/>
        </w:rPr>
        <w:t xml:space="preserve"> </w:t>
      </w:r>
      <w:r w:rsidRPr="002D1D1B">
        <w:rPr>
          <w:rFonts w:eastAsia="Times New Roman" w:cs="Times New Roman"/>
          <w:b/>
        </w:rPr>
        <w:t>Derecho de Vía:</w:t>
      </w:r>
      <w:r w:rsidRPr="002D1D1B">
        <w:rPr>
          <w:rFonts w:eastAsia="Times New Roman" w:cs="Times New Roman"/>
        </w:rPr>
        <w:t xml:space="preserve"> bien del dominio público de la Federación constituido por la franja de terreno de anchura variable, cuyas dimensiones fija la Secretaría, que se requiere para la construcción, conservación, ampliación, protección y en general para el uso adecuado de una vía de comunicación carretera y sus servicios auxiliares”.</w:t>
      </w:r>
      <w:r w:rsidRPr="002D1D1B">
        <w:rPr>
          <w:rStyle w:val="Refdenotaalpie"/>
          <w:rFonts w:eastAsia="Times New Roman" w:cs="Times New Roman"/>
        </w:rPr>
        <w:footnoteReference w:id="3"/>
      </w:r>
    </w:p>
    <w:p w14:paraId="28D6ED3C" w14:textId="77777777" w:rsidR="002D1D1B" w:rsidRPr="002D1D1B" w:rsidRDefault="002D1D1B" w:rsidP="007F5CF4">
      <w:pPr>
        <w:spacing w:after="240" w:line="240" w:lineRule="auto"/>
        <w:jc w:val="both"/>
        <w:rPr>
          <w:b/>
        </w:rPr>
      </w:pPr>
      <w:r w:rsidRPr="002D1D1B">
        <w:t xml:space="preserve">Sin embargo, en este caso se encuentra claramente acotado el concepto a la </w:t>
      </w:r>
      <w:r w:rsidRPr="002D1D1B">
        <w:rPr>
          <w:rFonts w:eastAsia="Times New Roman" w:cs="Times New Roman"/>
        </w:rPr>
        <w:t>construcción, conservación, ampliación, protección y uso de</w:t>
      </w:r>
      <w:r w:rsidRPr="002D1D1B">
        <w:t xml:space="preserve"> vías de comunicación carretera y sus servicios auxiliares, por lo que no puede entenderse que las facultades de la SCT se extiendan, a partir de éste artículo, a derechos de vía en materia de telecomunicaciones.</w:t>
      </w:r>
    </w:p>
    <w:p w14:paraId="40EE0C6E" w14:textId="77777777" w:rsidR="002D1D1B" w:rsidRPr="002D1D1B" w:rsidRDefault="002D1D1B" w:rsidP="007F5CF4">
      <w:pPr>
        <w:spacing w:after="240" w:line="240" w:lineRule="auto"/>
        <w:jc w:val="both"/>
        <w:rPr>
          <w:rFonts w:eastAsia="ITC Avant Garde" w:cs="ITC Avant Garde"/>
          <w:bCs/>
        </w:rPr>
      </w:pPr>
      <w:r w:rsidRPr="002D1D1B">
        <w:rPr>
          <w:rFonts w:eastAsia="Times New Roman" w:cs="Times New Roman"/>
        </w:rPr>
        <w:t>Vale la pena señalar que, actualmente, el IFT lleva a cabo la consulta pública relativa al “</w:t>
      </w:r>
      <w:r w:rsidRPr="002D1D1B">
        <w:rPr>
          <w:rFonts w:eastAsia="ITC Avant Garde" w:cs="ITC Avant Garde"/>
          <w:bCs/>
        </w:rPr>
        <w:t xml:space="preserve">Anteproyecto de Lineamientos para la Entrega y Acceso de Información por parte de los Concesionarios, Autorizados, Particulares, </w:t>
      </w:r>
      <w:r w:rsidRPr="002D1D1B">
        <w:rPr>
          <w:rFonts w:eastAsia="ITC Avant Garde" w:cs="ITC Avant Garde"/>
        </w:rPr>
        <w:t>Instituciones Públicas,</w:t>
      </w:r>
      <w:r w:rsidRPr="002D1D1B">
        <w:rPr>
          <w:rFonts w:eastAsia="ITC Avant Garde" w:cs="ITC Avant Garde"/>
          <w:bCs/>
        </w:rPr>
        <w:t xml:space="preserve"> Universidades y Centros de Investigación, para la Conformación del Sistema Nacional de Información de Infraestructura” </w:t>
      </w:r>
      <w:r w:rsidRPr="002D1D1B">
        <w:rPr>
          <w:rFonts w:eastAsia="ITC Avant Garde" w:cs="ITC Avant Garde"/>
          <w:bCs/>
        </w:rPr>
        <w:lastRenderedPageBreak/>
        <w:t>(“Anteproyecto”)</w:t>
      </w:r>
      <w:r w:rsidRPr="002D1D1B">
        <w:rPr>
          <w:rStyle w:val="Refdenotaalpie"/>
          <w:rFonts w:eastAsia="ITC Avant Garde" w:cs="ITC Avant Garde"/>
          <w:bCs/>
        </w:rPr>
        <w:footnoteReference w:id="4"/>
      </w:r>
      <w:r w:rsidRPr="002D1D1B">
        <w:rPr>
          <w:rFonts w:eastAsia="ITC Avant Garde" w:cs="ITC Avant Garde"/>
          <w:bCs/>
        </w:rPr>
        <w:t>, en cuyo  lineamiento quinto, fracción X, se establece una propuesta de definición de derechos de vía:</w:t>
      </w:r>
    </w:p>
    <w:p w14:paraId="7CE73AA2" w14:textId="77777777" w:rsidR="002D1D1B" w:rsidRPr="002D1D1B" w:rsidRDefault="002D1D1B" w:rsidP="007F5CF4">
      <w:pPr>
        <w:spacing w:after="240" w:line="240" w:lineRule="auto"/>
        <w:ind w:left="567" w:right="758"/>
        <w:jc w:val="both"/>
        <w:rPr>
          <w:rFonts w:eastAsia="ITC Avant Garde" w:cs="ITC Avant Garde"/>
        </w:rPr>
      </w:pPr>
      <w:r w:rsidRPr="002D1D1B">
        <w:rPr>
          <w:rFonts w:eastAsia="ITC Avant Garde" w:cs="ITC Avant Garde"/>
          <w:b/>
          <w:bCs/>
        </w:rPr>
        <w:t xml:space="preserve">“QUINTO.- </w:t>
      </w:r>
      <w:r w:rsidRPr="002D1D1B">
        <w:rPr>
          <w:rFonts w:eastAsia="ITC Avant Garde" w:cs="ITC Avant Garde"/>
        </w:rPr>
        <w:t>Además de las definiciones contenidas en la Ley Federal de Telecomunicaciones y Radiodifusión, y demás disposiciones aplicables, para efectos de los presentes Lineamientos se entenderá por:</w:t>
      </w:r>
    </w:p>
    <w:p w14:paraId="4DC154C8" w14:textId="77777777" w:rsidR="002D1D1B" w:rsidRPr="002D1D1B" w:rsidRDefault="002D1D1B" w:rsidP="007F5CF4">
      <w:pPr>
        <w:spacing w:after="240" w:line="240" w:lineRule="auto"/>
        <w:ind w:left="567" w:right="758"/>
        <w:jc w:val="both"/>
        <w:rPr>
          <w:rFonts w:eastAsia="ITC Avant Garde" w:cs="ITC Avant Garde"/>
        </w:rPr>
      </w:pPr>
      <w:r w:rsidRPr="002D1D1B">
        <w:rPr>
          <w:rFonts w:eastAsia="ITC Avant Garde" w:cs="ITC Avant Garde"/>
        </w:rPr>
        <w:t>…</w:t>
      </w:r>
    </w:p>
    <w:p w14:paraId="0CDE6748" w14:textId="77777777" w:rsidR="002D1D1B" w:rsidRPr="002D1D1B" w:rsidRDefault="002D1D1B" w:rsidP="007F5CF4">
      <w:pPr>
        <w:spacing w:after="240" w:line="240" w:lineRule="auto"/>
        <w:ind w:left="567" w:right="758"/>
        <w:jc w:val="both"/>
        <w:rPr>
          <w:rFonts w:eastAsia="ITC Avant Garde" w:cs="ITC Avant Garde"/>
          <w:bCs/>
        </w:rPr>
      </w:pPr>
      <w:r w:rsidRPr="002D1D1B">
        <w:rPr>
          <w:rFonts w:eastAsia="ITC Avant Garde" w:cs="ITC Avant Garde"/>
          <w:b/>
          <w:bCs/>
        </w:rPr>
        <w:t xml:space="preserve">X.- Derechos de Vía: </w:t>
      </w:r>
      <w:r w:rsidRPr="002D1D1B">
        <w:rPr>
          <w:rFonts w:eastAsia="ITC Avant Garde" w:cs="ITC Avant Garde"/>
          <w:bCs/>
        </w:rPr>
        <w:t>El espacio físico de anchura y/o profundidad variable que cuenta con los Derechos de Paso y Uso necesarios o susceptibles de utilización para la construcción, conservación, ampliación, protección, mantenimiento y en general para el uso adecuado de redes públicas de telecomunicaciones, estaciones de radiodifusión y equipos complementarios”.</w:t>
      </w:r>
    </w:p>
    <w:p w14:paraId="179FE11A" w14:textId="77777777" w:rsidR="002D1D1B" w:rsidRPr="002D1D1B" w:rsidRDefault="002D1D1B" w:rsidP="007F5CF4">
      <w:pPr>
        <w:spacing w:after="240" w:line="240" w:lineRule="auto"/>
        <w:jc w:val="both"/>
        <w:rPr>
          <w:rFonts w:eastAsia="ITC Avant Garde" w:cs="ITC Avant Garde"/>
          <w:bCs/>
        </w:rPr>
      </w:pPr>
      <w:r w:rsidRPr="002D1D1B">
        <w:rPr>
          <w:rFonts w:eastAsia="ITC Avant Garde" w:cs="ITC Avant Garde"/>
          <w:bCs/>
        </w:rPr>
        <w:t>En ese sentido, a partir del Anteproyecto tenemos un esbozo de lo que, actualmente, el Instituto ha considerado como derechos de vía en materia de telecomunicaciones y radiodifusión, aunque dicha definición carece de fuerza legal a la fecha.</w:t>
      </w:r>
    </w:p>
    <w:p w14:paraId="7183D7B2" w14:textId="77777777" w:rsidR="002D1D1B" w:rsidRPr="00A1318D" w:rsidRDefault="002D1D1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II</w:t>
      </w:r>
      <w:proofErr w:type="gramStart"/>
      <w:r w:rsidRPr="00A1318D">
        <w:rPr>
          <w:b/>
          <w:color w:val="0D0D0D" w:themeColor="text1" w:themeTint="F2"/>
          <w:sz w:val="24"/>
          <w:szCs w:val="24"/>
          <w:lang w:val="es-ES"/>
        </w:rPr>
        <w:t>.-</w:t>
      </w:r>
      <w:proofErr w:type="gramEnd"/>
      <w:r w:rsidRPr="00A1318D">
        <w:rPr>
          <w:b/>
          <w:color w:val="0D0D0D" w:themeColor="text1" w:themeTint="F2"/>
          <w:sz w:val="24"/>
          <w:szCs w:val="24"/>
          <w:lang w:val="es-ES"/>
        </w:rPr>
        <w:t xml:space="preserve"> REGULACIÓN, PROMOCIÓN Y SUPERVISIÓN DEL ACCESO A INFRAESTRUCTURA PASIVA, POR PARTE DEL INSTITUTO.</w:t>
      </w:r>
    </w:p>
    <w:p w14:paraId="375C2FA4" w14:textId="77777777" w:rsidR="002D1D1B" w:rsidRPr="002D1D1B" w:rsidRDefault="002D1D1B" w:rsidP="007F5CF4">
      <w:pPr>
        <w:spacing w:after="240" w:line="240" w:lineRule="auto"/>
        <w:jc w:val="both"/>
        <w:rPr>
          <w:rFonts w:eastAsia="Times New Roman" w:cs="Times New Roman"/>
        </w:rPr>
      </w:pPr>
      <w:r w:rsidRPr="002D1D1B">
        <w:rPr>
          <w:rFonts w:eastAsia="Times New Roman" w:cs="Times New Roman"/>
        </w:rPr>
        <w:t>Ahora bien, una vez que ha quedado claro que los derechos de vía, cuando son necesarios para la instalación y operación de las redes, así como para la prestación de servicios de telecomunicaciones y radiodifusión, forman parte de la infraestructura pasiva de telecomunicaciones y radiodifusión, es importante considerar lo que se señala a continuación en materia de facultades.</w:t>
      </w:r>
    </w:p>
    <w:p w14:paraId="1B3F8E55" w14:textId="64698E0A" w:rsidR="002D1D1B" w:rsidRPr="002D1D1B" w:rsidRDefault="002D1D1B" w:rsidP="007F5CF4">
      <w:pPr>
        <w:spacing w:after="240" w:line="240" w:lineRule="auto"/>
        <w:jc w:val="both"/>
        <w:rPr>
          <w:rFonts w:eastAsia="Times New Roman" w:cs="Times New Roman"/>
        </w:rPr>
      </w:pPr>
      <w:r w:rsidRPr="002D1D1B">
        <w:rPr>
          <w:rFonts w:eastAsia="Times New Roman" w:cs="Times New Roman"/>
        </w:rPr>
        <w:t xml:space="preserve">Conforme al artículo 28, párrafo </w:t>
      </w:r>
      <w:r w:rsidR="00E7691D" w:rsidRPr="002D1D1B">
        <w:rPr>
          <w:rFonts w:eastAsia="Times New Roman" w:cs="Times New Roman"/>
        </w:rPr>
        <w:t>décimo</w:t>
      </w:r>
      <w:r w:rsidRPr="002D1D1B">
        <w:rPr>
          <w:rFonts w:eastAsia="Times New Roman" w:cs="Times New Roman"/>
        </w:rPr>
        <w:t xml:space="preserve"> quinto, de la Constitución Política de los Estados Unidos Mexicanos (“CPEUM”), el IFT es la autoridad encargada de regular, promover y supervisar el acceso a infraestructura activa y pasiva, entre otras: </w:t>
      </w:r>
    </w:p>
    <w:p w14:paraId="7F2466AA" w14:textId="77777777" w:rsidR="002D1D1B" w:rsidRPr="002D1D1B" w:rsidRDefault="002D1D1B" w:rsidP="007F5CF4">
      <w:pPr>
        <w:spacing w:after="240" w:line="240" w:lineRule="auto"/>
        <w:ind w:left="567" w:right="900"/>
        <w:jc w:val="both"/>
        <w:rPr>
          <w:rFonts w:eastAsia="Times New Roman" w:cs="Times New Roman"/>
        </w:rPr>
      </w:pPr>
      <w:r w:rsidRPr="002D1D1B">
        <w:rPr>
          <w:rFonts w:eastAsia="Times New Roman" w:cs="Times New Roman"/>
        </w:rPr>
        <w:t xml:space="preserve">“El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w:t>
      </w:r>
      <w:r w:rsidRPr="002D1D1B">
        <w:rPr>
          <w:rFonts w:eastAsia="Times New Roman" w:cs="Times New Roman"/>
          <w:u w:val="single"/>
        </w:rPr>
        <w:t xml:space="preserve">tendrá a su cargo la regulación, promoción y supervisión </w:t>
      </w:r>
      <w:r w:rsidRPr="002D1D1B">
        <w:rPr>
          <w:rFonts w:eastAsia="Times New Roman" w:cs="Times New Roman"/>
        </w:rPr>
        <w:t xml:space="preserve">del uso, aprovechamiento y explotación del espectro radioeléctrico, las redes y la prestación de los servicios de radiodifusión y telecomunicaciones, así como </w:t>
      </w:r>
      <w:r w:rsidRPr="002D1D1B">
        <w:rPr>
          <w:rFonts w:eastAsia="Times New Roman" w:cs="Times New Roman"/>
          <w:u w:val="single"/>
        </w:rPr>
        <w:t>de</w:t>
      </w:r>
      <w:r w:rsidRPr="002D1D1B">
        <w:rPr>
          <w:rFonts w:eastAsia="Times New Roman" w:cs="Times New Roman"/>
        </w:rPr>
        <w:t xml:space="preserve">l </w:t>
      </w:r>
      <w:r w:rsidRPr="002D1D1B">
        <w:rPr>
          <w:rFonts w:eastAsia="Times New Roman" w:cs="Times New Roman"/>
          <w:u w:val="single"/>
        </w:rPr>
        <w:t>acceso a</w:t>
      </w:r>
      <w:r w:rsidRPr="002D1D1B">
        <w:rPr>
          <w:rFonts w:eastAsia="Times New Roman" w:cs="Times New Roman"/>
        </w:rPr>
        <w:t xml:space="preserve"> </w:t>
      </w:r>
      <w:r w:rsidRPr="002D1D1B">
        <w:rPr>
          <w:rFonts w:eastAsia="Times New Roman" w:cs="Times New Roman"/>
          <w:u w:val="single"/>
        </w:rPr>
        <w:t xml:space="preserve">infraestructura activa, pasiva </w:t>
      </w:r>
      <w:r w:rsidRPr="002D1D1B">
        <w:rPr>
          <w:rFonts w:eastAsia="Times New Roman" w:cs="Times New Roman"/>
        </w:rPr>
        <w:t>y otros insumos esenciales, garantizando lo establecido en los artículos 6o. y 7o. de esta Constitución.”</w:t>
      </w:r>
    </w:p>
    <w:p w14:paraId="792C4F52" w14:textId="77777777" w:rsidR="002D1D1B" w:rsidRPr="002D1D1B" w:rsidRDefault="002D1D1B" w:rsidP="007F5CF4">
      <w:pPr>
        <w:spacing w:after="240" w:line="240" w:lineRule="auto"/>
        <w:jc w:val="both"/>
        <w:rPr>
          <w:rFonts w:eastAsia="Times New Roman" w:cs="Times New Roman"/>
        </w:rPr>
      </w:pPr>
      <w:r w:rsidRPr="002D1D1B">
        <w:rPr>
          <w:rFonts w:eastAsia="Times New Roman" w:cs="Times New Roman"/>
        </w:rPr>
        <w:lastRenderedPageBreak/>
        <w:t xml:space="preserve">En concordancia con el párrafo citado del artículo 28 de la CPEUM, el artículo 7, segundo párrafo, de la </w:t>
      </w:r>
      <w:proofErr w:type="spellStart"/>
      <w:r w:rsidRPr="002D1D1B">
        <w:rPr>
          <w:rFonts w:eastAsia="Times New Roman" w:cs="Times New Roman"/>
        </w:rPr>
        <w:t>LFTyR</w:t>
      </w:r>
      <w:proofErr w:type="spellEnd"/>
      <w:r w:rsidRPr="002D1D1B">
        <w:rPr>
          <w:rFonts w:eastAsia="Times New Roman" w:cs="Times New Roman"/>
        </w:rPr>
        <w:t xml:space="preserve"> establece:</w:t>
      </w:r>
    </w:p>
    <w:p w14:paraId="7E1C1C30" w14:textId="77777777" w:rsidR="002D1D1B" w:rsidRPr="002D1D1B" w:rsidRDefault="002D1D1B" w:rsidP="007F5CF4">
      <w:pPr>
        <w:spacing w:after="240" w:line="240" w:lineRule="auto"/>
        <w:ind w:left="567" w:right="758"/>
        <w:jc w:val="both"/>
        <w:rPr>
          <w:rFonts w:eastAsia="Times New Roman" w:cs="Times New Roman"/>
        </w:rPr>
      </w:pPr>
      <w:r w:rsidRPr="002D1D1B">
        <w:rPr>
          <w:rFonts w:eastAsia="Times New Roman" w:cs="Times New Roman"/>
        </w:rPr>
        <w:t xml:space="preserve">“El Instituto </w:t>
      </w:r>
      <w:r w:rsidRPr="002D1D1B">
        <w:rPr>
          <w:rFonts w:eastAsia="Times New Roman" w:cs="Times New Roman"/>
          <w:u w:val="single"/>
        </w:rPr>
        <w:t xml:space="preserve">tiene a su cargo la regulación, promoción y supervisión </w:t>
      </w:r>
      <w:r w:rsidRPr="002D1D1B">
        <w:rPr>
          <w:rFonts w:eastAsia="Times New Roman" w:cs="Times New Roman"/>
        </w:rPr>
        <w:t xml:space="preserve">del uso, aprovechamiento y explotación del espectro radioeléctrico, los recursos orbitales, los servicios satelitales, las redes públicas de telecomunicaciones y la prestación de los servicios de radiodifusión y de telecomunicaciones, así como </w:t>
      </w:r>
      <w:r w:rsidRPr="002D1D1B">
        <w:rPr>
          <w:rFonts w:eastAsia="Times New Roman" w:cs="Times New Roman"/>
          <w:u w:val="single"/>
        </w:rPr>
        <w:t>del acceso a la infraestructura activa y pasiva y otros insumos esenciales</w:t>
      </w:r>
      <w:r w:rsidRPr="002D1D1B">
        <w:rPr>
          <w:rFonts w:eastAsia="Times New Roman" w:cs="Times New Roman"/>
        </w:rPr>
        <w:t>, sin perjuicio de las atribuciones que corresponden a otras autoridades en los términos de la legislación correspondiente.”</w:t>
      </w:r>
    </w:p>
    <w:p w14:paraId="19D84A65" w14:textId="77777777" w:rsidR="002D1D1B" w:rsidRPr="002D1D1B" w:rsidRDefault="002D1D1B" w:rsidP="007F5CF4">
      <w:pPr>
        <w:spacing w:after="240" w:line="240" w:lineRule="auto"/>
        <w:jc w:val="both"/>
        <w:rPr>
          <w:rFonts w:eastAsia="Times New Roman" w:cs="Times New Roman"/>
        </w:rPr>
      </w:pPr>
      <w:r w:rsidRPr="002D1D1B">
        <w:rPr>
          <w:rFonts w:eastAsia="Times New Roman" w:cs="Times New Roman"/>
        </w:rPr>
        <w:t xml:space="preserve">De lo anterior, es claro que el Instituto es el órgano constitucionalmente facultado para regular, promover y supervisar el acceso a la infraestructura pasiva en los sectores de telecomunicaciones y radiodifusión. </w:t>
      </w:r>
    </w:p>
    <w:p w14:paraId="4587B9DF" w14:textId="77777777" w:rsidR="002D1D1B" w:rsidRPr="002D1D1B" w:rsidRDefault="002D1D1B" w:rsidP="007F5CF4">
      <w:pPr>
        <w:spacing w:after="240" w:line="240" w:lineRule="auto"/>
        <w:jc w:val="both"/>
        <w:rPr>
          <w:rFonts w:eastAsia="Times New Roman" w:cs="Times New Roman"/>
        </w:rPr>
      </w:pPr>
      <w:r w:rsidRPr="002D1D1B">
        <w:rPr>
          <w:rFonts w:eastAsia="Times New Roman" w:cs="Times New Roman"/>
        </w:rPr>
        <w:t xml:space="preserve">En ese orden de ideas, los derechos de vía, cuando sean necesarios para la instalación y operación de las redes, así como para la prestación de servicios de telecomunicaciones y radiodifusión, al ser considerados infraestructura pasiva, </w:t>
      </w:r>
      <w:r w:rsidRPr="002D1D1B">
        <w:rPr>
          <w:rFonts w:eastAsia="Times New Roman" w:cs="Times New Roman"/>
          <w:u w:val="single"/>
        </w:rPr>
        <w:t>únicamente pueden ser regulados por el Instituto</w:t>
      </w:r>
      <w:r w:rsidRPr="002D1D1B">
        <w:rPr>
          <w:rFonts w:eastAsia="Times New Roman" w:cs="Times New Roman"/>
        </w:rPr>
        <w:t xml:space="preserve">, en términos del artículo 28 de la CPEUM y el artículo 3. </w:t>
      </w:r>
      <w:proofErr w:type="gramStart"/>
      <w:r w:rsidRPr="002D1D1B">
        <w:rPr>
          <w:rFonts w:eastAsia="Times New Roman" w:cs="Times New Roman"/>
        </w:rPr>
        <w:t>fracción</w:t>
      </w:r>
      <w:proofErr w:type="gramEnd"/>
      <w:r w:rsidRPr="002D1D1B">
        <w:rPr>
          <w:rFonts w:eastAsia="Times New Roman" w:cs="Times New Roman"/>
        </w:rPr>
        <w:t xml:space="preserve"> XXVII, de la </w:t>
      </w:r>
      <w:proofErr w:type="spellStart"/>
      <w:r w:rsidRPr="002D1D1B">
        <w:rPr>
          <w:rFonts w:eastAsia="Times New Roman" w:cs="Times New Roman"/>
        </w:rPr>
        <w:t>LFTyR</w:t>
      </w:r>
      <w:proofErr w:type="spellEnd"/>
      <w:r w:rsidRPr="002D1D1B">
        <w:rPr>
          <w:rFonts w:eastAsia="Times New Roman" w:cs="Times New Roman"/>
        </w:rPr>
        <w:t>.</w:t>
      </w:r>
    </w:p>
    <w:p w14:paraId="309737DE" w14:textId="77777777" w:rsidR="002D1D1B" w:rsidRPr="00A1318D" w:rsidRDefault="002D1D1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III.- FACULTAD DEL INSTITUTO PARA EXPEDIR LINEAMIENTOS TÉCNICOS RELATIVOS A INFRAESTRUCTURA PASIVA.</w:t>
      </w:r>
    </w:p>
    <w:p w14:paraId="22CFAE71" w14:textId="77777777" w:rsidR="002D1D1B" w:rsidRPr="002D1D1B" w:rsidRDefault="002D1D1B" w:rsidP="007F5CF4">
      <w:pPr>
        <w:spacing w:after="240" w:line="240" w:lineRule="auto"/>
        <w:jc w:val="both"/>
        <w:rPr>
          <w:rFonts w:eastAsia="Times New Roman" w:cs="Times New Roman"/>
        </w:rPr>
      </w:pPr>
      <w:r w:rsidRPr="002D1D1B">
        <w:t xml:space="preserve">En el mismo orden de ideas del apartado anterior, el artículo 7, cuarto párrafo, de la </w:t>
      </w:r>
      <w:proofErr w:type="spellStart"/>
      <w:r w:rsidRPr="002D1D1B">
        <w:t>LFTyR</w:t>
      </w:r>
      <w:proofErr w:type="spellEnd"/>
      <w:r w:rsidRPr="002D1D1B">
        <w:t xml:space="preserve"> establece que: </w:t>
      </w:r>
      <w:r w:rsidRPr="002D1D1B">
        <w:rPr>
          <w:rFonts w:eastAsia="Times New Roman" w:cs="Times New Roman"/>
        </w:rPr>
        <w:t>“El Instituto es la autoridad en materia de lineamientos técnicos relativos a la infraestructura y los equipos que se conecten a las redes de telecomunicaciones, así como en materia de homologación y evaluación de la conformidad de dicha infraestructura y equipos</w:t>
      </w:r>
      <w:r w:rsidRPr="002D1D1B">
        <w:rPr>
          <w:rFonts w:eastAsia="Times New Roman" w:cs="Times New Roman"/>
          <w:i/>
        </w:rPr>
        <w:t>”.</w:t>
      </w:r>
      <w:r w:rsidRPr="002D1D1B">
        <w:rPr>
          <w:rFonts w:eastAsia="Times New Roman" w:cs="Times New Roman"/>
        </w:rPr>
        <w:t xml:space="preserve"> </w:t>
      </w:r>
    </w:p>
    <w:p w14:paraId="5A41ED7E" w14:textId="77777777" w:rsidR="002D1D1B" w:rsidRPr="002D1D1B" w:rsidRDefault="002D1D1B" w:rsidP="007F5CF4">
      <w:pPr>
        <w:spacing w:after="240" w:line="240" w:lineRule="auto"/>
        <w:jc w:val="both"/>
        <w:rPr>
          <w:rFonts w:eastAsia="Times New Roman" w:cs="Times New Roman"/>
        </w:rPr>
      </w:pPr>
      <w:r w:rsidRPr="002D1D1B">
        <w:rPr>
          <w:rFonts w:cs="Arial"/>
          <w:bCs/>
          <w:color w:val="000000"/>
        </w:rPr>
        <w:t xml:space="preserve">Asimismo, el artículo 15 de la </w:t>
      </w:r>
      <w:proofErr w:type="spellStart"/>
      <w:r w:rsidRPr="002D1D1B">
        <w:rPr>
          <w:rFonts w:cs="Arial"/>
          <w:bCs/>
          <w:color w:val="000000"/>
        </w:rPr>
        <w:t>LFTyR</w:t>
      </w:r>
      <w:proofErr w:type="spellEnd"/>
      <w:r w:rsidRPr="002D1D1B">
        <w:rPr>
          <w:rFonts w:cs="Arial"/>
          <w:bCs/>
          <w:color w:val="000000"/>
        </w:rPr>
        <w:t xml:space="preserve"> establece la facultad de emitir lineamientos para el acceso a infraestructura, así como para expedir los lineamientos relativos al despliegue de infraestructura:</w:t>
      </w:r>
    </w:p>
    <w:p w14:paraId="08D8B4D2" w14:textId="77777777" w:rsidR="002D1D1B" w:rsidRPr="002D1D1B" w:rsidRDefault="002D1D1B" w:rsidP="007F5CF4">
      <w:pPr>
        <w:spacing w:after="240" w:line="240" w:lineRule="auto"/>
        <w:ind w:left="567" w:right="425"/>
        <w:jc w:val="both"/>
      </w:pPr>
      <w:r w:rsidRPr="002D1D1B">
        <w:rPr>
          <w:rFonts w:cs="Arial"/>
          <w:bCs/>
          <w:color w:val="000000"/>
        </w:rPr>
        <w:t>“</w:t>
      </w:r>
      <w:r w:rsidRPr="002D1D1B">
        <w:rPr>
          <w:rFonts w:cs="Arial"/>
          <w:b/>
          <w:bCs/>
          <w:color w:val="000000"/>
        </w:rPr>
        <w:t>Artículo 15</w:t>
      </w:r>
      <w:r w:rsidRPr="002D1D1B">
        <w:rPr>
          <w:rFonts w:cs="Arial"/>
          <w:bCs/>
          <w:color w:val="000000"/>
        </w:rPr>
        <w:t>.</w:t>
      </w:r>
      <w:r w:rsidRPr="002D1D1B">
        <w:rPr>
          <w:rFonts w:cs="Arial"/>
          <w:b/>
          <w:bCs/>
          <w:color w:val="000000"/>
        </w:rPr>
        <w:t xml:space="preserve"> </w:t>
      </w:r>
      <w:r w:rsidRPr="002D1D1B">
        <w:rPr>
          <w:rFonts w:cs="Arial"/>
          <w:color w:val="000000"/>
        </w:rPr>
        <w:t xml:space="preserve">Para el ejercicio de sus atribuciones </w:t>
      </w:r>
      <w:r w:rsidRPr="002D1D1B">
        <w:rPr>
          <w:rFonts w:cs="Arial"/>
          <w:color w:val="000000"/>
          <w:u w:val="single"/>
        </w:rPr>
        <w:t>corresponde al Instituto</w:t>
      </w:r>
      <w:r w:rsidRPr="002D1D1B">
        <w:rPr>
          <w:rFonts w:cs="Arial"/>
          <w:color w:val="000000"/>
        </w:rPr>
        <w:t xml:space="preserve">: </w:t>
      </w:r>
    </w:p>
    <w:p w14:paraId="7C9DA078" w14:textId="77777777" w:rsidR="002D1D1B" w:rsidRPr="002D1D1B" w:rsidRDefault="002D1D1B" w:rsidP="007F5CF4">
      <w:pPr>
        <w:spacing w:after="240" w:line="240" w:lineRule="auto"/>
        <w:ind w:left="567" w:right="425"/>
        <w:jc w:val="both"/>
      </w:pPr>
      <w:r w:rsidRPr="002D1D1B">
        <w:rPr>
          <w:b/>
          <w:bCs/>
        </w:rPr>
        <w:t xml:space="preserve">XI. </w:t>
      </w:r>
      <w:r w:rsidRPr="002D1D1B">
        <w:rPr>
          <w:u w:val="single"/>
        </w:rPr>
        <w:t>Emitir lineamientos</w:t>
      </w:r>
      <w:r w:rsidRPr="002D1D1B">
        <w:t xml:space="preserve"> de carácter general </w:t>
      </w:r>
      <w:r w:rsidRPr="002D1D1B">
        <w:rPr>
          <w:u w:val="single"/>
        </w:rPr>
        <w:t>para el acceso</w:t>
      </w:r>
      <w:r w:rsidRPr="002D1D1B">
        <w:t xml:space="preserve"> y, en su caso, uso compartido de la </w:t>
      </w:r>
      <w:r w:rsidRPr="002D1D1B">
        <w:rPr>
          <w:u w:val="single"/>
        </w:rPr>
        <w:t>infraestructura</w:t>
      </w:r>
      <w:r w:rsidRPr="002D1D1B">
        <w:rPr>
          <w:b/>
        </w:rPr>
        <w:t xml:space="preserve"> </w:t>
      </w:r>
      <w:r w:rsidRPr="002D1D1B">
        <w:t xml:space="preserve">activa y </w:t>
      </w:r>
      <w:r w:rsidRPr="002D1D1B">
        <w:rPr>
          <w:b/>
          <w:u w:val="single"/>
        </w:rPr>
        <w:t>pasiva</w:t>
      </w:r>
      <w:r w:rsidRPr="002D1D1B">
        <w:t>, en los casos que establece esta Ley;</w:t>
      </w:r>
    </w:p>
    <w:p w14:paraId="27405F76" w14:textId="77777777" w:rsidR="002D1D1B" w:rsidRPr="002D1D1B" w:rsidRDefault="002D1D1B" w:rsidP="007F5CF4">
      <w:pPr>
        <w:tabs>
          <w:tab w:val="left" w:pos="567"/>
        </w:tabs>
        <w:spacing w:after="240" w:line="240" w:lineRule="auto"/>
        <w:ind w:left="567" w:right="425"/>
        <w:jc w:val="both"/>
      </w:pPr>
      <w:r w:rsidRPr="002D1D1B">
        <w:rPr>
          <w:rFonts w:cs="Arial"/>
          <w:b/>
          <w:bCs/>
          <w:color w:val="000000"/>
        </w:rPr>
        <w:t xml:space="preserve">XLV. </w:t>
      </w:r>
      <w:r w:rsidRPr="002D1D1B">
        <w:rPr>
          <w:rFonts w:cs="Arial"/>
          <w:color w:val="000000"/>
        </w:rPr>
        <w:t>Expedir los lineamientos para el despliegue de la infraestructura de telecomunicaciones y radiodifusión”.</w:t>
      </w:r>
    </w:p>
    <w:p w14:paraId="30B08EE4" w14:textId="77777777" w:rsidR="002D1D1B" w:rsidRPr="002D1D1B" w:rsidRDefault="002D1D1B" w:rsidP="007F5CF4">
      <w:pPr>
        <w:spacing w:after="240" w:line="240" w:lineRule="auto"/>
        <w:jc w:val="both"/>
        <w:rPr>
          <w:bCs/>
        </w:rPr>
      </w:pPr>
      <w:r w:rsidRPr="002D1D1B">
        <w:rPr>
          <w:bCs/>
        </w:rPr>
        <w:t xml:space="preserve">Derivado de lo anterior, es posible concluir que el Instituto cuenta con la facultad para expedir, al menos, los lineamientos necesarios para el acceso y uso de los derechos de vía, toda vez que, como ya se explicó en líneas anteriores, éstos forman parte de la infraestructura pasiva y el artículo citado de la </w:t>
      </w:r>
      <w:proofErr w:type="spellStart"/>
      <w:r w:rsidRPr="002D1D1B">
        <w:rPr>
          <w:bCs/>
        </w:rPr>
        <w:t>LFTyR</w:t>
      </w:r>
      <w:proofErr w:type="spellEnd"/>
      <w:r w:rsidRPr="002D1D1B">
        <w:rPr>
          <w:bCs/>
        </w:rPr>
        <w:t xml:space="preserve">, </w:t>
      </w:r>
      <w:r w:rsidRPr="002D1D1B">
        <w:rPr>
          <w:bCs/>
          <w:u w:val="single"/>
        </w:rPr>
        <w:t xml:space="preserve">expresamente </w:t>
      </w:r>
      <w:r w:rsidRPr="002D1D1B">
        <w:rPr>
          <w:bCs/>
        </w:rPr>
        <w:t xml:space="preserve">le otorga dichas atribuciones.  </w:t>
      </w:r>
    </w:p>
    <w:p w14:paraId="118EC323" w14:textId="77777777" w:rsidR="002D1D1B" w:rsidRPr="00A1318D" w:rsidRDefault="002D1D1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lastRenderedPageBreak/>
        <w:t>IV.- FACULTADES DEL IFT SOBRE INSUMOS ESCENCIALES EN TELECOMUNICACIONES Y RADIODIFUSIÓN.</w:t>
      </w:r>
    </w:p>
    <w:p w14:paraId="492850BA" w14:textId="77777777" w:rsidR="002D1D1B" w:rsidRPr="002D1D1B" w:rsidRDefault="002D1D1B" w:rsidP="007F5CF4">
      <w:pPr>
        <w:spacing w:after="240" w:line="240" w:lineRule="auto"/>
        <w:jc w:val="both"/>
      </w:pPr>
      <w:r w:rsidRPr="002D1D1B">
        <w:t>Por si lo anterior fuera poco, el multicitado artículo 28, párrafo décimo quinto de la Constitución Federal, establece que el IFT “</w:t>
      </w:r>
      <w:r w:rsidRPr="002D1D1B">
        <w:rPr>
          <w:lang w:val="es-ES"/>
        </w:rPr>
        <w:t xml:space="preserve">tendrá a su cargo la regulación, promoción y supervisión del uso, aprovechamiento y explotación del espectro radioeléctrico, las redes y la prestación de los servicios de radiodifusión y telecomunicaciones, </w:t>
      </w:r>
      <w:r w:rsidRPr="002D1D1B">
        <w:rPr>
          <w:u w:val="single"/>
          <w:lang w:val="es-ES"/>
        </w:rPr>
        <w:t xml:space="preserve">así como del acceso a infraestructura activa, pasiva </w:t>
      </w:r>
      <w:r w:rsidRPr="002D1D1B">
        <w:rPr>
          <w:b/>
          <w:u w:val="single"/>
          <w:lang w:val="es-ES"/>
        </w:rPr>
        <w:t>y otros insumos esenciales”</w:t>
      </w:r>
      <w:r w:rsidRPr="002D1D1B">
        <w:rPr>
          <w:i/>
        </w:rPr>
        <w:t>.</w:t>
      </w:r>
      <w:r w:rsidRPr="002D1D1B">
        <w:t xml:space="preserve"> </w:t>
      </w:r>
    </w:p>
    <w:p w14:paraId="69B28031" w14:textId="77777777" w:rsidR="002D1D1B" w:rsidRPr="002D1D1B" w:rsidRDefault="002D1D1B" w:rsidP="007F5CF4">
      <w:pPr>
        <w:spacing w:after="240" w:line="240" w:lineRule="auto"/>
        <w:jc w:val="both"/>
        <w:rPr>
          <w:i/>
        </w:rPr>
      </w:pPr>
      <w:r w:rsidRPr="002D1D1B">
        <w:t xml:space="preserve">Asimismo, el artículo 7, segundo párrafo, de la </w:t>
      </w:r>
      <w:proofErr w:type="spellStart"/>
      <w:r w:rsidRPr="002D1D1B">
        <w:t>LFTyR</w:t>
      </w:r>
      <w:proofErr w:type="spellEnd"/>
      <w:r w:rsidRPr="002D1D1B">
        <w:t xml:space="preserve">, establece </w:t>
      </w:r>
      <w:r w:rsidRPr="002D1D1B">
        <w:rPr>
          <w:i/>
        </w:rPr>
        <w:t>que “</w:t>
      </w:r>
      <w:r w:rsidRPr="002D1D1B">
        <w:t xml:space="preserve">el Instituto tiene a su cargo la regulación, promoción y supervisión (…) del acceso a la infraestructura activa y pasiva </w:t>
      </w:r>
      <w:r w:rsidRPr="002D1D1B">
        <w:rPr>
          <w:b/>
          <w:u w:val="single"/>
        </w:rPr>
        <w:t>y otros insumos esenciales</w:t>
      </w:r>
      <w:r w:rsidRPr="002D1D1B">
        <w:t>, sin perjuicio de las atribuciones que corresponden a otras autoridades en los términos de la legislación correspondiente</w:t>
      </w:r>
      <w:r w:rsidRPr="002D1D1B">
        <w:rPr>
          <w:i/>
        </w:rPr>
        <w:t>”.</w:t>
      </w:r>
    </w:p>
    <w:p w14:paraId="39644FDA" w14:textId="77777777" w:rsidR="002D1D1B" w:rsidRPr="002D1D1B" w:rsidRDefault="002D1D1B" w:rsidP="007F5CF4">
      <w:pPr>
        <w:spacing w:after="240" w:line="240" w:lineRule="auto"/>
        <w:jc w:val="both"/>
      </w:pPr>
      <w:r w:rsidRPr="002D1D1B">
        <w:t xml:space="preserve">En ese sentido, como se estableció desde el primer apartado del presente documento, para que podamos asegurar que cierto elemento de las redes de telecomunicaciones constituye un insumo esencial, es necesario que la </w:t>
      </w:r>
      <w:proofErr w:type="spellStart"/>
      <w:r w:rsidRPr="002D1D1B">
        <w:t>LFTyR</w:t>
      </w:r>
      <w:proofErr w:type="spellEnd"/>
      <w:r w:rsidRPr="002D1D1B">
        <w:t xml:space="preserve"> lo establezca, o bien, que el IFT lo determine. </w:t>
      </w:r>
    </w:p>
    <w:p w14:paraId="480C29BD" w14:textId="421D9D93" w:rsidR="002D1D1B" w:rsidRPr="002D1D1B" w:rsidRDefault="002D1D1B" w:rsidP="007F5CF4">
      <w:pPr>
        <w:spacing w:after="240" w:line="240" w:lineRule="auto"/>
        <w:jc w:val="both"/>
        <w:rPr>
          <w:b/>
          <w:u w:val="single"/>
          <w:lang w:val="es-ES"/>
        </w:rPr>
      </w:pPr>
      <w:r w:rsidRPr="002D1D1B">
        <w:t xml:space="preserve">En este caso, a partir de los artículos analizados en el presente apartado, tenemos que no sólo la Ley sino que la propia CPEUM </w:t>
      </w:r>
      <w:proofErr w:type="gramStart"/>
      <w:r w:rsidR="00E7691D" w:rsidRPr="002D1D1B">
        <w:t>dispone</w:t>
      </w:r>
      <w:proofErr w:type="gramEnd"/>
      <w:r w:rsidRPr="002D1D1B">
        <w:t xml:space="preserve"> que la infraestructura pasiva es un insumo esencial. Lo anterior es así, ya que ambos ordenamientos al referirse a las facultades del IFT señalan como parte de éstas: la regulación del </w:t>
      </w:r>
      <w:r w:rsidRPr="002D1D1B">
        <w:rPr>
          <w:u w:val="single"/>
          <w:lang w:val="es-ES"/>
        </w:rPr>
        <w:t xml:space="preserve">acceso a infraestructura activa, pasiva </w:t>
      </w:r>
      <w:r w:rsidRPr="002D1D1B">
        <w:rPr>
          <w:b/>
          <w:u w:val="single"/>
          <w:lang w:val="es-ES"/>
        </w:rPr>
        <w:t>y otros insumos esenciales.</w:t>
      </w:r>
    </w:p>
    <w:p w14:paraId="39AA5EF2" w14:textId="77777777" w:rsidR="002D1D1B" w:rsidRPr="002D1D1B" w:rsidRDefault="002D1D1B" w:rsidP="007F5CF4">
      <w:pPr>
        <w:spacing w:after="240" w:line="240" w:lineRule="auto"/>
        <w:jc w:val="both"/>
        <w:rPr>
          <w:i/>
        </w:rPr>
      </w:pPr>
      <w:r w:rsidRPr="002D1D1B">
        <w:rPr>
          <w:lang w:val="es-ES"/>
        </w:rPr>
        <w:t>Al emplear el término “otros” es claro, en nuestra opinión, que el inmediato anterior (</w:t>
      </w:r>
      <w:r w:rsidRPr="002D1D1B">
        <w:rPr>
          <w:i/>
          <w:lang w:val="es-ES"/>
        </w:rPr>
        <w:t>i.e.</w:t>
      </w:r>
      <w:r w:rsidRPr="002D1D1B">
        <w:rPr>
          <w:lang w:val="es-ES"/>
        </w:rPr>
        <w:t xml:space="preserve"> la infraestructura pasiva) constituye un insumo esencial y, por lo tanto, está sujeto a la regulación y supervisión del IFT.</w:t>
      </w:r>
    </w:p>
    <w:p w14:paraId="77760967" w14:textId="77777777" w:rsidR="002D1D1B" w:rsidRPr="002D1D1B" w:rsidRDefault="002D1D1B" w:rsidP="007F5CF4">
      <w:pPr>
        <w:spacing w:after="240" w:line="240" w:lineRule="auto"/>
        <w:jc w:val="both"/>
        <w:rPr>
          <w:rFonts w:eastAsia="Arial Unicode MS" w:cs="Arial"/>
        </w:rPr>
      </w:pPr>
      <w:r w:rsidRPr="002D1D1B">
        <w:rPr>
          <w:rFonts w:eastAsia="Arial Unicode MS" w:cs="Arial"/>
        </w:rPr>
        <w:t xml:space="preserve">Es decir, el Instituto no sólo tiene facultades para regular derechos de vía en materia de telecomunicaciones y radiodifusión, a partir de su facultad de regular el acceso a infraestructura pasiva, sino que también encuentra dichas facultades a partir de la competencia sobre insumos esenciales en materia de radiodifusión y telecomunicaciones que le otorga directamente la CPEUM, así como la </w:t>
      </w:r>
      <w:proofErr w:type="spellStart"/>
      <w:r w:rsidRPr="002D1D1B">
        <w:rPr>
          <w:rFonts w:eastAsia="Arial Unicode MS" w:cs="Arial"/>
        </w:rPr>
        <w:t>LFTyR</w:t>
      </w:r>
      <w:proofErr w:type="spellEnd"/>
      <w:r w:rsidRPr="002D1D1B">
        <w:rPr>
          <w:rFonts w:eastAsia="Arial Unicode MS" w:cs="Arial"/>
        </w:rPr>
        <w:t>.</w:t>
      </w:r>
    </w:p>
    <w:p w14:paraId="72142E9B" w14:textId="77777777" w:rsidR="002D1D1B" w:rsidRPr="00A1318D" w:rsidRDefault="002D1D1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V.- OBLIGACIÓN DEL INSTITUTO DE LLEVAR EL REGISTRO PÚBLICO DE TELECOMUNICACIONES.</w:t>
      </w:r>
    </w:p>
    <w:p w14:paraId="1D7AD3F7" w14:textId="77777777" w:rsidR="002D1D1B" w:rsidRPr="002D1D1B" w:rsidRDefault="002D1D1B" w:rsidP="007F5CF4">
      <w:pPr>
        <w:pStyle w:val="Texto"/>
        <w:spacing w:after="240" w:line="240" w:lineRule="auto"/>
        <w:ind w:firstLine="0"/>
        <w:rPr>
          <w:rFonts w:asciiTheme="minorHAnsi" w:hAnsiTheme="minorHAnsi"/>
          <w:sz w:val="22"/>
          <w:szCs w:val="22"/>
          <w:lang w:val="es-ES_tradnl"/>
        </w:rPr>
      </w:pPr>
      <w:r w:rsidRPr="002D1D1B">
        <w:rPr>
          <w:rFonts w:asciiTheme="minorHAnsi" w:hAnsiTheme="minorHAnsi"/>
          <w:sz w:val="22"/>
          <w:szCs w:val="22"/>
          <w:lang w:val="es-ES_tradnl"/>
        </w:rPr>
        <w:t xml:space="preserve">Para reforzar lo señalado a lo largo del presente documento, consideramos importante retomar el texto de diversos preceptos de la </w:t>
      </w:r>
      <w:proofErr w:type="spellStart"/>
      <w:r w:rsidRPr="002D1D1B">
        <w:rPr>
          <w:rFonts w:asciiTheme="minorHAnsi" w:hAnsiTheme="minorHAnsi"/>
          <w:sz w:val="22"/>
          <w:szCs w:val="22"/>
          <w:lang w:val="es-ES_tradnl"/>
        </w:rPr>
        <w:t>LFTyR</w:t>
      </w:r>
      <w:proofErr w:type="spellEnd"/>
      <w:r w:rsidRPr="002D1D1B">
        <w:rPr>
          <w:rFonts w:asciiTheme="minorHAnsi" w:hAnsiTheme="minorHAnsi"/>
          <w:sz w:val="22"/>
          <w:szCs w:val="22"/>
          <w:lang w:val="es-ES_tradnl"/>
        </w:rPr>
        <w:t>, en los que claramente el IFT es la autoridad facultada para llevar a cabo diversas acciones relacionadas con los derechos de vía en materia de telecomunicaciones y radiodifusión, ya sea porque la propia Ley lo establece expresamente o porque se trata de infraestructura pasiva.</w:t>
      </w:r>
    </w:p>
    <w:p w14:paraId="20BDE3D0" w14:textId="77777777" w:rsidR="002D1D1B" w:rsidRPr="002D1D1B" w:rsidRDefault="002D1D1B" w:rsidP="007F5CF4">
      <w:pPr>
        <w:pStyle w:val="Texto"/>
        <w:spacing w:after="240" w:line="240" w:lineRule="auto"/>
        <w:ind w:firstLine="0"/>
        <w:rPr>
          <w:rFonts w:asciiTheme="minorHAnsi" w:hAnsiTheme="minorHAnsi"/>
          <w:sz w:val="22"/>
          <w:szCs w:val="22"/>
          <w:lang w:val="es-ES_tradnl"/>
        </w:rPr>
      </w:pPr>
      <w:r w:rsidRPr="002D1D1B">
        <w:rPr>
          <w:rFonts w:asciiTheme="minorHAnsi" w:hAnsiTheme="minorHAnsi"/>
          <w:sz w:val="22"/>
          <w:szCs w:val="22"/>
          <w:lang w:val="es-ES_tradnl"/>
        </w:rPr>
        <w:t xml:space="preserve">De esta forma, de acuerdo con el artículo 176 de la </w:t>
      </w:r>
      <w:proofErr w:type="spellStart"/>
      <w:r w:rsidRPr="002D1D1B">
        <w:rPr>
          <w:rFonts w:asciiTheme="minorHAnsi" w:hAnsiTheme="minorHAnsi"/>
          <w:sz w:val="22"/>
          <w:szCs w:val="22"/>
          <w:lang w:val="es-ES_tradnl"/>
        </w:rPr>
        <w:t>LFTyR</w:t>
      </w:r>
      <w:proofErr w:type="spellEnd"/>
      <w:r w:rsidRPr="002D1D1B">
        <w:rPr>
          <w:rFonts w:asciiTheme="minorHAnsi" w:hAnsiTheme="minorHAnsi"/>
          <w:sz w:val="22"/>
          <w:szCs w:val="22"/>
          <w:lang w:val="es-ES_tradnl"/>
        </w:rPr>
        <w:t xml:space="preserve">, el Instituto debe llevar un Registro Público de Telecomunicaciones, el cual debe integrase por el Registro Público de Concesiones y </w:t>
      </w:r>
      <w:r w:rsidRPr="002D1D1B">
        <w:rPr>
          <w:rFonts w:asciiTheme="minorHAnsi" w:hAnsiTheme="minorHAnsi"/>
          <w:sz w:val="22"/>
          <w:szCs w:val="22"/>
          <w:u w:val="single"/>
          <w:lang w:val="es-ES_tradnl"/>
        </w:rPr>
        <w:t>el Sistema Nacional de Información de Infraestructura (“Sistema” o “SNII”)</w:t>
      </w:r>
      <w:r w:rsidRPr="002D1D1B">
        <w:rPr>
          <w:rFonts w:asciiTheme="minorHAnsi" w:hAnsiTheme="minorHAnsi"/>
          <w:sz w:val="22"/>
          <w:szCs w:val="22"/>
          <w:lang w:val="es-ES_tradnl"/>
        </w:rPr>
        <w:t xml:space="preserve">, </w:t>
      </w:r>
    </w:p>
    <w:p w14:paraId="40AF64D4" w14:textId="77777777" w:rsidR="002D1D1B" w:rsidRPr="002D1D1B" w:rsidRDefault="002D1D1B" w:rsidP="007F5CF4">
      <w:pPr>
        <w:pStyle w:val="Texto"/>
        <w:spacing w:after="240" w:line="240" w:lineRule="auto"/>
        <w:ind w:left="567" w:right="425" w:firstLine="0"/>
        <w:rPr>
          <w:rFonts w:asciiTheme="minorHAnsi" w:hAnsiTheme="minorHAnsi"/>
          <w:sz w:val="22"/>
          <w:szCs w:val="22"/>
          <w:lang w:val="es-ES_tradnl"/>
        </w:rPr>
      </w:pPr>
      <w:r w:rsidRPr="002D1D1B">
        <w:rPr>
          <w:rFonts w:asciiTheme="minorHAnsi" w:hAnsiTheme="minorHAnsi"/>
          <w:b/>
          <w:sz w:val="22"/>
          <w:szCs w:val="22"/>
          <w:lang w:val="es-ES_tradnl"/>
        </w:rPr>
        <w:lastRenderedPageBreak/>
        <w:t>“Artículo 176.</w:t>
      </w:r>
      <w:r w:rsidRPr="002D1D1B">
        <w:rPr>
          <w:rFonts w:asciiTheme="minorHAnsi" w:hAnsiTheme="minorHAnsi"/>
          <w:sz w:val="22"/>
          <w:szCs w:val="22"/>
          <w:lang w:val="es-ES_tradnl"/>
        </w:rPr>
        <w:t xml:space="preserve"> El Instituto llevará el Registro Público de Telecomunicaciones, el cual estará integrado por el Registro Público de Concesiones y </w:t>
      </w:r>
      <w:r w:rsidRPr="002D1D1B">
        <w:rPr>
          <w:rFonts w:asciiTheme="minorHAnsi" w:hAnsiTheme="minorHAnsi"/>
          <w:sz w:val="22"/>
          <w:szCs w:val="22"/>
          <w:u w:val="single"/>
          <w:lang w:val="es-ES_tradnl"/>
        </w:rPr>
        <w:t>el Sistema Nacional de Información de Infraestructura</w:t>
      </w:r>
      <w:r w:rsidRPr="002D1D1B">
        <w:rPr>
          <w:rFonts w:asciiTheme="minorHAnsi" w:hAnsiTheme="minorHAnsi"/>
          <w:sz w:val="22"/>
          <w:szCs w:val="22"/>
          <w:lang w:val="es-ES_tradnl"/>
        </w:rPr>
        <w:t>, de conformidad con lo dispuesto en la presente Ley y las disposiciones aplicables que se emitan”.</w:t>
      </w:r>
    </w:p>
    <w:p w14:paraId="7E071A37" w14:textId="77777777" w:rsidR="002D1D1B" w:rsidRPr="002D1D1B" w:rsidRDefault="002D1D1B" w:rsidP="007F5CF4">
      <w:pPr>
        <w:pStyle w:val="Texto"/>
        <w:spacing w:after="240" w:line="240" w:lineRule="auto"/>
        <w:ind w:firstLine="0"/>
        <w:rPr>
          <w:rFonts w:asciiTheme="minorHAnsi" w:hAnsiTheme="minorHAnsi"/>
          <w:sz w:val="22"/>
          <w:szCs w:val="22"/>
          <w:lang w:val="es-ES_tradnl"/>
        </w:rPr>
      </w:pPr>
      <w:r w:rsidRPr="002D1D1B">
        <w:rPr>
          <w:rFonts w:asciiTheme="minorHAnsi" w:hAnsiTheme="minorHAnsi"/>
          <w:sz w:val="22"/>
          <w:szCs w:val="22"/>
          <w:lang w:val="es-ES_tradnl"/>
        </w:rPr>
        <w:t xml:space="preserve">Como parte del SNII, el Instituto debe crear y mantener actualizada una base de datos nacional geo-referenciada de infraestructura de telecomunicaciones y radiodifusión, incluyendo la </w:t>
      </w:r>
      <w:r w:rsidRPr="002D1D1B">
        <w:rPr>
          <w:rFonts w:asciiTheme="minorHAnsi" w:hAnsiTheme="minorHAnsi"/>
          <w:sz w:val="22"/>
          <w:szCs w:val="22"/>
          <w:u w:val="single"/>
          <w:lang w:val="es-ES_tradnl"/>
        </w:rPr>
        <w:t>información acerca de infraestructura pasiva y los derechos de vía</w:t>
      </w:r>
      <w:r w:rsidRPr="002D1D1B">
        <w:rPr>
          <w:rFonts w:asciiTheme="minorHAnsi" w:hAnsiTheme="minorHAnsi"/>
          <w:sz w:val="22"/>
          <w:szCs w:val="22"/>
          <w:lang w:val="es-ES_tradnl"/>
        </w:rPr>
        <w:t xml:space="preserve">. Así, el primer párrafo del artículo 181 de la </w:t>
      </w:r>
      <w:proofErr w:type="spellStart"/>
      <w:r w:rsidRPr="002D1D1B">
        <w:rPr>
          <w:rFonts w:asciiTheme="minorHAnsi" w:hAnsiTheme="minorHAnsi"/>
          <w:sz w:val="22"/>
          <w:szCs w:val="22"/>
          <w:lang w:val="es-ES_tradnl"/>
        </w:rPr>
        <w:t>LFTyR</w:t>
      </w:r>
      <w:proofErr w:type="spellEnd"/>
      <w:r w:rsidRPr="002D1D1B">
        <w:rPr>
          <w:rFonts w:asciiTheme="minorHAnsi" w:hAnsiTheme="minorHAnsi"/>
          <w:sz w:val="22"/>
          <w:szCs w:val="22"/>
          <w:lang w:val="es-ES_tradnl"/>
        </w:rPr>
        <w:t xml:space="preserve"> establece:</w:t>
      </w:r>
    </w:p>
    <w:p w14:paraId="31E71FAF" w14:textId="77777777" w:rsidR="002D1D1B" w:rsidRPr="002D1D1B" w:rsidRDefault="002D1D1B" w:rsidP="007F5CF4">
      <w:pPr>
        <w:pStyle w:val="Texto"/>
        <w:spacing w:after="240" w:line="240" w:lineRule="auto"/>
        <w:ind w:left="709" w:right="708" w:firstLine="0"/>
        <w:rPr>
          <w:rFonts w:asciiTheme="minorHAnsi" w:hAnsiTheme="minorHAnsi"/>
          <w:i/>
          <w:sz w:val="22"/>
          <w:szCs w:val="22"/>
          <w:lang w:val="es-ES_tradnl"/>
        </w:rPr>
      </w:pPr>
      <w:r w:rsidRPr="002D1D1B">
        <w:rPr>
          <w:rFonts w:asciiTheme="minorHAnsi" w:hAnsiTheme="minorHAnsi"/>
          <w:b/>
          <w:sz w:val="22"/>
          <w:szCs w:val="22"/>
          <w:lang w:val="es-ES_tradnl"/>
        </w:rPr>
        <w:t>“Artículo 181.</w:t>
      </w:r>
      <w:r w:rsidRPr="002D1D1B">
        <w:rPr>
          <w:rFonts w:asciiTheme="minorHAnsi" w:hAnsiTheme="minorHAnsi"/>
          <w:sz w:val="22"/>
          <w:szCs w:val="22"/>
          <w:lang w:val="es-ES_tradnl"/>
        </w:rPr>
        <w:t xml:space="preserve"> El Instituto creará y mantendrá actualizada una base de datos nacional geo-referenciada que contenga la información de los registros de infraestructura activa y medios de transmisión, </w:t>
      </w:r>
      <w:r w:rsidRPr="002D1D1B">
        <w:rPr>
          <w:rFonts w:asciiTheme="minorHAnsi" w:hAnsiTheme="minorHAnsi"/>
          <w:b/>
          <w:sz w:val="22"/>
          <w:szCs w:val="22"/>
          <w:lang w:val="es-ES_tradnl"/>
        </w:rPr>
        <w:t>de infraestructura pasiva y derechos de vía</w:t>
      </w:r>
      <w:r w:rsidRPr="002D1D1B">
        <w:rPr>
          <w:rFonts w:asciiTheme="minorHAnsi" w:hAnsiTheme="minorHAnsi"/>
          <w:sz w:val="22"/>
          <w:szCs w:val="22"/>
          <w:lang w:val="es-ES_tradnl"/>
        </w:rPr>
        <w:t xml:space="preserve"> y de sitios públicos</w:t>
      </w:r>
      <w:r w:rsidRPr="002D1D1B">
        <w:rPr>
          <w:rFonts w:asciiTheme="minorHAnsi" w:hAnsiTheme="minorHAnsi"/>
          <w:i/>
          <w:sz w:val="22"/>
          <w:szCs w:val="22"/>
          <w:lang w:val="es-ES_tradnl"/>
        </w:rPr>
        <w:t>.”</w:t>
      </w:r>
    </w:p>
    <w:p w14:paraId="3749E8DE" w14:textId="7D5D8CA2" w:rsidR="002D1D1B" w:rsidRPr="002D1D1B" w:rsidRDefault="002D1D1B" w:rsidP="007F5CF4">
      <w:pPr>
        <w:pStyle w:val="Texto"/>
        <w:spacing w:after="240" w:line="240" w:lineRule="auto"/>
        <w:ind w:firstLine="0"/>
        <w:rPr>
          <w:rFonts w:asciiTheme="minorHAnsi" w:hAnsiTheme="minorHAnsi"/>
          <w:sz w:val="22"/>
          <w:szCs w:val="22"/>
          <w:lang w:val="es-ES_tradnl"/>
        </w:rPr>
      </w:pPr>
      <w:r w:rsidRPr="002D1D1B">
        <w:rPr>
          <w:rFonts w:asciiTheme="minorHAnsi" w:hAnsiTheme="minorHAnsi"/>
          <w:sz w:val="22"/>
          <w:szCs w:val="22"/>
          <w:lang w:val="es-ES_tradnl"/>
        </w:rPr>
        <w:t xml:space="preserve">Por su parte, el artículo 184 de la </w:t>
      </w:r>
      <w:proofErr w:type="spellStart"/>
      <w:r w:rsidRPr="002D1D1B">
        <w:rPr>
          <w:rFonts w:asciiTheme="minorHAnsi" w:hAnsiTheme="minorHAnsi"/>
          <w:sz w:val="22"/>
          <w:szCs w:val="22"/>
          <w:lang w:val="es-ES_tradnl"/>
        </w:rPr>
        <w:t>LFTyR</w:t>
      </w:r>
      <w:proofErr w:type="spellEnd"/>
      <w:r w:rsidRPr="002D1D1B">
        <w:rPr>
          <w:rFonts w:asciiTheme="minorHAnsi" w:hAnsiTheme="minorHAnsi"/>
          <w:sz w:val="22"/>
          <w:szCs w:val="22"/>
          <w:lang w:val="es-ES_tradnl"/>
        </w:rPr>
        <w:t xml:space="preserve"> establece la información relativa a infraestructura pasiva y derechos de vía, que debe recabarse en la base de datos mencionada, conforme se describe a continuación:</w:t>
      </w:r>
    </w:p>
    <w:p w14:paraId="66194A45" w14:textId="77777777" w:rsidR="002D1D1B" w:rsidRPr="002D1D1B" w:rsidRDefault="002D1D1B" w:rsidP="007F5CF4">
      <w:pPr>
        <w:pStyle w:val="Texto"/>
        <w:spacing w:after="240" w:line="240" w:lineRule="auto"/>
        <w:ind w:left="567" w:right="425" w:firstLine="0"/>
        <w:rPr>
          <w:rFonts w:asciiTheme="minorHAnsi" w:hAnsiTheme="minorHAnsi"/>
          <w:sz w:val="22"/>
          <w:szCs w:val="22"/>
          <w:u w:val="single"/>
          <w:lang w:val="es-ES_tradnl"/>
        </w:rPr>
      </w:pPr>
      <w:r w:rsidRPr="002D1D1B">
        <w:rPr>
          <w:rFonts w:asciiTheme="minorHAnsi" w:hAnsiTheme="minorHAnsi"/>
          <w:b/>
          <w:sz w:val="22"/>
          <w:szCs w:val="22"/>
          <w:lang w:val="es-ES_tradnl"/>
        </w:rPr>
        <w:t>“Artículo 184.</w:t>
      </w:r>
      <w:r w:rsidRPr="002D1D1B">
        <w:rPr>
          <w:rFonts w:asciiTheme="minorHAnsi" w:hAnsiTheme="minorHAnsi"/>
          <w:sz w:val="22"/>
          <w:szCs w:val="22"/>
          <w:lang w:val="es-ES_tradnl"/>
        </w:rPr>
        <w:t xml:space="preserve"> La información relativa a infraestructura pasiva </w:t>
      </w:r>
      <w:r w:rsidRPr="002D1D1B">
        <w:rPr>
          <w:rFonts w:asciiTheme="minorHAnsi" w:hAnsiTheme="minorHAnsi"/>
          <w:sz w:val="22"/>
          <w:szCs w:val="22"/>
          <w:u w:val="single"/>
          <w:lang w:val="es-ES_tradnl"/>
        </w:rPr>
        <w:t xml:space="preserve">y </w:t>
      </w:r>
      <w:r w:rsidRPr="002D1D1B">
        <w:rPr>
          <w:rFonts w:asciiTheme="minorHAnsi" w:hAnsiTheme="minorHAnsi"/>
          <w:b/>
          <w:sz w:val="22"/>
          <w:szCs w:val="22"/>
          <w:u w:val="single"/>
          <w:lang w:val="es-ES_tradnl"/>
        </w:rPr>
        <w:t>derechos de vía</w:t>
      </w:r>
      <w:r w:rsidRPr="002D1D1B">
        <w:rPr>
          <w:rFonts w:asciiTheme="minorHAnsi" w:hAnsiTheme="minorHAnsi"/>
          <w:b/>
          <w:sz w:val="22"/>
          <w:szCs w:val="22"/>
          <w:lang w:val="es-ES_tradnl"/>
        </w:rPr>
        <w:t xml:space="preserve"> </w:t>
      </w:r>
      <w:r w:rsidRPr="002D1D1B">
        <w:rPr>
          <w:rFonts w:asciiTheme="minorHAnsi" w:hAnsiTheme="minorHAnsi"/>
          <w:sz w:val="22"/>
          <w:szCs w:val="22"/>
          <w:lang w:val="es-ES_tradnl"/>
        </w:rPr>
        <w:t>contendrá todos los datos que permitan determinar y geo-localizar el tipo, ubicación, capacidad y, si es el caso, rutas y demás características de toda la infraestructura pasiva utilizada o aquella susceptible de utilización, para el despliegue e instalación de infraestructura activa y redes públicas de telecomunicaciones y radiodifusión.</w:t>
      </w:r>
      <w:r w:rsidRPr="002D1D1B">
        <w:rPr>
          <w:rFonts w:asciiTheme="minorHAnsi" w:hAnsiTheme="minorHAnsi"/>
          <w:sz w:val="22"/>
          <w:szCs w:val="22"/>
          <w:u w:val="single"/>
          <w:lang w:val="es-ES_tradnl"/>
        </w:rPr>
        <w:t xml:space="preserve"> También contendrá la identidad de los concesionarios que utilizan dicha infraestructura pasiva y derechos de vía </w:t>
      </w:r>
      <w:r w:rsidRPr="002D1D1B">
        <w:rPr>
          <w:rFonts w:asciiTheme="minorHAnsi" w:hAnsiTheme="minorHAnsi"/>
          <w:sz w:val="22"/>
          <w:szCs w:val="22"/>
          <w:lang w:val="es-ES_tradnl"/>
        </w:rPr>
        <w:t>y cualquier otra información adicional en los términos y plazos que determine el Instituto.”</w:t>
      </w:r>
    </w:p>
    <w:p w14:paraId="6F5B9E66" w14:textId="77777777" w:rsidR="002D1D1B" w:rsidRPr="002D1D1B" w:rsidRDefault="002D1D1B" w:rsidP="007F5CF4">
      <w:pPr>
        <w:spacing w:after="240" w:line="240" w:lineRule="auto"/>
        <w:jc w:val="both"/>
      </w:pPr>
      <w:r w:rsidRPr="002D1D1B">
        <w:t xml:space="preserve">A su vez, el artículo 185 de la </w:t>
      </w:r>
      <w:proofErr w:type="spellStart"/>
      <w:r w:rsidRPr="002D1D1B">
        <w:t>LFTyR</w:t>
      </w:r>
      <w:proofErr w:type="spellEnd"/>
      <w:r w:rsidRPr="002D1D1B">
        <w:t xml:space="preserve"> establece una obligación a cargo de los órganos autónomos, concesionarios, autorizados, entidades de la administración pública federal, estatal, municipal y del Distrito Federal de </w:t>
      </w:r>
      <w:r w:rsidRPr="002D1D1B">
        <w:rPr>
          <w:b/>
        </w:rPr>
        <w:t>entregar al Instituto toda la información de infraestructura pasiva y derechos de vía con la que cuenten</w:t>
      </w:r>
      <w:r w:rsidRPr="002D1D1B">
        <w:t>, para que dicha información sea inscrita en el SNII:</w:t>
      </w:r>
    </w:p>
    <w:p w14:paraId="1A135C62" w14:textId="77777777" w:rsidR="002D1D1B" w:rsidRPr="002D1D1B" w:rsidRDefault="002D1D1B" w:rsidP="007F5CF4">
      <w:pPr>
        <w:pStyle w:val="Texto"/>
        <w:spacing w:after="240" w:line="240" w:lineRule="auto"/>
        <w:ind w:left="567" w:right="425" w:firstLine="0"/>
        <w:rPr>
          <w:rFonts w:asciiTheme="minorHAnsi" w:hAnsiTheme="minorHAnsi"/>
          <w:sz w:val="22"/>
          <w:szCs w:val="22"/>
          <w:lang w:val="es-ES_tradnl"/>
        </w:rPr>
      </w:pPr>
      <w:r w:rsidRPr="002D1D1B">
        <w:rPr>
          <w:rFonts w:asciiTheme="minorHAnsi" w:hAnsiTheme="minorHAnsi"/>
          <w:b/>
          <w:sz w:val="22"/>
          <w:szCs w:val="22"/>
          <w:lang w:val="es-ES_tradnl"/>
        </w:rPr>
        <w:t>“Artículo 185.</w:t>
      </w:r>
      <w:r w:rsidRPr="002D1D1B">
        <w:rPr>
          <w:rFonts w:asciiTheme="minorHAnsi" w:hAnsiTheme="minorHAnsi"/>
          <w:sz w:val="22"/>
          <w:szCs w:val="22"/>
          <w:lang w:val="es-ES_tradnl"/>
        </w:rPr>
        <w:t xml:space="preserve"> Los concesionarios, autorizados, las dependencias y entidades de la Administración Pública Federal, del Distrito Federal, estatal y municipal y los órganos autónomos deberán entregar </w:t>
      </w:r>
      <w:r w:rsidRPr="002D1D1B">
        <w:rPr>
          <w:rFonts w:asciiTheme="minorHAnsi" w:hAnsiTheme="minorHAnsi"/>
          <w:b/>
          <w:sz w:val="22"/>
          <w:szCs w:val="22"/>
          <w:u w:val="single"/>
          <w:lang w:val="es-ES_tradnl"/>
        </w:rPr>
        <w:t>al Instituto</w:t>
      </w:r>
      <w:r w:rsidRPr="002D1D1B">
        <w:rPr>
          <w:rFonts w:asciiTheme="minorHAnsi" w:hAnsiTheme="minorHAnsi"/>
          <w:sz w:val="22"/>
          <w:szCs w:val="22"/>
          <w:u w:val="single"/>
          <w:lang w:val="es-ES_tradnl"/>
        </w:rPr>
        <w:t xml:space="preserve"> la información de infraestructura pasiva y derechos de vía,</w:t>
      </w:r>
      <w:r w:rsidRPr="002D1D1B">
        <w:rPr>
          <w:rFonts w:asciiTheme="minorHAnsi" w:hAnsiTheme="minorHAnsi"/>
          <w:sz w:val="22"/>
          <w:szCs w:val="22"/>
          <w:lang w:val="es-ES_tradnl"/>
        </w:rPr>
        <w:t xml:space="preserve"> para su inscripción en el Sistema Nacional de Información de Infraestructura de Telecomunicaciones, en los términos y plazos que determine el Instituto.</w:t>
      </w:r>
    </w:p>
    <w:p w14:paraId="6FB102F5" w14:textId="77777777" w:rsidR="002D1D1B" w:rsidRPr="002D1D1B" w:rsidRDefault="002D1D1B" w:rsidP="007F5CF4">
      <w:pPr>
        <w:pStyle w:val="Texto"/>
        <w:spacing w:after="240" w:line="240" w:lineRule="auto"/>
        <w:ind w:left="567" w:right="567" w:firstLine="0"/>
        <w:rPr>
          <w:rFonts w:asciiTheme="minorHAnsi" w:hAnsiTheme="minorHAnsi"/>
          <w:sz w:val="22"/>
          <w:szCs w:val="22"/>
          <w:lang w:val="es-ES_tradnl"/>
        </w:rPr>
      </w:pPr>
      <w:r w:rsidRPr="002D1D1B">
        <w:rPr>
          <w:rFonts w:asciiTheme="minorHAnsi" w:hAnsiTheme="minorHAnsi"/>
          <w:sz w:val="22"/>
          <w:szCs w:val="22"/>
          <w:lang w:val="es-ES_tradnl"/>
        </w:rPr>
        <w:t xml:space="preserve">Para el caso que utilicen </w:t>
      </w:r>
      <w:r w:rsidRPr="002D1D1B">
        <w:rPr>
          <w:rFonts w:asciiTheme="minorHAnsi" w:hAnsiTheme="minorHAnsi"/>
          <w:b/>
          <w:sz w:val="22"/>
          <w:szCs w:val="22"/>
          <w:u w:val="single"/>
          <w:lang w:val="es-ES_tradnl"/>
        </w:rPr>
        <w:t>infraestructura pasiva o derechos de vía de terceros</w:t>
      </w:r>
      <w:r w:rsidRPr="002D1D1B">
        <w:rPr>
          <w:rFonts w:asciiTheme="minorHAnsi" w:hAnsiTheme="minorHAnsi"/>
          <w:sz w:val="22"/>
          <w:szCs w:val="22"/>
          <w:lang w:val="es-ES_tradnl"/>
        </w:rPr>
        <w:t>, en los contratos correspondientes deberán establecer mecanismos que aseguren la entrega al Instituto de la información relativa a dicha infraestructura, en los términos y plazos que determine el Instituto.</w:t>
      </w:r>
    </w:p>
    <w:p w14:paraId="0532E85F" w14:textId="77777777" w:rsidR="00E7691D" w:rsidRDefault="00E7691D" w:rsidP="007F5CF4">
      <w:pPr>
        <w:spacing w:after="240" w:line="240" w:lineRule="auto"/>
        <w:ind w:left="567" w:right="567"/>
        <w:jc w:val="both"/>
      </w:pPr>
    </w:p>
    <w:p w14:paraId="3972AAA4" w14:textId="77777777" w:rsidR="002D1D1B" w:rsidRPr="002D1D1B" w:rsidRDefault="002D1D1B" w:rsidP="007F5CF4">
      <w:pPr>
        <w:spacing w:after="240" w:line="240" w:lineRule="auto"/>
        <w:ind w:left="567" w:right="567"/>
        <w:jc w:val="both"/>
      </w:pPr>
      <w:r w:rsidRPr="002D1D1B">
        <w:lastRenderedPageBreak/>
        <w:t xml:space="preserve">Cuando la Secretaría ofrezca conectividad a sitios y espacios públicos de los estados, Gobierno del Distrito Federal y sus delegaciones, municipios, organismos e instituciones públicas, ésta se proporcionará siempre que tales entidades </w:t>
      </w:r>
      <w:r w:rsidRPr="002D1D1B">
        <w:rPr>
          <w:u w:val="single"/>
        </w:rPr>
        <w:t>proporcionen previamente a la Secretaría y al Instituto,</w:t>
      </w:r>
      <w:r w:rsidRPr="002D1D1B">
        <w:t xml:space="preserve"> </w:t>
      </w:r>
      <w:r w:rsidRPr="002D1D1B">
        <w:rPr>
          <w:u w:val="single"/>
        </w:rPr>
        <w:t>la información de su infraestructura pasiva y derechos de vía</w:t>
      </w:r>
      <w:r w:rsidRPr="002D1D1B">
        <w:t>.”</w:t>
      </w:r>
    </w:p>
    <w:p w14:paraId="202799A1" w14:textId="77777777" w:rsidR="002D1D1B" w:rsidRPr="002D1D1B" w:rsidRDefault="002D1D1B" w:rsidP="007F5CF4">
      <w:pPr>
        <w:pStyle w:val="Texto"/>
        <w:spacing w:after="240" w:line="240" w:lineRule="auto"/>
        <w:ind w:firstLine="0"/>
        <w:rPr>
          <w:rFonts w:asciiTheme="minorHAnsi" w:hAnsiTheme="minorHAnsi"/>
          <w:sz w:val="22"/>
          <w:szCs w:val="22"/>
          <w:lang w:val="es-ES_tradnl"/>
        </w:rPr>
      </w:pPr>
      <w:r w:rsidRPr="002D1D1B">
        <w:rPr>
          <w:rFonts w:asciiTheme="minorHAnsi" w:hAnsiTheme="minorHAnsi"/>
          <w:sz w:val="22"/>
          <w:szCs w:val="22"/>
          <w:lang w:val="es-ES_tradnl"/>
        </w:rPr>
        <w:t xml:space="preserve">De los preceptos mencionados, se advierte que: </w:t>
      </w:r>
    </w:p>
    <w:p w14:paraId="2A3D7A0D" w14:textId="77777777" w:rsidR="002D1D1B" w:rsidRPr="002D1D1B" w:rsidRDefault="002D1D1B" w:rsidP="007F5CF4">
      <w:pPr>
        <w:pStyle w:val="Texto"/>
        <w:numPr>
          <w:ilvl w:val="0"/>
          <w:numId w:val="6"/>
        </w:numPr>
        <w:spacing w:after="240" w:line="240" w:lineRule="auto"/>
        <w:rPr>
          <w:rFonts w:asciiTheme="minorHAnsi" w:hAnsiTheme="minorHAnsi"/>
          <w:sz w:val="22"/>
          <w:szCs w:val="22"/>
          <w:lang w:val="es-ES_tradnl"/>
        </w:rPr>
      </w:pPr>
      <w:r w:rsidRPr="002D1D1B">
        <w:rPr>
          <w:rFonts w:asciiTheme="minorHAnsi" w:hAnsiTheme="minorHAnsi"/>
          <w:sz w:val="22"/>
          <w:szCs w:val="22"/>
          <w:lang w:val="es-ES_tradnl"/>
        </w:rPr>
        <w:t>El Instituto debe constituir el SNII.</w:t>
      </w:r>
    </w:p>
    <w:p w14:paraId="137FFFEB" w14:textId="77777777" w:rsidR="002D1D1B" w:rsidRPr="002D1D1B" w:rsidRDefault="002D1D1B" w:rsidP="007F5CF4">
      <w:pPr>
        <w:pStyle w:val="Texto"/>
        <w:numPr>
          <w:ilvl w:val="0"/>
          <w:numId w:val="6"/>
        </w:numPr>
        <w:spacing w:after="240" w:line="240" w:lineRule="auto"/>
        <w:rPr>
          <w:rFonts w:asciiTheme="minorHAnsi" w:hAnsiTheme="minorHAnsi"/>
          <w:sz w:val="22"/>
          <w:szCs w:val="22"/>
          <w:lang w:val="es-ES_tradnl"/>
        </w:rPr>
      </w:pPr>
      <w:r w:rsidRPr="002D1D1B">
        <w:rPr>
          <w:rFonts w:asciiTheme="minorHAnsi" w:hAnsiTheme="minorHAnsi"/>
          <w:sz w:val="22"/>
          <w:szCs w:val="22"/>
          <w:lang w:val="es-ES_tradnl"/>
        </w:rPr>
        <w:t xml:space="preserve">El SNII se integrará por una base de </w:t>
      </w:r>
      <w:proofErr w:type="gramStart"/>
      <w:r w:rsidRPr="002D1D1B">
        <w:rPr>
          <w:rFonts w:asciiTheme="minorHAnsi" w:hAnsiTheme="minorHAnsi"/>
          <w:sz w:val="22"/>
          <w:szCs w:val="22"/>
          <w:lang w:val="es-ES_tradnl"/>
        </w:rPr>
        <w:t>datos nacional</w:t>
      </w:r>
      <w:proofErr w:type="gramEnd"/>
      <w:r w:rsidRPr="002D1D1B">
        <w:rPr>
          <w:rFonts w:asciiTheme="minorHAnsi" w:hAnsiTheme="minorHAnsi"/>
          <w:sz w:val="22"/>
          <w:szCs w:val="22"/>
          <w:lang w:val="es-ES_tradnl"/>
        </w:rPr>
        <w:t xml:space="preserve"> geo-referenciada de infraestructura de telecomunicaciones y radiodifusión, que incluye, entre otra, la </w:t>
      </w:r>
      <w:r w:rsidRPr="002D1D1B">
        <w:rPr>
          <w:rFonts w:asciiTheme="minorHAnsi" w:hAnsiTheme="minorHAnsi"/>
          <w:sz w:val="22"/>
          <w:szCs w:val="22"/>
          <w:u w:val="single"/>
          <w:lang w:val="es-ES_tradnl"/>
        </w:rPr>
        <w:t>información acerca de la infraestructura pasiva y los derechos de vía</w:t>
      </w:r>
      <w:r w:rsidRPr="002D1D1B">
        <w:rPr>
          <w:rFonts w:asciiTheme="minorHAnsi" w:hAnsiTheme="minorHAnsi"/>
          <w:sz w:val="22"/>
          <w:szCs w:val="22"/>
          <w:lang w:val="es-ES_tradnl"/>
        </w:rPr>
        <w:t>.</w:t>
      </w:r>
    </w:p>
    <w:p w14:paraId="3089A0E1" w14:textId="77777777" w:rsidR="002D1D1B" w:rsidRPr="002D1D1B" w:rsidRDefault="002D1D1B" w:rsidP="007F5CF4">
      <w:pPr>
        <w:pStyle w:val="Texto"/>
        <w:numPr>
          <w:ilvl w:val="0"/>
          <w:numId w:val="6"/>
        </w:numPr>
        <w:spacing w:after="240" w:line="240" w:lineRule="auto"/>
        <w:rPr>
          <w:rFonts w:asciiTheme="minorHAnsi" w:hAnsiTheme="minorHAnsi"/>
          <w:sz w:val="22"/>
          <w:szCs w:val="22"/>
          <w:lang w:val="es-ES_tradnl"/>
        </w:rPr>
      </w:pPr>
      <w:r w:rsidRPr="002D1D1B">
        <w:rPr>
          <w:rFonts w:asciiTheme="minorHAnsi" w:hAnsiTheme="minorHAnsi"/>
          <w:sz w:val="22"/>
          <w:szCs w:val="22"/>
          <w:lang w:val="es-ES_tradnl"/>
        </w:rPr>
        <w:t xml:space="preserve">El Instituto se encuentra claramente facultado para recabar y mantener actualizada la información necesaria sobre infraestructura pasiva y derechos de vía con la que cuenten los concesionarios, autorizados, e </w:t>
      </w:r>
      <w:r w:rsidRPr="002D1D1B">
        <w:rPr>
          <w:rFonts w:asciiTheme="minorHAnsi" w:hAnsiTheme="minorHAnsi"/>
          <w:sz w:val="22"/>
          <w:szCs w:val="22"/>
          <w:u w:val="single"/>
          <w:lang w:val="es-ES_tradnl"/>
        </w:rPr>
        <w:t xml:space="preserve">incluso </w:t>
      </w:r>
      <w:r w:rsidRPr="002D1D1B">
        <w:rPr>
          <w:rFonts w:asciiTheme="minorHAnsi" w:hAnsiTheme="minorHAnsi"/>
          <w:sz w:val="22"/>
          <w:szCs w:val="22"/>
          <w:lang w:val="es-ES_tradnl"/>
        </w:rPr>
        <w:t>las autoridades involucradas.</w:t>
      </w:r>
    </w:p>
    <w:p w14:paraId="1B411C58" w14:textId="77777777" w:rsidR="002D1D1B" w:rsidRPr="00A1318D" w:rsidRDefault="002D1D1B" w:rsidP="00A1318D">
      <w:pPr>
        <w:pStyle w:val="Ttulo2"/>
        <w:spacing w:before="240" w:after="240"/>
        <w:jc w:val="both"/>
        <w:rPr>
          <w:b/>
          <w:color w:val="0D0D0D" w:themeColor="text1" w:themeTint="F2"/>
          <w:sz w:val="24"/>
          <w:szCs w:val="24"/>
          <w:lang w:val="es-ES"/>
        </w:rPr>
      </w:pPr>
      <w:r w:rsidRPr="00A1318D">
        <w:rPr>
          <w:b/>
          <w:color w:val="0D0D0D" w:themeColor="text1" w:themeTint="F2"/>
          <w:sz w:val="24"/>
          <w:szCs w:val="24"/>
          <w:lang w:val="es-ES"/>
        </w:rPr>
        <w:t>CONCLUSIONES.</w:t>
      </w:r>
    </w:p>
    <w:p w14:paraId="28D9C4E1" w14:textId="77777777" w:rsidR="002D1D1B" w:rsidRPr="002D1D1B" w:rsidRDefault="002D1D1B" w:rsidP="007F5CF4">
      <w:pPr>
        <w:spacing w:after="240" w:line="240" w:lineRule="auto"/>
        <w:jc w:val="both"/>
      </w:pPr>
      <w:r w:rsidRPr="002D1D1B">
        <w:t>A partir del análisis realizado en el presente documento, podemos llegar a las siguientes conclusiones:</w:t>
      </w:r>
    </w:p>
    <w:p w14:paraId="4562AD73" w14:textId="77777777" w:rsidR="002D1D1B" w:rsidRPr="002D1D1B" w:rsidRDefault="002D1D1B" w:rsidP="007F5CF4">
      <w:pPr>
        <w:pStyle w:val="Prrafodelista"/>
        <w:numPr>
          <w:ilvl w:val="0"/>
          <w:numId w:val="8"/>
        </w:numPr>
        <w:spacing w:after="240" w:line="276" w:lineRule="auto"/>
        <w:jc w:val="both"/>
        <w:rPr>
          <w:rFonts w:eastAsia="ITC Avant Garde" w:cs="ITC Avant Garde"/>
          <w:bCs/>
        </w:rPr>
      </w:pPr>
      <w:r w:rsidRPr="002D1D1B">
        <w:rPr>
          <w:rFonts w:eastAsia="ITC Avant Garde" w:cs="ITC Avant Garde"/>
          <w:bCs/>
        </w:rPr>
        <w:t xml:space="preserve">Los derechos de vía </w:t>
      </w:r>
      <w:r w:rsidRPr="002D1D1B">
        <w:t>que sean necesarios para la instalación y operación de las redes, así como para la prestación de servicios de telecomunicaciones y radiodifusión</w:t>
      </w:r>
      <w:r w:rsidRPr="002D1D1B">
        <w:rPr>
          <w:rFonts w:eastAsia="ITC Avant Garde" w:cs="ITC Avant Garde"/>
          <w:bCs/>
        </w:rPr>
        <w:t>, son parte de la infraestructura pasiva en materia de telecomunicaciones y radiodifusión.</w:t>
      </w:r>
    </w:p>
    <w:p w14:paraId="75A4FA14" w14:textId="77777777" w:rsidR="002D1D1B" w:rsidRPr="002D1D1B" w:rsidRDefault="002D1D1B" w:rsidP="007F5CF4">
      <w:pPr>
        <w:pStyle w:val="Prrafodelista"/>
        <w:numPr>
          <w:ilvl w:val="0"/>
          <w:numId w:val="8"/>
        </w:numPr>
        <w:spacing w:after="240" w:line="276" w:lineRule="auto"/>
        <w:jc w:val="both"/>
        <w:rPr>
          <w:rFonts w:eastAsia="ITC Avant Garde" w:cs="ITC Avant Garde"/>
          <w:bCs/>
        </w:rPr>
      </w:pPr>
      <w:r w:rsidRPr="002D1D1B">
        <w:rPr>
          <w:rFonts w:eastAsia="ITC Avant Garde" w:cs="ITC Avant Garde"/>
          <w:bCs/>
        </w:rPr>
        <w:t xml:space="preserve">La infraestructura pasiva, a su vez, constituye un insumo esencial en términos de la </w:t>
      </w:r>
      <w:proofErr w:type="spellStart"/>
      <w:r w:rsidRPr="002D1D1B">
        <w:rPr>
          <w:rFonts w:eastAsia="ITC Avant Garde" w:cs="ITC Avant Garde"/>
          <w:bCs/>
        </w:rPr>
        <w:t>LFTyR</w:t>
      </w:r>
      <w:proofErr w:type="spellEnd"/>
      <w:r w:rsidRPr="002D1D1B">
        <w:rPr>
          <w:rFonts w:eastAsia="ITC Avant Garde" w:cs="ITC Avant Garde"/>
          <w:bCs/>
        </w:rPr>
        <w:t>.</w:t>
      </w:r>
    </w:p>
    <w:p w14:paraId="551AC148" w14:textId="77777777" w:rsidR="002D1D1B" w:rsidRPr="002D1D1B" w:rsidRDefault="002D1D1B" w:rsidP="007F5CF4">
      <w:pPr>
        <w:pStyle w:val="Prrafodelista"/>
        <w:numPr>
          <w:ilvl w:val="0"/>
          <w:numId w:val="8"/>
        </w:numPr>
        <w:spacing w:after="240" w:line="276" w:lineRule="auto"/>
        <w:jc w:val="both"/>
        <w:rPr>
          <w:rFonts w:eastAsia="ITC Avant Garde" w:cs="ITC Avant Garde"/>
          <w:bCs/>
        </w:rPr>
      </w:pPr>
      <w:r w:rsidRPr="002D1D1B">
        <w:rPr>
          <w:rFonts w:eastAsia="ITC Avant Garde" w:cs="ITC Avant Garde"/>
          <w:bCs/>
        </w:rPr>
        <w:t>Las facultades del Instituto para regular, promover y supervisar el acceso a los derechos de vía en materia de telecomunicaciones y radiodifusión, derivan y se encuentran asociadas a las facultades con las que cuenta el Instituto en materia de:</w:t>
      </w:r>
    </w:p>
    <w:p w14:paraId="7E75D645" w14:textId="77777777" w:rsidR="002D1D1B" w:rsidRPr="002D1D1B" w:rsidRDefault="002D1D1B" w:rsidP="007F5CF4">
      <w:pPr>
        <w:pStyle w:val="Prrafodelista"/>
        <w:numPr>
          <w:ilvl w:val="1"/>
          <w:numId w:val="8"/>
        </w:numPr>
        <w:spacing w:after="240" w:line="276" w:lineRule="auto"/>
        <w:jc w:val="both"/>
        <w:rPr>
          <w:rFonts w:eastAsia="ITC Avant Garde" w:cs="ITC Avant Garde"/>
          <w:bCs/>
        </w:rPr>
      </w:pPr>
      <w:r w:rsidRPr="002D1D1B">
        <w:rPr>
          <w:rFonts w:eastAsia="ITC Avant Garde" w:cs="ITC Avant Garde"/>
          <w:bCs/>
        </w:rPr>
        <w:t>Infraestructura pasiva; y</w:t>
      </w:r>
    </w:p>
    <w:p w14:paraId="09AA2395" w14:textId="77777777" w:rsidR="002D1D1B" w:rsidRPr="002D1D1B" w:rsidRDefault="002D1D1B" w:rsidP="007F5CF4">
      <w:pPr>
        <w:pStyle w:val="Prrafodelista"/>
        <w:numPr>
          <w:ilvl w:val="1"/>
          <w:numId w:val="8"/>
        </w:numPr>
        <w:spacing w:after="240" w:line="276" w:lineRule="auto"/>
        <w:jc w:val="both"/>
        <w:rPr>
          <w:rFonts w:eastAsia="ITC Avant Garde" w:cs="ITC Avant Garde"/>
          <w:bCs/>
        </w:rPr>
      </w:pPr>
      <w:r w:rsidRPr="002D1D1B">
        <w:rPr>
          <w:rFonts w:eastAsia="ITC Avant Garde" w:cs="ITC Avant Garde"/>
          <w:bCs/>
        </w:rPr>
        <w:t>Insumos esenciales.</w:t>
      </w:r>
    </w:p>
    <w:p w14:paraId="373B1FD3" w14:textId="05DD81EB" w:rsidR="008D799F" w:rsidRPr="007F5CF4" w:rsidRDefault="002D1D1B" w:rsidP="007F5CF4">
      <w:pPr>
        <w:pStyle w:val="Prrafodelista"/>
        <w:numPr>
          <w:ilvl w:val="0"/>
          <w:numId w:val="11"/>
        </w:numPr>
        <w:spacing w:after="240" w:line="276" w:lineRule="auto"/>
        <w:rPr>
          <w:rFonts w:eastAsia="ITC Avant Garde" w:cs="ITC Avant Garde"/>
          <w:bCs/>
        </w:rPr>
      </w:pPr>
      <w:r w:rsidRPr="002D1D1B">
        <w:rPr>
          <w:rFonts w:eastAsia="ITC Avant Garde" w:cs="ITC Avant Garde"/>
          <w:bCs/>
        </w:rPr>
        <w:t>Aún si no se considerara que el Instituto tiene facultades en ley para regular el acceso a los derechos de vía en materia de telecomunicaciones y radiodifusión asociados con infraestructura pasiva e insumos esenciales, la LFCE le confiere facultades para determinar la existencia de un insumo esencial (</w:t>
      </w:r>
      <w:r w:rsidR="007F5CF4">
        <w:rPr>
          <w:rFonts w:eastAsia="ITC Avant Garde" w:cs="ITC Avant Garde"/>
          <w:bCs/>
        </w:rPr>
        <w:t>art. 60) y regularlo (art. 94).</w:t>
      </w:r>
    </w:p>
    <w:sectPr w:rsidR="008D799F" w:rsidRPr="007F5CF4" w:rsidSect="007137A1">
      <w:pgSz w:w="12240" w:h="15840"/>
      <w:pgMar w:top="153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C9113" w14:textId="77777777" w:rsidR="00124D4D" w:rsidRDefault="00124D4D" w:rsidP="00582DC1">
      <w:pPr>
        <w:spacing w:after="0" w:line="240" w:lineRule="auto"/>
      </w:pPr>
      <w:r>
        <w:separator/>
      </w:r>
    </w:p>
  </w:endnote>
  <w:endnote w:type="continuationSeparator" w:id="0">
    <w:p w14:paraId="3BD1D607" w14:textId="77777777" w:rsidR="00124D4D" w:rsidRDefault="00124D4D" w:rsidP="0058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20175"/>
      <w:docPartObj>
        <w:docPartGallery w:val="Page Numbers (Bottom of Page)"/>
        <w:docPartUnique/>
      </w:docPartObj>
    </w:sdtPr>
    <w:sdtEndPr>
      <w:rPr>
        <w:sz w:val="16"/>
        <w:szCs w:val="16"/>
      </w:rPr>
    </w:sdtEndPr>
    <w:sdtContent>
      <w:p w14:paraId="2B0B22D3" w14:textId="73B96B42" w:rsidR="001E7831" w:rsidRPr="007F5CF4" w:rsidRDefault="001E7831" w:rsidP="007F5CF4">
        <w:pPr>
          <w:pStyle w:val="Piedepgina"/>
          <w:jc w:val="right"/>
          <w:rPr>
            <w:sz w:val="16"/>
            <w:szCs w:val="16"/>
          </w:rPr>
        </w:pPr>
        <w:r w:rsidRPr="001E7831">
          <w:rPr>
            <w:sz w:val="16"/>
            <w:szCs w:val="16"/>
          </w:rPr>
          <w:fldChar w:fldCharType="begin"/>
        </w:r>
        <w:r w:rsidRPr="001E7831">
          <w:rPr>
            <w:sz w:val="16"/>
            <w:szCs w:val="16"/>
          </w:rPr>
          <w:instrText>PAGE   \* MERGEFORMAT</w:instrText>
        </w:r>
        <w:r w:rsidRPr="001E7831">
          <w:rPr>
            <w:sz w:val="16"/>
            <w:szCs w:val="16"/>
          </w:rPr>
          <w:fldChar w:fldCharType="separate"/>
        </w:r>
        <w:r w:rsidR="00A1318D" w:rsidRPr="00A1318D">
          <w:rPr>
            <w:noProof/>
            <w:sz w:val="16"/>
            <w:szCs w:val="16"/>
            <w:lang w:val="es-ES"/>
          </w:rPr>
          <w:t>8</w:t>
        </w:r>
        <w:r w:rsidRPr="001E7831">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F76BB" w14:textId="77777777" w:rsidR="00124D4D" w:rsidRDefault="00124D4D" w:rsidP="00582DC1">
      <w:pPr>
        <w:spacing w:after="0" w:line="240" w:lineRule="auto"/>
      </w:pPr>
      <w:r>
        <w:separator/>
      </w:r>
    </w:p>
  </w:footnote>
  <w:footnote w:type="continuationSeparator" w:id="0">
    <w:p w14:paraId="6E87C636" w14:textId="77777777" w:rsidR="00124D4D" w:rsidRDefault="00124D4D" w:rsidP="00582DC1">
      <w:pPr>
        <w:spacing w:after="0" w:line="240" w:lineRule="auto"/>
      </w:pPr>
      <w:r>
        <w:continuationSeparator/>
      </w:r>
    </w:p>
  </w:footnote>
  <w:footnote w:id="1">
    <w:p w14:paraId="7A78CC1F" w14:textId="77777777" w:rsidR="00582DC1" w:rsidRDefault="00582DC1">
      <w:pPr>
        <w:pStyle w:val="Textonotapie"/>
      </w:pPr>
      <w:r>
        <w:rPr>
          <w:rStyle w:val="Refdenotaalpie"/>
        </w:rPr>
        <w:footnoteRef/>
      </w:r>
      <w:r>
        <w:t xml:space="preserve"> Entrevistas informales con constructores de fibra.</w:t>
      </w:r>
    </w:p>
  </w:footnote>
  <w:footnote w:id="2">
    <w:p w14:paraId="7C1CF1E7" w14:textId="77777777" w:rsidR="002D1D1B" w:rsidRPr="00546F96" w:rsidRDefault="002D1D1B" w:rsidP="002D1D1B">
      <w:pPr>
        <w:pStyle w:val="Textonotapie"/>
        <w:jc w:val="both"/>
      </w:pPr>
      <w:r w:rsidRPr="00546F96">
        <w:rPr>
          <w:rStyle w:val="Refdenotaalpie"/>
        </w:rPr>
        <w:footnoteRef/>
      </w:r>
      <w:r w:rsidRPr="00546F96">
        <w:t xml:space="preserve"> Diario Oficial de la Federación (DOF) de 5 de febrero de 1992. Última modificación publicada en el DOF el 8 de agosto de 2000.</w:t>
      </w:r>
    </w:p>
  </w:footnote>
  <w:footnote w:id="3">
    <w:p w14:paraId="7D793874" w14:textId="77777777" w:rsidR="002D1D1B" w:rsidRPr="0000468D" w:rsidRDefault="002D1D1B" w:rsidP="002D1D1B">
      <w:pPr>
        <w:pStyle w:val="Textonotapie"/>
      </w:pPr>
      <w:r w:rsidRPr="00546F96">
        <w:rPr>
          <w:rStyle w:val="Refdenotaalpie"/>
        </w:rPr>
        <w:footnoteRef/>
      </w:r>
      <w:r w:rsidRPr="00546F96">
        <w:t xml:space="preserve"> El precepto hace referencia a la Secretaría de Comunicaciones y Transportes (“SCT”), de acuerdo con lo establecido en la fracción X, del mismo Reglamento.</w:t>
      </w:r>
    </w:p>
  </w:footnote>
  <w:footnote w:id="4">
    <w:p w14:paraId="2E77BEFD" w14:textId="77777777" w:rsidR="002D1D1B" w:rsidRPr="00546F96" w:rsidRDefault="002D1D1B" w:rsidP="002D1D1B">
      <w:pPr>
        <w:pStyle w:val="Textonotapie"/>
        <w:jc w:val="both"/>
      </w:pPr>
      <w:r w:rsidRPr="00546F96">
        <w:rPr>
          <w:rStyle w:val="Refdenotaalpie"/>
        </w:rPr>
        <w:footnoteRef/>
      </w:r>
      <w:r w:rsidRPr="00546F96">
        <w:t xml:space="preserve"> </w:t>
      </w:r>
      <w:r w:rsidRPr="00546F96">
        <w:rPr>
          <w:lang w:val="es-ES"/>
        </w:rPr>
        <w:t xml:space="preserve">La consulta pública se realiza del 20 de Septiembre de 2016 al 31 de Octubre de 2016, conforme al Acuerdo </w:t>
      </w:r>
      <w:r w:rsidRPr="00546F96">
        <w:t>aprobado por el Pleno del IFT en su XXVII Sesión Ordinaria celebrada el 1 de septiembre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3C59" w14:textId="623E3FCC" w:rsidR="007137A1" w:rsidRDefault="007F5CF4">
    <w:pPr>
      <w:pStyle w:val="Encabezado"/>
    </w:pPr>
    <w:r>
      <w:rPr>
        <w:noProof/>
        <w:lang w:eastAsia="es-MX"/>
      </w:rPr>
      <w:drawing>
        <wp:inline distT="0" distB="0" distL="0" distR="0" wp14:anchorId="09225219" wp14:editId="04B44C85">
          <wp:extent cx="3775710" cy="957580"/>
          <wp:effectExtent l="0" t="0" r="0" b="0"/>
          <wp:docPr id="9" name="Imagen 9" descr="Hoja membretada con el logotipo del Consejo Consultivo." title="Logo del Consejo Consul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13061"/>
    <w:multiLevelType w:val="hybridMultilevel"/>
    <w:tmpl w:val="30C8D5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650F4"/>
    <w:multiLevelType w:val="hybridMultilevel"/>
    <w:tmpl w:val="BC9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633646"/>
    <w:multiLevelType w:val="hybridMultilevel"/>
    <w:tmpl w:val="C68EDA7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4" w15:restartNumberingAfterBreak="0">
    <w:nsid w:val="24F808E5"/>
    <w:multiLevelType w:val="hybridMultilevel"/>
    <w:tmpl w:val="C64CF1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146EE"/>
    <w:multiLevelType w:val="hybridMultilevel"/>
    <w:tmpl w:val="BBC400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35F6499F"/>
    <w:multiLevelType w:val="hybridMultilevel"/>
    <w:tmpl w:val="69681A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421AD0"/>
    <w:multiLevelType w:val="hybridMultilevel"/>
    <w:tmpl w:val="BC905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080284"/>
    <w:multiLevelType w:val="hybridMultilevel"/>
    <w:tmpl w:val="5CA48568"/>
    <w:lvl w:ilvl="0" w:tplc="95FEDE2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5447E1"/>
    <w:multiLevelType w:val="hybridMultilevel"/>
    <w:tmpl w:val="7D549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B67283"/>
    <w:multiLevelType w:val="hybridMultilevel"/>
    <w:tmpl w:val="C186C7E4"/>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2"/>
  </w:num>
  <w:num w:numId="5">
    <w:abstractNumId w:val="6"/>
  </w:num>
  <w:num w:numId="6">
    <w:abstractNumId w:val="1"/>
  </w:num>
  <w:num w:numId="7">
    <w:abstractNumId w:val="8"/>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9F"/>
    <w:rsid w:val="00003175"/>
    <w:rsid w:val="00015DBB"/>
    <w:rsid w:val="000608EF"/>
    <w:rsid w:val="00066FA2"/>
    <w:rsid w:val="000D1A62"/>
    <w:rsid w:val="000D504F"/>
    <w:rsid w:val="00124D4D"/>
    <w:rsid w:val="001272FC"/>
    <w:rsid w:val="001748D7"/>
    <w:rsid w:val="00177ADB"/>
    <w:rsid w:val="00187580"/>
    <w:rsid w:val="0019375F"/>
    <w:rsid w:val="001A0293"/>
    <w:rsid w:val="001C15B6"/>
    <w:rsid w:val="001D4F0A"/>
    <w:rsid w:val="001E7831"/>
    <w:rsid w:val="001F761F"/>
    <w:rsid w:val="002235B1"/>
    <w:rsid w:val="002373E6"/>
    <w:rsid w:val="002426FF"/>
    <w:rsid w:val="00273AAC"/>
    <w:rsid w:val="002D1D1B"/>
    <w:rsid w:val="0033120C"/>
    <w:rsid w:val="00363E2E"/>
    <w:rsid w:val="003B2178"/>
    <w:rsid w:val="003E4D64"/>
    <w:rsid w:val="00405B81"/>
    <w:rsid w:val="00453972"/>
    <w:rsid w:val="004C38F8"/>
    <w:rsid w:val="004D17C8"/>
    <w:rsid w:val="00546F96"/>
    <w:rsid w:val="00572C1F"/>
    <w:rsid w:val="00582DC1"/>
    <w:rsid w:val="0058652F"/>
    <w:rsid w:val="005A7227"/>
    <w:rsid w:val="005B1DEF"/>
    <w:rsid w:val="00672072"/>
    <w:rsid w:val="006932EA"/>
    <w:rsid w:val="007137A1"/>
    <w:rsid w:val="0076088F"/>
    <w:rsid w:val="00785A04"/>
    <w:rsid w:val="00797F2D"/>
    <w:rsid w:val="007C3CF2"/>
    <w:rsid w:val="007F3493"/>
    <w:rsid w:val="007F5CF4"/>
    <w:rsid w:val="00881EBE"/>
    <w:rsid w:val="008955A3"/>
    <w:rsid w:val="008A5268"/>
    <w:rsid w:val="008D799F"/>
    <w:rsid w:val="00921926"/>
    <w:rsid w:val="009757EC"/>
    <w:rsid w:val="00A1318D"/>
    <w:rsid w:val="00A508EA"/>
    <w:rsid w:val="00A748B2"/>
    <w:rsid w:val="00A8012C"/>
    <w:rsid w:val="00AA214D"/>
    <w:rsid w:val="00AE2950"/>
    <w:rsid w:val="00B20F2E"/>
    <w:rsid w:val="00B70300"/>
    <w:rsid w:val="00B74A83"/>
    <w:rsid w:val="00B75650"/>
    <w:rsid w:val="00BC5956"/>
    <w:rsid w:val="00BE501B"/>
    <w:rsid w:val="00BF6ED1"/>
    <w:rsid w:val="00CD5F11"/>
    <w:rsid w:val="00D10C41"/>
    <w:rsid w:val="00D16C2E"/>
    <w:rsid w:val="00D30F28"/>
    <w:rsid w:val="00D6249A"/>
    <w:rsid w:val="00E12778"/>
    <w:rsid w:val="00E63949"/>
    <w:rsid w:val="00E71998"/>
    <w:rsid w:val="00E7691D"/>
    <w:rsid w:val="00F5229D"/>
    <w:rsid w:val="00F9445D"/>
    <w:rsid w:val="00FB1C76"/>
    <w:rsid w:val="00FD245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615E"/>
  <w15:docId w15:val="{9115F662-4752-477C-A243-49AEEB48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178"/>
  </w:style>
  <w:style w:type="paragraph" w:styleId="Ttulo1">
    <w:name w:val="heading 1"/>
    <w:basedOn w:val="Normal"/>
    <w:next w:val="Normal"/>
    <w:link w:val="Ttulo1Car"/>
    <w:uiPriority w:val="9"/>
    <w:qFormat/>
    <w:rsid w:val="007F5C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Ttulo2">
    <w:name w:val="heading 2"/>
    <w:basedOn w:val="Normal"/>
    <w:next w:val="Normal"/>
    <w:link w:val="Ttulo2Car"/>
    <w:uiPriority w:val="9"/>
    <w:unhideWhenUsed/>
    <w:qFormat/>
    <w:rsid w:val="00A1318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3">
    <w:name w:val="heading 3"/>
    <w:basedOn w:val="Normal"/>
    <w:next w:val="Normal"/>
    <w:link w:val="Ttulo3Car"/>
    <w:uiPriority w:val="9"/>
    <w:unhideWhenUsed/>
    <w:qFormat/>
    <w:rsid w:val="00A1318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6FF"/>
    <w:pPr>
      <w:ind w:left="720"/>
      <w:contextualSpacing/>
    </w:pPr>
  </w:style>
  <w:style w:type="paragraph" w:styleId="Textonotapie">
    <w:name w:val="footnote text"/>
    <w:basedOn w:val="Normal"/>
    <w:link w:val="TextonotapieCar"/>
    <w:uiPriority w:val="99"/>
    <w:unhideWhenUsed/>
    <w:rsid w:val="00582DC1"/>
    <w:pPr>
      <w:spacing w:after="0" w:line="240" w:lineRule="auto"/>
    </w:pPr>
    <w:rPr>
      <w:sz w:val="20"/>
      <w:szCs w:val="20"/>
    </w:rPr>
  </w:style>
  <w:style w:type="character" w:customStyle="1" w:styleId="TextonotapieCar">
    <w:name w:val="Texto nota pie Car"/>
    <w:basedOn w:val="Fuentedeprrafopredeter"/>
    <w:link w:val="Textonotapie"/>
    <w:uiPriority w:val="99"/>
    <w:rsid w:val="00582DC1"/>
    <w:rPr>
      <w:sz w:val="20"/>
      <w:szCs w:val="20"/>
    </w:rPr>
  </w:style>
  <w:style w:type="character" w:styleId="Refdenotaalpie">
    <w:name w:val="footnote reference"/>
    <w:basedOn w:val="Fuentedeprrafopredeter"/>
    <w:uiPriority w:val="99"/>
    <w:unhideWhenUsed/>
    <w:rsid w:val="00582DC1"/>
    <w:rPr>
      <w:vertAlign w:val="superscript"/>
    </w:rPr>
  </w:style>
  <w:style w:type="paragraph" w:styleId="Textocomentario">
    <w:name w:val="annotation text"/>
    <w:basedOn w:val="Normal"/>
    <w:link w:val="TextocomentarioCar"/>
    <w:uiPriority w:val="99"/>
    <w:unhideWhenUsed/>
    <w:rsid w:val="0033120C"/>
    <w:pPr>
      <w:spacing w:after="0" w:line="240" w:lineRule="auto"/>
    </w:pPr>
    <w:rPr>
      <w:rFonts w:ascii="Arial" w:eastAsia="Arial" w:hAnsi="Arial" w:cs="Arial"/>
      <w:color w:val="000000"/>
      <w:sz w:val="20"/>
      <w:szCs w:val="20"/>
      <w:lang w:val="es-ES_tradnl" w:eastAsia="es-MX"/>
    </w:rPr>
  </w:style>
  <w:style w:type="character" w:customStyle="1" w:styleId="TextocomentarioCar">
    <w:name w:val="Texto comentario Car"/>
    <w:basedOn w:val="Fuentedeprrafopredeter"/>
    <w:link w:val="Textocomentario"/>
    <w:uiPriority w:val="99"/>
    <w:rsid w:val="0033120C"/>
    <w:rPr>
      <w:rFonts w:ascii="Arial" w:eastAsia="Arial" w:hAnsi="Arial" w:cs="Arial"/>
      <w:color w:val="000000"/>
      <w:sz w:val="20"/>
      <w:szCs w:val="20"/>
      <w:lang w:val="es-ES_tradnl" w:eastAsia="es-MX"/>
    </w:rPr>
  </w:style>
  <w:style w:type="character" w:styleId="Refdecomentario">
    <w:name w:val="annotation reference"/>
    <w:basedOn w:val="Fuentedeprrafopredeter"/>
    <w:uiPriority w:val="99"/>
    <w:semiHidden/>
    <w:unhideWhenUsed/>
    <w:rsid w:val="0033120C"/>
    <w:rPr>
      <w:sz w:val="16"/>
      <w:szCs w:val="16"/>
    </w:rPr>
  </w:style>
  <w:style w:type="paragraph" w:styleId="Textodeglobo">
    <w:name w:val="Balloon Text"/>
    <w:basedOn w:val="Normal"/>
    <w:link w:val="TextodegloboCar"/>
    <w:uiPriority w:val="99"/>
    <w:semiHidden/>
    <w:unhideWhenUsed/>
    <w:rsid w:val="0033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20C"/>
    <w:rPr>
      <w:rFonts w:ascii="Tahoma" w:hAnsi="Tahoma" w:cs="Tahoma"/>
      <w:sz w:val="16"/>
      <w:szCs w:val="16"/>
    </w:rPr>
  </w:style>
  <w:style w:type="paragraph" w:styleId="Encabezado">
    <w:name w:val="header"/>
    <w:basedOn w:val="Normal"/>
    <w:link w:val="EncabezadoCar"/>
    <w:uiPriority w:val="99"/>
    <w:unhideWhenUsed/>
    <w:rsid w:val="00713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7A1"/>
  </w:style>
  <w:style w:type="paragraph" w:styleId="Piedepgina">
    <w:name w:val="footer"/>
    <w:basedOn w:val="Normal"/>
    <w:link w:val="PiedepginaCar"/>
    <w:uiPriority w:val="99"/>
    <w:unhideWhenUsed/>
    <w:rsid w:val="00713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7A1"/>
  </w:style>
  <w:style w:type="paragraph" w:customStyle="1" w:styleId="Default">
    <w:name w:val="Default"/>
    <w:rsid w:val="002D1D1B"/>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2D1D1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D1D1B"/>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7F5CF4"/>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A1318D"/>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rsid w:val="00A1318D"/>
    <w:rPr>
      <w:rFonts w:asciiTheme="majorHAnsi" w:eastAsiaTheme="majorEastAsia" w:hAnsiTheme="majorHAnsi" w:cstheme="majorBidi"/>
      <w:color w:val="1F4D78" w:themeColor="accent1" w:themeShade="7F"/>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F3D5-72BB-46E5-874A-395513E4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4412</Words>
  <Characters>24272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Huerta Velazquez</dc:creator>
  <cp:keywords/>
  <dc:description/>
  <cp:lastModifiedBy>Maria del Consuelo Gonzalez Moreno</cp:lastModifiedBy>
  <cp:revision>3</cp:revision>
  <cp:lastPrinted>2016-10-10T19:21:00Z</cp:lastPrinted>
  <dcterms:created xsi:type="dcterms:W3CDTF">2017-02-20T19:27:00Z</dcterms:created>
  <dcterms:modified xsi:type="dcterms:W3CDTF">2017-02-20T19:31:00Z</dcterms:modified>
</cp:coreProperties>
</file>