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B921" w14:textId="6F328DD3" w:rsidR="00094B90" w:rsidRPr="00D4071C" w:rsidRDefault="00094B90" w:rsidP="00D4071C">
      <w:pPr>
        <w:pStyle w:val="Ttulo1"/>
        <w:spacing w:before="0" w:line="360" w:lineRule="auto"/>
        <w:rPr>
          <w:rFonts w:asciiTheme="minorHAnsi" w:eastAsia="Calibri" w:hAnsiTheme="minorHAnsi" w:cstheme="minorHAnsi"/>
          <w:b/>
          <w:bCs/>
          <w:color w:val="000000" w:themeColor="text1"/>
          <w:sz w:val="24"/>
          <w:szCs w:val="24"/>
          <w:lang w:val="es-ES"/>
        </w:rPr>
      </w:pPr>
      <w:r w:rsidRPr="00D4071C">
        <w:rPr>
          <w:rFonts w:asciiTheme="minorHAnsi" w:hAnsiTheme="minorHAnsi" w:cstheme="minorHAnsi"/>
          <w:b/>
          <w:bCs/>
          <w:color w:val="000000" w:themeColor="text1"/>
          <w:sz w:val="24"/>
          <w:szCs w:val="24"/>
          <w:lang w:val="es-ES"/>
        </w:rPr>
        <w:t>RECOMENDACIÓN QUE EMITE EL CONSEJO CONSULTIVO DEL I</w:t>
      </w:r>
      <w:r w:rsidR="00020ADC" w:rsidRPr="00D4071C">
        <w:rPr>
          <w:rFonts w:asciiTheme="minorHAnsi" w:hAnsiTheme="minorHAnsi" w:cstheme="minorHAnsi"/>
          <w:b/>
          <w:bCs/>
          <w:color w:val="000000" w:themeColor="text1"/>
          <w:sz w:val="24"/>
          <w:szCs w:val="24"/>
          <w:lang w:val="es-ES"/>
        </w:rPr>
        <w:t xml:space="preserve">NSTITUTO </w:t>
      </w:r>
      <w:r w:rsidRPr="00D4071C">
        <w:rPr>
          <w:rFonts w:asciiTheme="minorHAnsi" w:hAnsiTheme="minorHAnsi" w:cstheme="minorHAnsi"/>
          <w:b/>
          <w:bCs/>
          <w:color w:val="000000" w:themeColor="text1"/>
          <w:sz w:val="24"/>
          <w:szCs w:val="24"/>
          <w:lang w:val="es-ES"/>
        </w:rPr>
        <w:t>F</w:t>
      </w:r>
      <w:r w:rsidR="00020ADC" w:rsidRPr="00D4071C">
        <w:rPr>
          <w:rFonts w:asciiTheme="minorHAnsi" w:hAnsiTheme="minorHAnsi" w:cstheme="minorHAnsi"/>
          <w:b/>
          <w:bCs/>
          <w:color w:val="000000" w:themeColor="text1"/>
          <w:sz w:val="24"/>
          <w:szCs w:val="24"/>
          <w:lang w:val="es-ES"/>
        </w:rPr>
        <w:t xml:space="preserve">EDERAL DE </w:t>
      </w:r>
      <w:r w:rsidRPr="00D4071C">
        <w:rPr>
          <w:rFonts w:asciiTheme="minorHAnsi" w:hAnsiTheme="minorHAnsi" w:cstheme="minorHAnsi"/>
          <w:b/>
          <w:bCs/>
          <w:color w:val="000000" w:themeColor="text1"/>
          <w:sz w:val="24"/>
          <w:szCs w:val="24"/>
          <w:lang w:val="es-ES"/>
        </w:rPr>
        <w:t>T</w:t>
      </w:r>
      <w:r w:rsidR="00020ADC" w:rsidRPr="00D4071C">
        <w:rPr>
          <w:rFonts w:asciiTheme="minorHAnsi" w:hAnsiTheme="minorHAnsi" w:cstheme="minorHAnsi"/>
          <w:b/>
          <w:bCs/>
          <w:color w:val="000000" w:themeColor="text1"/>
          <w:sz w:val="24"/>
          <w:szCs w:val="24"/>
          <w:lang w:val="es-ES"/>
        </w:rPr>
        <w:t>ELECOMUNICACIONES</w:t>
      </w:r>
      <w:r w:rsidRPr="00D4071C">
        <w:rPr>
          <w:rFonts w:asciiTheme="minorHAnsi" w:hAnsiTheme="minorHAnsi" w:cstheme="minorHAnsi"/>
          <w:b/>
          <w:bCs/>
          <w:color w:val="000000" w:themeColor="text1"/>
          <w:sz w:val="24"/>
          <w:szCs w:val="24"/>
          <w:lang w:val="es-ES"/>
        </w:rPr>
        <w:t xml:space="preserve"> REFERENTE A LA CREACIÓN DE UN COMITÉ DE PEQUEÑOS OPERADORES</w:t>
      </w:r>
    </w:p>
    <w:p w14:paraId="7C58FEE0" w14:textId="77777777" w:rsidR="00094B90" w:rsidRPr="00094B90" w:rsidRDefault="00094B90" w:rsidP="00094B90">
      <w:pPr>
        <w:pStyle w:val="Body"/>
        <w:spacing w:line="360" w:lineRule="auto"/>
        <w:rPr>
          <w:rFonts w:asciiTheme="minorHAnsi" w:hAnsiTheme="minorHAnsi" w:cstheme="minorHAnsi"/>
          <w:sz w:val="24"/>
          <w:szCs w:val="24"/>
          <w:lang w:val="es-ES"/>
        </w:rPr>
      </w:pPr>
    </w:p>
    <w:p w14:paraId="7D36DA0C" w14:textId="77777777" w:rsidR="00094B90" w:rsidRPr="00094B90" w:rsidRDefault="00094B90" w:rsidP="00C831FF">
      <w:pPr>
        <w:pStyle w:val="Prrafodelista"/>
        <w:numPr>
          <w:ilvl w:val="0"/>
          <w:numId w:val="18"/>
        </w:numPr>
        <w:pBdr>
          <w:top w:val="nil"/>
          <w:left w:val="nil"/>
          <w:bottom w:val="nil"/>
          <w:right w:val="nil"/>
          <w:between w:val="nil"/>
          <w:bar w:val="nil"/>
        </w:pBdr>
        <w:spacing w:line="360" w:lineRule="auto"/>
        <w:contextualSpacing w:val="0"/>
        <w:rPr>
          <w:rFonts w:cstheme="minorHAnsi"/>
          <w:b/>
          <w:bCs/>
          <w:lang w:val="es-ES"/>
        </w:rPr>
      </w:pPr>
      <w:r w:rsidRPr="00094B90">
        <w:rPr>
          <w:rFonts w:cstheme="minorHAnsi"/>
          <w:b/>
          <w:bCs/>
          <w:lang w:val="es-ES"/>
        </w:rPr>
        <w:t>PROBLEMÁTICA DEL SECTOR</w:t>
      </w:r>
    </w:p>
    <w:p w14:paraId="3C57F62C" w14:textId="77777777" w:rsidR="00094B90" w:rsidRPr="00094B90" w:rsidRDefault="00094B90" w:rsidP="00094B90">
      <w:pPr>
        <w:pStyle w:val="Body"/>
        <w:spacing w:line="360" w:lineRule="auto"/>
        <w:jc w:val="both"/>
        <w:rPr>
          <w:rFonts w:asciiTheme="minorHAnsi" w:eastAsia="ITC Avant Garde" w:hAnsiTheme="minorHAnsi" w:cstheme="minorHAnsi"/>
          <w:sz w:val="24"/>
          <w:szCs w:val="24"/>
          <w:lang w:val="es-ES"/>
        </w:rPr>
      </w:pPr>
    </w:p>
    <w:p w14:paraId="158BBA8C" w14:textId="26D7D54F" w:rsid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En los últimos 3 años el otorgamiento de concesiones para pequeños operadores, redes y radios comunitarias y otros modelos de negocio con y sin fines de lucro tanto de telecomunicaciones como de radiodifusión se ha incrementado considerablemente. De acuerdo con información proporcionada por el I</w:t>
      </w:r>
      <w:r w:rsidR="00E82E45">
        <w:rPr>
          <w:rFonts w:eastAsia="ITC Avant Garde" w:cstheme="minorHAnsi"/>
          <w:lang w:val="es-ES"/>
        </w:rPr>
        <w:t xml:space="preserve">nstituto </w:t>
      </w:r>
      <w:r w:rsidRPr="00094B90">
        <w:rPr>
          <w:rFonts w:eastAsia="ITC Avant Garde" w:cstheme="minorHAnsi"/>
          <w:lang w:val="es-ES"/>
        </w:rPr>
        <w:t>F</w:t>
      </w:r>
      <w:r w:rsidR="00E82E45">
        <w:rPr>
          <w:rFonts w:eastAsia="ITC Avant Garde" w:cstheme="minorHAnsi"/>
          <w:lang w:val="es-ES"/>
        </w:rPr>
        <w:t xml:space="preserve">ederal de </w:t>
      </w:r>
      <w:r w:rsidRPr="00094B90">
        <w:rPr>
          <w:rFonts w:eastAsia="ITC Avant Garde" w:cstheme="minorHAnsi"/>
          <w:lang w:val="es-ES"/>
        </w:rPr>
        <w:t>T</w:t>
      </w:r>
      <w:r w:rsidR="00E82E45">
        <w:rPr>
          <w:rFonts w:eastAsia="ITC Avant Garde" w:cstheme="minorHAnsi"/>
          <w:lang w:val="es-ES"/>
        </w:rPr>
        <w:t>elecomunicaciones (IFT)</w:t>
      </w:r>
      <w:r w:rsidRPr="00094B90">
        <w:rPr>
          <w:rFonts w:eastAsia="ITC Avant Garde" w:cstheme="minorHAnsi"/>
          <w:lang w:val="es-ES"/>
        </w:rPr>
        <w:t>, se ha identificado que existen 209 pequeños operadores conocidos como “Wireless ISP” y otros modelos de negocio. De este total, 92 pequeños operadores cuentan con concesión y/o autorización, 100 con autorización, 17 con ambas. La mayoría tienen menos de tres años operando en el mercado. Adicionalmente, la información proporcionada por el IFT referente a las concesiones de uso social indígena por año de otorgamiento se muestra en la siguiente tabla:</w:t>
      </w:r>
    </w:p>
    <w:p w14:paraId="411F00AF" w14:textId="5D6A00E8" w:rsidR="00FD6E1A" w:rsidRDefault="00FD6E1A" w:rsidP="00FD6E1A">
      <w:pPr>
        <w:pStyle w:val="Prrafodelista"/>
        <w:pBdr>
          <w:top w:val="nil"/>
          <w:left w:val="nil"/>
          <w:bottom w:val="nil"/>
          <w:right w:val="nil"/>
          <w:between w:val="nil"/>
          <w:bar w:val="nil"/>
        </w:pBdr>
        <w:spacing w:line="360" w:lineRule="auto"/>
        <w:ind w:left="709"/>
        <w:contextualSpacing w:val="0"/>
        <w:jc w:val="both"/>
        <w:rPr>
          <w:rFonts w:eastAsia="ITC Avant Garde" w:cstheme="minorHAnsi"/>
          <w:lang w:val="es-ES"/>
        </w:rPr>
      </w:pPr>
    </w:p>
    <w:tbl>
      <w:tblPr>
        <w:tblStyle w:val="Tablaconcuadrcula"/>
        <w:tblW w:w="9497" w:type="dxa"/>
        <w:tblInd w:w="704" w:type="dxa"/>
        <w:tblLook w:val="04A0" w:firstRow="1" w:lastRow="0" w:firstColumn="1" w:lastColumn="0" w:noHBand="0" w:noVBand="1"/>
      </w:tblPr>
      <w:tblGrid>
        <w:gridCol w:w="1362"/>
        <w:gridCol w:w="1363"/>
        <w:gridCol w:w="1052"/>
        <w:gridCol w:w="1341"/>
        <w:gridCol w:w="1902"/>
        <w:gridCol w:w="1341"/>
        <w:gridCol w:w="1136"/>
      </w:tblGrid>
      <w:tr w:rsidR="00FD6E1A" w:rsidRPr="003C5D62" w14:paraId="0CC780CF" w14:textId="77777777" w:rsidTr="00FD6E1A">
        <w:tc>
          <w:tcPr>
            <w:tcW w:w="1362" w:type="dxa"/>
          </w:tcPr>
          <w:p w14:paraId="52270A96" w14:textId="77777777" w:rsidR="00FD6E1A" w:rsidRPr="003C5D62" w:rsidRDefault="00FD6E1A" w:rsidP="00E37435">
            <w:pPr>
              <w:rPr>
                <w:rFonts w:cstheme="minorHAnsi"/>
                <w:sz w:val="20"/>
                <w:szCs w:val="20"/>
              </w:rPr>
            </w:pPr>
          </w:p>
        </w:tc>
        <w:tc>
          <w:tcPr>
            <w:tcW w:w="1363" w:type="dxa"/>
            <w:tcBorders>
              <w:right w:val="nil"/>
            </w:tcBorders>
          </w:tcPr>
          <w:p w14:paraId="3ECE0218" w14:textId="77777777" w:rsidR="00FD6E1A" w:rsidRPr="003C5D62" w:rsidRDefault="00FD6E1A" w:rsidP="00E37435">
            <w:pPr>
              <w:rPr>
                <w:rFonts w:cstheme="minorHAnsi"/>
                <w:b/>
                <w:bCs/>
                <w:sz w:val="20"/>
                <w:szCs w:val="20"/>
              </w:rPr>
            </w:pPr>
            <w:r w:rsidRPr="003C5D62">
              <w:rPr>
                <w:rFonts w:cstheme="minorHAnsi"/>
                <w:b/>
                <w:bCs/>
                <w:color w:val="000000"/>
                <w:sz w:val="20"/>
                <w:szCs w:val="20"/>
                <w:lang w:eastAsia="es-MX"/>
              </w:rPr>
              <w:t>Radiodifusión</w:t>
            </w:r>
          </w:p>
        </w:tc>
        <w:tc>
          <w:tcPr>
            <w:tcW w:w="1052" w:type="dxa"/>
            <w:tcBorders>
              <w:left w:val="nil"/>
            </w:tcBorders>
          </w:tcPr>
          <w:p w14:paraId="00333840" w14:textId="77777777" w:rsidR="00FD6E1A" w:rsidRPr="003C5D62" w:rsidRDefault="00FD6E1A" w:rsidP="00E37435">
            <w:pPr>
              <w:rPr>
                <w:rFonts w:cstheme="minorHAnsi"/>
                <w:b/>
                <w:bCs/>
                <w:sz w:val="20"/>
                <w:szCs w:val="20"/>
              </w:rPr>
            </w:pPr>
          </w:p>
        </w:tc>
        <w:tc>
          <w:tcPr>
            <w:tcW w:w="1341" w:type="dxa"/>
            <w:tcBorders>
              <w:right w:val="nil"/>
            </w:tcBorders>
          </w:tcPr>
          <w:p w14:paraId="4801A772" w14:textId="77777777" w:rsidR="00FD6E1A" w:rsidRPr="003C5D62" w:rsidRDefault="00FD6E1A" w:rsidP="00E37435">
            <w:pPr>
              <w:jc w:val="center"/>
              <w:rPr>
                <w:rFonts w:cstheme="minorHAnsi"/>
                <w:b/>
                <w:bCs/>
                <w:sz w:val="20"/>
                <w:szCs w:val="20"/>
              </w:rPr>
            </w:pPr>
          </w:p>
        </w:tc>
        <w:tc>
          <w:tcPr>
            <w:tcW w:w="1902" w:type="dxa"/>
            <w:tcBorders>
              <w:left w:val="nil"/>
            </w:tcBorders>
          </w:tcPr>
          <w:p w14:paraId="0281A31A" w14:textId="77777777" w:rsidR="00FD6E1A" w:rsidRPr="003C5D62" w:rsidRDefault="00FD6E1A" w:rsidP="00E37435">
            <w:pPr>
              <w:rPr>
                <w:rFonts w:cstheme="minorHAnsi"/>
                <w:b/>
                <w:bCs/>
                <w:sz w:val="20"/>
                <w:szCs w:val="20"/>
              </w:rPr>
            </w:pPr>
            <w:r w:rsidRPr="003C5D62">
              <w:rPr>
                <w:rFonts w:cstheme="minorHAnsi"/>
                <w:b/>
                <w:bCs/>
                <w:color w:val="000000"/>
                <w:sz w:val="20"/>
                <w:szCs w:val="20"/>
                <w:lang w:eastAsia="es-MX"/>
              </w:rPr>
              <w:t>Telecomunicacione</w:t>
            </w:r>
            <w:r>
              <w:rPr>
                <w:rFonts w:cstheme="minorHAnsi"/>
                <w:b/>
                <w:bCs/>
                <w:color w:val="000000"/>
                <w:lang w:eastAsia="es-MX"/>
              </w:rPr>
              <w:t>s</w:t>
            </w:r>
          </w:p>
        </w:tc>
        <w:tc>
          <w:tcPr>
            <w:tcW w:w="1341" w:type="dxa"/>
            <w:tcBorders>
              <w:right w:val="nil"/>
            </w:tcBorders>
          </w:tcPr>
          <w:p w14:paraId="425AC069" w14:textId="77777777" w:rsidR="00FD6E1A" w:rsidRPr="003C5D62" w:rsidRDefault="00FD6E1A" w:rsidP="00E37435">
            <w:pPr>
              <w:rPr>
                <w:rFonts w:cstheme="minorHAnsi"/>
                <w:b/>
                <w:bCs/>
                <w:sz w:val="20"/>
                <w:szCs w:val="20"/>
              </w:rPr>
            </w:pPr>
          </w:p>
        </w:tc>
        <w:tc>
          <w:tcPr>
            <w:tcW w:w="1136" w:type="dxa"/>
            <w:tcBorders>
              <w:left w:val="nil"/>
            </w:tcBorders>
          </w:tcPr>
          <w:p w14:paraId="2E945D2E" w14:textId="77777777" w:rsidR="00FD6E1A" w:rsidRPr="003C5D62" w:rsidRDefault="00FD6E1A" w:rsidP="00E37435">
            <w:pPr>
              <w:rPr>
                <w:rFonts w:cstheme="minorHAnsi"/>
                <w:b/>
                <w:bCs/>
                <w:sz w:val="20"/>
                <w:szCs w:val="20"/>
              </w:rPr>
            </w:pPr>
            <w:r w:rsidRPr="003C5D62">
              <w:rPr>
                <w:rFonts w:cstheme="minorHAnsi"/>
                <w:b/>
                <w:bCs/>
                <w:color w:val="000000"/>
                <w:sz w:val="20"/>
                <w:szCs w:val="20"/>
                <w:lang w:eastAsia="es-MX"/>
              </w:rPr>
              <w:t>Total</w:t>
            </w:r>
          </w:p>
        </w:tc>
      </w:tr>
      <w:tr w:rsidR="00FD6E1A" w:rsidRPr="003C5D62" w14:paraId="2A9059D0" w14:textId="77777777" w:rsidTr="00FD6E1A">
        <w:tc>
          <w:tcPr>
            <w:tcW w:w="1362" w:type="dxa"/>
          </w:tcPr>
          <w:p w14:paraId="5CA54988" w14:textId="77777777" w:rsidR="00FD6E1A" w:rsidRPr="003C5D62" w:rsidRDefault="00FD6E1A" w:rsidP="00E37435">
            <w:pPr>
              <w:jc w:val="center"/>
              <w:rPr>
                <w:rFonts w:cstheme="minorHAnsi"/>
                <w:b/>
                <w:bCs/>
                <w:sz w:val="20"/>
                <w:szCs w:val="20"/>
              </w:rPr>
            </w:pPr>
            <w:r w:rsidRPr="003C5D62">
              <w:rPr>
                <w:rFonts w:cstheme="minorHAnsi"/>
                <w:b/>
                <w:bCs/>
                <w:color w:val="000000"/>
                <w:sz w:val="20"/>
                <w:szCs w:val="20"/>
                <w:lang w:eastAsia="es-MX"/>
              </w:rPr>
              <w:t>Año de otorgamiento</w:t>
            </w:r>
          </w:p>
        </w:tc>
        <w:tc>
          <w:tcPr>
            <w:tcW w:w="1363" w:type="dxa"/>
          </w:tcPr>
          <w:p w14:paraId="4C02D96C"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Bandas del espectro radioeléctrico</w:t>
            </w:r>
          </w:p>
        </w:tc>
        <w:tc>
          <w:tcPr>
            <w:tcW w:w="1052" w:type="dxa"/>
          </w:tcPr>
          <w:p w14:paraId="245BD71B" w14:textId="77777777" w:rsidR="00FD6E1A" w:rsidRPr="003C5D62" w:rsidRDefault="00FD6E1A" w:rsidP="00E37435">
            <w:pPr>
              <w:jc w:val="center"/>
              <w:rPr>
                <w:rFonts w:cstheme="minorHAnsi"/>
                <w:sz w:val="20"/>
                <w:szCs w:val="20"/>
              </w:rPr>
            </w:pPr>
            <w:r w:rsidRPr="003C5D62">
              <w:rPr>
                <w:rFonts w:cstheme="minorHAnsi"/>
                <w:color w:val="000000"/>
                <w:sz w:val="20"/>
                <w:szCs w:val="20"/>
                <w:lang w:eastAsia="es-MX"/>
              </w:rPr>
              <w:t>Concesión Única</w:t>
            </w:r>
          </w:p>
        </w:tc>
        <w:tc>
          <w:tcPr>
            <w:tcW w:w="1341" w:type="dxa"/>
          </w:tcPr>
          <w:p w14:paraId="7257FC99"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Bandas del espectro radioeléctrico</w:t>
            </w:r>
          </w:p>
        </w:tc>
        <w:tc>
          <w:tcPr>
            <w:tcW w:w="1902" w:type="dxa"/>
          </w:tcPr>
          <w:p w14:paraId="348278F6" w14:textId="77777777" w:rsidR="00FD6E1A" w:rsidRDefault="00FD6E1A" w:rsidP="00E37435">
            <w:pPr>
              <w:jc w:val="center"/>
              <w:rPr>
                <w:rFonts w:cstheme="minorHAnsi"/>
                <w:color w:val="000000"/>
                <w:lang w:eastAsia="es-MX"/>
              </w:rPr>
            </w:pPr>
            <w:r w:rsidRPr="003C5D62">
              <w:rPr>
                <w:rFonts w:cstheme="minorHAnsi"/>
                <w:color w:val="000000"/>
                <w:sz w:val="20"/>
                <w:szCs w:val="20"/>
                <w:lang w:eastAsia="es-MX"/>
              </w:rPr>
              <w:t>Concesión</w:t>
            </w:r>
          </w:p>
          <w:p w14:paraId="0C67471E" w14:textId="77777777" w:rsidR="00FD6E1A" w:rsidRPr="00233F97"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Única</w:t>
            </w:r>
          </w:p>
        </w:tc>
        <w:tc>
          <w:tcPr>
            <w:tcW w:w="1341" w:type="dxa"/>
          </w:tcPr>
          <w:p w14:paraId="712003E4" w14:textId="77777777" w:rsidR="00FD6E1A" w:rsidRPr="003C5D62" w:rsidRDefault="00FD6E1A" w:rsidP="00E37435">
            <w:pPr>
              <w:jc w:val="center"/>
              <w:rPr>
                <w:rFonts w:cstheme="minorHAnsi"/>
                <w:sz w:val="20"/>
                <w:szCs w:val="20"/>
              </w:rPr>
            </w:pPr>
            <w:r w:rsidRPr="003C5D62">
              <w:rPr>
                <w:rFonts w:cstheme="minorHAnsi"/>
                <w:color w:val="000000"/>
                <w:sz w:val="20"/>
                <w:szCs w:val="20"/>
                <w:lang w:eastAsia="es-MX"/>
              </w:rPr>
              <w:t>Bandas del espectro radioeléctrico</w:t>
            </w:r>
          </w:p>
        </w:tc>
        <w:tc>
          <w:tcPr>
            <w:tcW w:w="1136" w:type="dxa"/>
          </w:tcPr>
          <w:p w14:paraId="7442324B"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Concesión Única</w:t>
            </w:r>
          </w:p>
        </w:tc>
      </w:tr>
      <w:tr w:rsidR="00FD6E1A" w:rsidRPr="003C5D62" w14:paraId="67242977" w14:textId="77777777" w:rsidTr="00FD6E1A">
        <w:tc>
          <w:tcPr>
            <w:tcW w:w="1362" w:type="dxa"/>
            <w:vAlign w:val="center"/>
          </w:tcPr>
          <w:p w14:paraId="7ED2500F"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2004</w:t>
            </w:r>
          </w:p>
        </w:tc>
        <w:tc>
          <w:tcPr>
            <w:tcW w:w="1363" w:type="dxa"/>
            <w:vAlign w:val="center"/>
          </w:tcPr>
          <w:p w14:paraId="655644EF"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052" w:type="dxa"/>
            <w:vAlign w:val="center"/>
          </w:tcPr>
          <w:p w14:paraId="399F7DD6"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36AB3BA2"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621B74DD"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525F3945"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136" w:type="dxa"/>
          </w:tcPr>
          <w:p w14:paraId="2A24F6FE" w14:textId="77777777" w:rsidR="00FD6E1A" w:rsidRPr="003C5D62" w:rsidRDefault="00FD6E1A" w:rsidP="00E37435">
            <w:pPr>
              <w:jc w:val="center"/>
              <w:rPr>
                <w:rFonts w:cstheme="minorHAnsi"/>
                <w:color w:val="000000"/>
                <w:sz w:val="20"/>
                <w:szCs w:val="20"/>
                <w:lang w:eastAsia="es-MX"/>
              </w:rPr>
            </w:pPr>
          </w:p>
        </w:tc>
      </w:tr>
      <w:tr w:rsidR="00FD6E1A" w:rsidRPr="003C5D62" w14:paraId="115E735B" w14:textId="77777777" w:rsidTr="00FD6E1A">
        <w:tc>
          <w:tcPr>
            <w:tcW w:w="1362" w:type="dxa"/>
            <w:vAlign w:val="center"/>
          </w:tcPr>
          <w:p w14:paraId="7157A719"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2014</w:t>
            </w:r>
          </w:p>
        </w:tc>
        <w:tc>
          <w:tcPr>
            <w:tcW w:w="1363" w:type="dxa"/>
            <w:vAlign w:val="center"/>
          </w:tcPr>
          <w:p w14:paraId="4AB2675D"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052" w:type="dxa"/>
            <w:vAlign w:val="center"/>
          </w:tcPr>
          <w:p w14:paraId="3934293C"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211EC375"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343D1F1E"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27DFA3E8"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136" w:type="dxa"/>
            <w:vAlign w:val="center"/>
          </w:tcPr>
          <w:p w14:paraId="499FC53C" w14:textId="77777777" w:rsidR="00FD6E1A" w:rsidRPr="003C5D62" w:rsidRDefault="00FD6E1A" w:rsidP="00E37435">
            <w:pPr>
              <w:jc w:val="center"/>
              <w:rPr>
                <w:rFonts w:cstheme="minorHAnsi"/>
                <w:color w:val="000000"/>
                <w:sz w:val="20"/>
                <w:szCs w:val="20"/>
                <w:lang w:eastAsia="es-MX"/>
              </w:rPr>
            </w:pPr>
          </w:p>
        </w:tc>
      </w:tr>
      <w:tr w:rsidR="00FD6E1A" w:rsidRPr="003C5D62" w14:paraId="3C437807" w14:textId="77777777" w:rsidTr="00FD6E1A">
        <w:tc>
          <w:tcPr>
            <w:tcW w:w="1362" w:type="dxa"/>
            <w:vAlign w:val="center"/>
          </w:tcPr>
          <w:p w14:paraId="6F7C1464"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2016</w:t>
            </w:r>
          </w:p>
        </w:tc>
        <w:tc>
          <w:tcPr>
            <w:tcW w:w="1363" w:type="dxa"/>
            <w:vAlign w:val="center"/>
          </w:tcPr>
          <w:p w14:paraId="06273239"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052" w:type="dxa"/>
            <w:vAlign w:val="center"/>
          </w:tcPr>
          <w:p w14:paraId="28BE6BC8"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341" w:type="dxa"/>
            <w:vAlign w:val="center"/>
          </w:tcPr>
          <w:p w14:paraId="2C399E8A"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902" w:type="dxa"/>
            <w:vAlign w:val="center"/>
          </w:tcPr>
          <w:p w14:paraId="3983E787"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341" w:type="dxa"/>
            <w:vAlign w:val="center"/>
          </w:tcPr>
          <w:p w14:paraId="14560641"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136" w:type="dxa"/>
            <w:vAlign w:val="center"/>
          </w:tcPr>
          <w:p w14:paraId="433AA7C8"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3</w:t>
            </w:r>
          </w:p>
        </w:tc>
      </w:tr>
      <w:tr w:rsidR="00FD6E1A" w:rsidRPr="003C5D62" w14:paraId="444FBBF2" w14:textId="77777777" w:rsidTr="00FD6E1A">
        <w:tc>
          <w:tcPr>
            <w:tcW w:w="1362" w:type="dxa"/>
            <w:vAlign w:val="center"/>
          </w:tcPr>
          <w:p w14:paraId="03606C41"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2017</w:t>
            </w:r>
          </w:p>
        </w:tc>
        <w:tc>
          <w:tcPr>
            <w:tcW w:w="1363" w:type="dxa"/>
            <w:vAlign w:val="center"/>
          </w:tcPr>
          <w:p w14:paraId="2525A692"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052" w:type="dxa"/>
            <w:vAlign w:val="center"/>
          </w:tcPr>
          <w:p w14:paraId="30740848"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4</w:t>
            </w:r>
          </w:p>
        </w:tc>
        <w:tc>
          <w:tcPr>
            <w:tcW w:w="1341" w:type="dxa"/>
            <w:vAlign w:val="center"/>
          </w:tcPr>
          <w:p w14:paraId="6E6E7271"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1E295369"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3271AE73"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136" w:type="dxa"/>
            <w:vAlign w:val="center"/>
          </w:tcPr>
          <w:p w14:paraId="4E3E3A4F"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4</w:t>
            </w:r>
          </w:p>
        </w:tc>
      </w:tr>
      <w:tr w:rsidR="00FD6E1A" w:rsidRPr="003C5D62" w14:paraId="28638F02" w14:textId="77777777" w:rsidTr="00FD6E1A">
        <w:tc>
          <w:tcPr>
            <w:tcW w:w="1362" w:type="dxa"/>
            <w:vAlign w:val="center"/>
          </w:tcPr>
          <w:p w14:paraId="41EA052F"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2018</w:t>
            </w:r>
          </w:p>
        </w:tc>
        <w:tc>
          <w:tcPr>
            <w:tcW w:w="1363" w:type="dxa"/>
            <w:vAlign w:val="center"/>
          </w:tcPr>
          <w:p w14:paraId="49D5C6D9"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052" w:type="dxa"/>
            <w:vAlign w:val="center"/>
          </w:tcPr>
          <w:p w14:paraId="293A4674"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341" w:type="dxa"/>
            <w:vAlign w:val="center"/>
          </w:tcPr>
          <w:p w14:paraId="3BAD9EE4"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0EB56700"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603D1A21"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136" w:type="dxa"/>
            <w:vAlign w:val="center"/>
          </w:tcPr>
          <w:p w14:paraId="2320477F"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r>
      <w:tr w:rsidR="00FD6E1A" w:rsidRPr="003C5D62" w14:paraId="46706E85" w14:textId="77777777" w:rsidTr="00FD6E1A">
        <w:tc>
          <w:tcPr>
            <w:tcW w:w="1362" w:type="dxa"/>
            <w:vAlign w:val="center"/>
          </w:tcPr>
          <w:p w14:paraId="0E71F83A"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2019</w:t>
            </w:r>
          </w:p>
        </w:tc>
        <w:tc>
          <w:tcPr>
            <w:tcW w:w="1363" w:type="dxa"/>
            <w:vAlign w:val="center"/>
          </w:tcPr>
          <w:p w14:paraId="454C7AE6"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c>
          <w:tcPr>
            <w:tcW w:w="1052" w:type="dxa"/>
            <w:vAlign w:val="center"/>
          </w:tcPr>
          <w:p w14:paraId="22139B61"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c>
          <w:tcPr>
            <w:tcW w:w="1341" w:type="dxa"/>
            <w:vAlign w:val="center"/>
          </w:tcPr>
          <w:p w14:paraId="653C9933"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60CE25DF"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5F8FCEE0"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c>
          <w:tcPr>
            <w:tcW w:w="1136" w:type="dxa"/>
            <w:vAlign w:val="center"/>
          </w:tcPr>
          <w:p w14:paraId="2B0052AD"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r>
      <w:tr w:rsidR="00FD6E1A" w:rsidRPr="003C5D62" w14:paraId="6CA0EF4D" w14:textId="77777777" w:rsidTr="00FD6E1A">
        <w:tc>
          <w:tcPr>
            <w:tcW w:w="1362" w:type="dxa"/>
            <w:vAlign w:val="center"/>
          </w:tcPr>
          <w:p w14:paraId="624CBC95"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2020</w:t>
            </w:r>
          </w:p>
        </w:tc>
        <w:tc>
          <w:tcPr>
            <w:tcW w:w="1363" w:type="dxa"/>
            <w:vAlign w:val="center"/>
          </w:tcPr>
          <w:p w14:paraId="34EB78EC"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c>
          <w:tcPr>
            <w:tcW w:w="1052" w:type="dxa"/>
            <w:vAlign w:val="center"/>
          </w:tcPr>
          <w:p w14:paraId="488AB293"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c>
          <w:tcPr>
            <w:tcW w:w="1341" w:type="dxa"/>
            <w:vAlign w:val="center"/>
          </w:tcPr>
          <w:p w14:paraId="0BF19E20"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902" w:type="dxa"/>
            <w:vAlign w:val="center"/>
          </w:tcPr>
          <w:p w14:paraId="4F4BFA9B"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30D9E300"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7</w:t>
            </w:r>
          </w:p>
        </w:tc>
        <w:tc>
          <w:tcPr>
            <w:tcW w:w="1136" w:type="dxa"/>
            <w:vAlign w:val="center"/>
          </w:tcPr>
          <w:p w14:paraId="31E656E9"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6</w:t>
            </w:r>
          </w:p>
        </w:tc>
      </w:tr>
      <w:tr w:rsidR="00FD6E1A" w:rsidRPr="003C5D62" w14:paraId="64848EF6" w14:textId="77777777" w:rsidTr="00FD6E1A">
        <w:tc>
          <w:tcPr>
            <w:tcW w:w="1362" w:type="dxa"/>
            <w:vAlign w:val="center"/>
          </w:tcPr>
          <w:p w14:paraId="750941D3"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2021</w:t>
            </w:r>
          </w:p>
        </w:tc>
        <w:tc>
          <w:tcPr>
            <w:tcW w:w="1363" w:type="dxa"/>
            <w:vAlign w:val="center"/>
          </w:tcPr>
          <w:p w14:paraId="7F2F285F"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052" w:type="dxa"/>
            <w:vAlign w:val="center"/>
          </w:tcPr>
          <w:p w14:paraId="4F2CB3EE"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341" w:type="dxa"/>
            <w:vAlign w:val="center"/>
          </w:tcPr>
          <w:p w14:paraId="00FF8F33"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672553EB"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1E1147A6"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136" w:type="dxa"/>
            <w:vAlign w:val="center"/>
          </w:tcPr>
          <w:p w14:paraId="17F6721D"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r>
      <w:tr w:rsidR="00FD6E1A" w:rsidRPr="003C5D62" w14:paraId="7DCD6EFC" w14:textId="77777777" w:rsidTr="00FD6E1A">
        <w:tc>
          <w:tcPr>
            <w:tcW w:w="1362" w:type="dxa"/>
            <w:vAlign w:val="center"/>
          </w:tcPr>
          <w:p w14:paraId="4C6D57B2" w14:textId="77777777" w:rsidR="00FD6E1A" w:rsidRPr="003C5D62" w:rsidRDefault="00FD6E1A" w:rsidP="00E37435">
            <w:pPr>
              <w:rPr>
                <w:rFonts w:cstheme="minorHAnsi"/>
                <w:b/>
                <w:bCs/>
                <w:color w:val="000000"/>
                <w:sz w:val="20"/>
                <w:szCs w:val="20"/>
                <w:lang w:eastAsia="es-MX"/>
              </w:rPr>
            </w:pPr>
            <w:r w:rsidRPr="003C5D62">
              <w:rPr>
                <w:rFonts w:cstheme="minorHAnsi"/>
                <w:b/>
                <w:bCs/>
                <w:color w:val="000000"/>
                <w:sz w:val="20"/>
                <w:szCs w:val="20"/>
                <w:lang w:eastAsia="es-MX"/>
              </w:rPr>
              <w:t>2022</w:t>
            </w:r>
          </w:p>
        </w:tc>
        <w:tc>
          <w:tcPr>
            <w:tcW w:w="1363" w:type="dxa"/>
            <w:vAlign w:val="center"/>
          </w:tcPr>
          <w:p w14:paraId="19CA29D3"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052" w:type="dxa"/>
            <w:vAlign w:val="center"/>
          </w:tcPr>
          <w:p w14:paraId="7BB3352D"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341" w:type="dxa"/>
            <w:vAlign w:val="center"/>
          </w:tcPr>
          <w:p w14:paraId="250C0206" w14:textId="77777777" w:rsidR="00FD6E1A" w:rsidRPr="003C5D62" w:rsidRDefault="00FD6E1A" w:rsidP="00E37435">
            <w:pPr>
              <w:jc w:val="center"/>
              <w:rPr>
                <w:rFonts w:cstheme="minorHAnsi"/>
                <w:color w:val="000000"/>
                <w:sz w:val="20"/>
                <w:szCs w:val="20"/>
                <w:lang w:eastAsia="es-MX"/>
              </w:rPr>
            </w:pPr>
          </w:p>
        </w:tc>
        <w:tc>
          <w:tcPr>
            <w:tcW w:w="1902" w:type="dxa"/>
            <w:vAlign w:val="center"/>
          </w:tcPr>
          <w:p w14:paraId="58B671A0" w14:textId="77777777" w:rsidR="00FD6E1A" w:rsidRPr="003C5D62" w:rsidRDefault="00FD6E1A" w:rsidP="00E37435">
            <w:pPr>
              <w:jc w:val="center"/>
              <w:rPr>
                <w:rFonts w:cstheme="minorHAnsi"/>
                <w:color w:val="000000"/>
                <w:sz w:val="20"/>
                <w:szCs w:val="20"/>
                <w:lang w:eastAsia="es-MX"/>
              </w:rPr>
            </w:pPr>
          </w:p>
        </w:tc>
        <w:tc>
          <w:tcPr>
            <w:tcW w:w="1341" w:type="dxa"/>
            <w:vAlign w:val="center"/>
          </w:tcPr>
          <w:p w14:paraId="6A31F1F8"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136" w:type="dxa"/>
            <w:vAlign w:val="center"/>
          </w:tcPr>
          <w:p w14:paraId="191CB80C"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r>
      <w:tr w:rsidR="00FD6E1A" w:rsidRPr="003C5D62" w14:paraId="24E7B1B2" w14:textId="77777777" w:rsidTr="00FD6E1A">
        <w:tc>
          <w:tcPr>
            <w:tcW w:w="1362" w:type="dxa"/>
            <w:vAlign w:val="center"/>
          </w:tcPr>
          <w:p w14:paraId="4D27B674" w14:textId="77777777" w:rsidR="00FD6E1A" w:rsidRPr="003C5D62" w:rsidRDefault="00FD6E1A" w:rsidP="00E37435">
            <w:pPr>
              <w:rPr>
                <w:rFonts w:cstheme="minorHAnsi"/>
                <w:b/>
                <w:bCs/>
                <w:color w:val="000000"/>
                <w:sz w:val="20"/>
                <w:szCs w:val="20"/>
                <w:lang w:eastAsia="es-MX"/>
              </w:rPr>
            </w:pPr>
            <w:proofErr w:type="gramStart"/>
            <w:r w:rsidRPr="003C5D62">
              <w:rPr>
                <w:rFonts w:cstheme="minorHAnsi"/>
                <w:b/>
                <w:bCs/>
                <w:color w:val="000000"/>
                <w:sz w:val="20"/>
                <w:szCs w:val="20"/>
                <w:lang w:eastAsia="es-MX"/>
              </w:rPr>
              <w:t>Total</w:t>
            </w:r>
            <w:proofErr w:type="gramEnd"/>
            <w:r w:rsidRPr="003C5D62">
              <w:rPr>
                <w:rFonts w:cstheme="minorHAnsi"/>
                <w:b/>
                <w:bCs/>
                <w:color w:val="000000"/>
                <w:sz w:val="20"/>
                <w:szCs w:val="20"/>
                <w:lang w:eastAsia="es-MX"/>
              </w:rPr>
              <w:t xml:space="preserve"> general</w:t>
            </w:r>
          </w:p>
        </w:tc>
        <w:tc>
          <w:tcPr>
            <w:tcW w:w="1363" w:type="dxa"/>
            <w:vAlign w:val="center"/>
          </w:tcPr>
          <w:p w14:paraId="078F5231"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23</w:t>
            </w:r>
          </w:p>
        </w:tc>
        <w:tc>
          <w:tcPr>
            <w:tcW w:w="1052" w:type="dxa"/>
            <w:vAlign w:val="center"/>
          </w:tcPr>
          <w:p w14:paraId="2050D14F"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23</w:t>
            </w:r>
          </w:p>
        </w:tc>
        <w:tc>
          <w:tcPr>
            <w:tcW w:w="1341" w:type="dxa"/>
            <w:vAlign w:val="center"/>
          </w:tcPr>
          <w:p w14:paraId="577A7D51"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w:t>
            </w:r>
          </w:p>
        </w:tc>
        <w:tc>
          <w:tcPr>
            <w:tcW w:w="1902" w:type="dxa"/>
            <w:vAlign w:val="center"/>
          </w:tcPr>
          <w:p w14:paraId="1126806B"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1</w:t>
            </w:r>
          </w:p>
        </w:tc>
        <w:tc>
          <w:tcPr>
            <w:tcW w:w="1341" w:type="dxa"/>
            <w:vAlign w:val="center"/>
          </w:tcPr>
          <w:p w14:paraId="0D19433E"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25</w:t>
            </w:r>
          </w:p>
        </w:tc>
        <w:tc>
          <w:tcPr>
            <w:tcW w:w="1136" w:type="dxa"/>
            <w:vAlign w:val="center"/>
          </w:tcPr>
          <w:p w14:paraId="1D35681C" w14:textId="77777777" w:rsidR="00FD6E1A" w:rsidRPr="003C5D62" w:rsidRDefault="00FD6E1A" w:rsidP="00E37435">
            <w:pPr>
              <w:jc w:val="center"/>
              <w:rPr>
                <w:rFonts w:cstheme="minorHAnsi"/>
                <w:color w:val="000000"/>
                <w:sz w:val="20"/>
                <w:szCs w:val="20"/>
                <w:lang w:eastAsia="es-MX"/>
              </w:rPr>
            </w:pPr>
            <w:r w:rsidRPr="003C5D62">
              <w:rPr>
                <w:rFonts w:cstheme="minorHAnsi"/>
                <w:color w:val="000000"/>
                <w:sz w:val="20"/>
                <w:szCs w:val="20"/>
                <w:lang w:eastAsia="es-MX"/>
              </w:rPr>
              <w:t>24</w:t>
            </w:r>
          </w:p>
        </w:tc>
      </w:tr>
    </w:tbl>
    <w:p w14:paraId="6798C3FE" w14:textId="2B677590" w:rsidR="00FD6E1A" w:rsidRDefault="00FD6E1A" w:rsidP="00FD6E1A"/>
    <w:p w14:paraId="3B15E363" w14:textId="77777777" w:rsidR="00FD6E1A" w:rsidRDefault="00FD6E1A">
      <w:r>
        <w:br w:type="page"/>
      </w:r>
    </w:p>
    <w:p w14:paraId="1FE1903F" w14:textId="77777777" w:rsidR="00FD6E1A" w:rsidRDefault="00FD6E1A" w:rsidP="00FD6E1A"/>
    <w:tbl>
      <w:tblPr>
        <w:tblStyle w:val="Tablaconcuadrcula"/>
        <w:tblW w:w="9356" w:type="dxa"/>
        <w:tblInd w:w="704" w:type="dxa"/>
        <w:tblLook w:val="04A0" w:firstRow="1" w:lastRow="0" w:firstColumn="1" w:lastColumn="0" w:noHBand="0" w:noVBand="1"/>
      </w:tblPr>
      <w:tblGrid>
        <w:gridCol w:w="9356"/>
      </w:tblGrid>
      <w:tr w:rsidR="00FD6E1A" w14:paraId="28483ACB" w14:textId="77777777" w:rsidTr="00FD6E1A">
        <w:tc>
          <w:tcPr>
            <w:tcW w:w="9356" w:type="dxa"/>
            <w:tcBorders>
              <w:bottom w:val="nil"/>
            </w:tcBorders>
          </w:tcPr>
          <w:p w14:paraId="6AA3C84E" w14:textId="77777777" w:rsidR="00FD6E1A" w:rsidRPr="00233F97" w:rsidRDefault="00FD6E1A" w:rsidP="00E37435">
            <w:pPr>
              <w:jc w:val="center"/>
              <w:rPr>
                <w:b/>
                <w:bCs/>
              </w:rPr>
            </w:pPr>
            <w:proofErr w:type="gramStart"/>
            <w:r w:rsidRPr="00233F97">
              <w:rPr>
                <w:rFonts w:cstheme="minorHAnsi"/>
                <w:b/>
                <w:bCs/>
                <w:color w:val="000000"/>
                <w:szCs w:val="24"/>
                <w:lang w:eastAsia="es-MX"/>
              </w:rPr>
              <w:t>Total</w:t>
            </w:r>
            <w:proofErr w:type="gramEnd"/>
            <w:r w:rsidRPr="00233F97">
              <w:rPr>
                <w:rFonts w:cstheme="minorHAnsi"/>
                <w:b/>
                <w:bCs/>
                <w:color w:val="000000"/>
                <w:szCs w:val="24"/>
                <w:lang w:eastAsia="es-MX"/>
              </w:rPr>
              <w:t xml:space="preserve"> de concesiones de uso social indígena por año</w:t>
            </w:r>
          </w:p>
        </w:tc>
      </w:tr>
    </w:tbl>
    <w:p w14:paraId="76044B25" w14:textId="77777777" w:rsidR="00FD6E1A" w:rsidRPr="00233F97" w:rsidRDefault="00FD6E1A" w:rsidP="00FD6E1A">
      <w:pPr>
        <w:spacing w:after="0" w:line="240" w:lineRule="auto"/>
        <w:rPr>
          <w:rFonts w:asciiTheme="minorHAnsi" w:hAnsiTheme="minorHAnsi" w:cstheme="minorHAnsi"/>
          <w:sz w:val="2"/>
          <w:szCs w:val="2"/>
        </w:rPr>
      </w:pPr>
    </w:p>
    <w:tbl>
      <w:tblPr>
        <w:tblStyle w:val="Tablaconcuadrcula"/>
        <w:tblW w:w="9356" w:type="dxa"/>
        <w:tblInd w:w="704" w:type="dxa"/>
        <w:tblLook w:val="04A0" w:firstRow="1" w:lastRow="0" w:firstColumn="1" w:lastColumn="0" w:noHBand="0" w:noVBand="1"/>
      </w:tblPr>
      <w:tblGrid>
        <w:gridCol w:w="1362"/>
        <w:gridCol w:w="1363"/>
        <w:gridCol w:w="1052"/>
        <w:gridCol w:w="1341"/>
        <w:gridCol w:w="1894"/>
        <w:gridCol w:w="1341"/>
        <w:gridCol w:w="1052"/>
      </w:tblGrid>
      <w:tr w:rsidR="00FD6E1A" w14:paraId="2ED9F5EE" w14:textId="77777777" w:rsidTr="00FD6E1A">
        <w:tc>
          <w:tcPr>
            <w:tcW w:w="1341" w:type="dxa"/>
          </w:tcPr>
          <w:p w14:paraId="1DC3BCA2" w14:textId="77777777" w:rsidR="00FD6E1A" w:rsidRPr="00233F97" w:rsidRDefault="00FD6E1A" w:rsidP="00E37435">
            <w:pPr>
              <w:rPr>
                <w:rFonts w:cstheme="minorHAnsi"/>
              </w:rPr>
            </w:pPr>
          </w:p>
        </w:tc>
        <w:tc>
          <w:tcPr>
            <w:tcW w:w="1342" w:type="dxa"/>
            <w:tcBorders>
              <w:right w:val="nil"/>
            </w:tcBorders>
          </w:tcPr>
          <w:p w14:paraId="792865CB" w14:textId="77777777" w:rsidR="00FD6E1A" w:rsidRPr="00233F97" w:rsidRDefault="00FD6E1A" w:rsidP="00E37435">
            <w:pPr>
              <w:rPr>
                <w:rFonts w:cstheme="minorHAnsi"/>
                <w:b/>
                <w:bCs/>
              </w:rPr>
            </w:pPr>
            <w:r w:rsidRPr="00233F97">
              <w:rPr>
                <w:rFonts w:cstheme="minorHAnsi"/>
                <w:b/>
                <w:bCs/>
                <w:sz w:val="20"/>
                <w:szCs w:val="20"/>
              </w:rPr>
              <w:t>Radiodifusión</w:t>
            </w:r>
          </w:p>
        </w:tc>
        <w:tc>
          <w:tcPr>
            <w:tcW w:w="1036" w:type="dxa"/>
            <w:tcBorders>
              <w:left w:val="nil"/>
            </w:tcBorders>
          </w:tcPr>
          <w:p w14:paraId="1DD61FDF" w14:textId="77777777" w:rsidR="00FD6E1A" w:rsidRPr="00233F97" w:rsidRDefault="00FD6E1A" w:rsidP="00E37435">
            <w:pPr>
              <w:rPr>
                <w:rFonts w:cstheme="minorHAnsi"/>
                <w:b/>
                <w:bCs/>
              </w:rPr>
            </w:pPr>
          </w:p>
        </w:tc>
        <w:tc>
          <w:tcPr>
            <w:tcW w:w="1320" w:type="dxa"/>
            <w:tcBorders>
              <w:right w:val="nil"/>
            </w:tcBorders>
          </w:tcPr>
          <w:p w14:paraId="3A91830E" w14:textId="77777777" w:rsidR="00FD6E1A" w:rsidRPr="00233F97" w:rsidRDefault="00FD6E1A" w:rsidP="00E37435">
            <w:pPr>
              <w:jc w:val="center"/>
              <w:rPr>
                <w:rFonts w:cstheme="minorHAnsi"/>
                <w:b/>
                <w:bCs/>
              </w:rPr>
            </w:pPr>
          </w:p>
        </w:tc>
        <w:tc>
          <w:tcPr>
            <w:tcW w:w="1863" w:type="dxa"/>
            <w:tcBorders>
              <w:left w:val="nil"/>
            </w:tcBorders>
          </w:tcPr>
          <w:p w14:paraId="7B5D9024" w14:textId="77777777" w:rsidR="00FD6E1A" w:rsidRPr="00233F97" w:rsidRDefault="00FD6E1A" w:rsidP="00E37435">
            <w:pPr>
              <w:rPr>
                <w:rFonts w:cstheme="minorHAnsi"/>
                <w:b/>
                <w:bCs/>
              </w:rPr>
            </w:pPr>
            <w:r w:rsidRPr="00233F97">
              <w:rPr>
                <w:rFonts w:cstheme="minorHAnsi"/>
                <w:b/>
                <w:bCs/>
                <w:sz w:val="20"/>
                <w:szCs w:val="20"/>
              </w:rPr>
              <w:t>Telecomunicaciones</w:t>
            </w:r>
          </w:p>
        </w:tc>
        <w:tc>
          <w:tcPr>
            <w:tcW w:w="1320" w:type="dxa"/>
            <w:tcBorders>
              <w:right w:val="nil"/>
            </w:tcBorders>
          </w:tcPr>
          <w:p w14:paraId="4F6FB009" w14:textId="77777777" w:rsidR="00FD6E1A" w:rsidRPr="00233F97" w:rsidRDefault="00FD6E1A" w:rsidP="00E37435">
            <w:pPr>
              <w:rPr>
                <w:rFonts w:cstheme="minorHAnsi"/>
                <w:b/>
                <w:bCs/>
              </w:rPr>
            </w:pPr>
          </w:p>
        </w:tc>
        <w:tc>
          <w:tcPr>
            <w:tcW w:w="1134" w:type="dxa"/>
            <w:tcBorders>
              <w:left w:val="nil"/>
            </w:tcBorders>
          </w:tcPr>
          <w:p w14:paraId="0AC125F6" w14:textId="77777777" w:rsidR="00FD6E1A" w:rsidRPr="00233F97" w:rsidRDefault="00FD6E1A" w:rsidP="00E37435">
            <w:pPr>
              <w:rPr>
                <w:rFonts w:cstheme="minorHAnsi"/>
                <w:b/>
                <w:bCs/>
              </w:rPr>
            </w:pPr>
            <w:r w:rsidRPr="00233F97">
              <w:rPr>
                <w:rFonts w:cstheme="minorHAnsi"/>
                <w:b/>
                <w:bCs/>
                <w:sz w:val="20"/>
                <w:szCs w:val="20"/>
              </w:rPr>
              <w:t>Total</w:t>
            </w:r>
          </w:p>
        </w:tc>
      </w:tr>
      <w:tr w:rsidR="00FD6E1A" w:rsidRPr="000C734D" w14:paraId="3E96FC03" w14:textId="77777777" w:rsidTr="00FD6E1A">
        <w:tc>
          <w:tcPr>
            <w:tcW w:w="1341" w:type="dxa"/>
          </w:tcPr>
          <w:p w14:paraId="7ABC81B3" w14:textId="77777777" w:rsidR="00FD6E1A" w:rsidRPr="00FD6E1A" w:rsidRDefault="00FD6E1A" w:rsidP="00E37435">
            <w:pPr>
              <w:jc w:val="center"/>
              <w:rPr>
                <w:rFonts w:cstheme="minorHAnsi"/>
                <w:b/>
                <w:bCs/>
                <w:sz w:val="20"/>
                <w:szCs w:val="20"/>
              </w:rPr>
            </w:pPr>
            <w:r w:rsidRPr="00FD6E1A">
              <w:rPr>
                <w:rFonts w:cstheme="minorHAnsi"/>
                <w:b/>
                <w:bCs/>
                <w:sz w:val="20"/>
                <w:szCs w:val="20"/>
              </w:rPr>
              <w:t>Año de otorgamiento</w:t>
            </w:r>
          </w:p>
        </w:tc>
        <w:tc>
          <w:tcPr>
            <w:tcW w:w="1342" w:type="dxa"/>
          </w:tcPr>
          <w:p w14:paraId="2CC8B2DB" w14:textId="77777777" w:rsidR="00FD6E1A" w:rsidRPr="00FD6E1A" w:rsidRDefault="00FD6E1A" w:rsidP="00E37435">
            <w:pPr>
              <w:jc w:val="center"/>
              <w:rPr>
                <w:rFonts w:cstheme="minorHAnsi"/>
                <w:sz w:val="20"/>
                <w:szCs w:val="20"/>
              </w:rPr>
            </w:pPr>
            <w:r w:rsidRPr="00FD6E1A">
              <w:rPr>
                <w:rFonts w:cstheme="minorHAnsi"/>
                <w:sz w:val="20"/>
                <w:szCs w:val="20"/>
              </w:rPr>
              <w:t>Bandas del espectro radioeléctrico</w:t>
            </w:r>
          </w:p>
        </w:tc>
        <w:tc>
          <w:tcPr>
            <w:tcW w:w="1036" w:type="dxa"/>
          </w:tcPr>
          <w:p w14:paraId="2A8234BB" w14:textId="77777777" w:rsidR="00FD6E1A" w:rsidRPr="00FD6E1A" w:rsidRDefault="00FD6E1A" w:rsidP="00E37435">
            <w:pPr>
              <w:jc w:val="center"/>
              <w:rPr>
                <w:rFonts w:cstheme="minorHAnsi"/>
                <w:sz w:val="20"/>
                <w:szCs w:val="20"/>
              </w:rPr>
            </w:pPr>
            <w:r w:rsidRPr="00FD6E1A">
              <w:rPr>
                <w:rFonts w:cstheme="minorHAnsi"/>
                <w:sz w:val="20"/>
                <w:szCs w:val="20"/>
              </w:rPr>
              <w:t>Concesión Única</w:t>
            </w:r>
          </w:p>
        </w:tc>
        <w:tc>
          <w:tcPr>
            <w:tcW w:w="1320" w:type="dxa"/>
          </w:tcPr>
          <w:p w14:paraId="602DB41C" w14:textId="77777777" w:rsidR="00FD6E1A" w:rsidRPr="00FD6E1A" w:rsidRDefault="00FD6E1A" w:rsidP="00E37435">
            <w:pPr>
              <w:jc w:val="center"/>
              <w:rPr>
                <w:rFonts w:cstheme="minorHAnsi"/>
                <w:sz w:val="20"/>
                <w:szCs w:val="20"/>
              </w:rPr>
            </w:pPr>
            <w:r w:rsidRPr="00FD6E1A">
              <w:rPr>
                <w:rFonts w:cstheme="minorHAnsi"/>
                <w:sz w:val="20"/>
                <w:szCs w:val="20"/>
              </w:rPr>
              <w:t>Bandas del espectro radioeléctrico</w:t>
            </w:r>
          </w:p>
        </w:tc>
        <w:tc>
          <w:tcPr>
            <w:tcW w:w="1863" w:type="dxa"/>
          </w:tcPr>
          <w:p w14:paraId="54638FA1" w14:textId="77777777" w:rsidR="00FD6E1A" w:rsidRPr="00FD6E1A" w:rsidRDefault="00FD6E1A" w:rsidP="00E37435">
            <w:pPr>
              <w:jc w:val="center"/>
              <w:rPr>
                <w:rFonts w:cstheme="minorHAnsi"/>
                <w:color w:val="000000"/>
                <w:sz w:val="20"/>
                <w:szCs w:val="20"/>
                <w:lang w:eastAsia="es-MX"/>
              </w:rPr>
            </w:pPr>
            <w:r w:rsidRPr="00FD6E1A">
              <w:rPr>
                <w:rFonts w:cstheme="minorHAnsi"/>
                <w:color w:val="000000"/>
                <w:sz w:val="20"/>
                <w:szCs w:val="20"/>
                <w:lang w:eastAsia="es-MX"/>
              </w:rPr>
              <w:t>Concesión</w:t>
            </w:r>
          </w:p>
          <w:p w14:paraId="0A89FE31" w14:textId="77777777" w:rsidR="00FD6E1A" w:rsidRPr="00FD6E1A" w:rsidRDefault="00FD6E1A" w:rsidP="00E37435">
            <w:pPr>
              <w:jc w:val="center"/>
              <w:rPr>
                <w:rFonts w:cstheme="minorHAnsi"/>
                <w:color w:val="000000"/>
                <w:sz w:val="20"/>
                <w:szCs w:val="20"/>
                <w:lang w:eastAsia="es-MX"/>
              </w:rPr>
            </w:pPr>
            <w:r w:rsidRPr="00FD6E1A">
              <w:rPr>
                <w:rFonts w:cstheme="minorHAnsi"/>
                <w:color w:val="000000"/>
                <w:sz w:val="20"/>
                <w:szCs w:val="20"/>
                <w:lang w:eastAsia="es-MX"/>
              </w:rPr>
              <w:t>Única</w:t>
            </w:r>
          </w:p>
        </w:tc>
        <w:tc>
          <w:tcPr>
            <w:tcW w:w="1320" w:type="dxa"/>
          </w:tcPr>
          <w:p w14:paraId="6AE94416" w14:textId="77777777" w:rsidR="00FD6E1A" w:rsidRPr="00FD6E1A" w:rsidRDefault="00FD6E1A" w:rsidP="00E37435">
            <w:pPr>
              <w:jc w:val="center"/>
              <w:rPr>
                <w:rFonts w:cstheme="minorHAnsi"/>
                <w:sz w:val="20"/>
                <w:szCs w:val="20"/>
              </w:rPr>
            </w:pPr>
            <w:r w:rsidRPr="00FD6E1A">
              <w:rPr>
                <w:rFonts w:cstheme="minorHAnsi"/>
                <w:sz w:val="20"/>
                <w:szCs w:val="20"/>
              </w:rPr>
              <w:t>Bandas del espectro radioeléctrico</w:t>
            </w:r>
          </w:p>
        </w:tc>
        <w:tc>
          <w:tcPr>
            <w:tcW w:w="1134" w:type="dxa"/>
          </w:tcPr>
          <w:p w14:paraId="11E5F93B" w14:textId="77777777" w:rsidR="00FD6E1A" w:rsidRPr="00FD6E1A" w:rsidRDefault="00FD6E1A" w:rsidP="00E37435">
            <w:pPr>
              <w:jc w:val="center"/>
              <w:rPr>
                <w:rFonts w:cstheme="minorHAnsi"/>
                <w:sz w:val="20"/>
                <w:szCs w:val="20"/>
              </w:rPr>
            </w:pPr>
            <w:r w:rsidRPr="00FD6E1A">
              <w:rPr>
                <w:rFonts w:cstheme="minorHAnsi"/>
                <w:sz w:val="20"/>
                <w:szCs w:val="20"/>
              </w:rPr>
              <w:t>Concesión Única</w:t>
            </w:r>
          </w:p>
        </w:tc>
      </w:tr>
      <w:tr w:rsidR="00FD6E1A" w:rsidRPr="000C734D" w14:paraId="4B9D7441" w14:textId="77777777" w:rsidTr="00FD6E1A">
        <w:tc>
          <w:tcPr>
            <w:tcW w:w="1341" w:type="dxa"/>
            <w:vAlign w:val="center"/>
          </w:tcPr>
          <w:p w14:paraId="414EE60B" w14:textId="77777777" w:rsidR="00FD6E1A" w:rsidRPr="00233F97" w:rsidRDefault="00FD6E1A" w:rsidP="00E37435">
            <w:pPr>
              <w:rPr>
                <w:rFonts w:cstheme="minorHAnsi"/>
                <w:b/>
                <w:bCs/>
                <w:color w:val="000000"/>
                <w:szCs w:val="24"/>
                <w:lang w:eastAsia="es-MX"/>
              </w:rPr>
            </w:pPr>
            <w:r w:rsidRPr="00233F97">
              <w:rPr>
                <w:rFonts w:cstheme="minorHAnsi"/>
                <w:b/>
                <w:bCs/>
                <w:color w:val="000000"/>
                <w:lang w:eastAsia="es-MX"/>
              </w:rPr>
              <w:t>2019</w:t>
            </w:r>
          </w:p>
        </w:tc>
        <w:tc>
          <w:tcPr>
            <w:tcW w:w="1342" w:type="dxa"/>
            <w:vAlign w:val="center"/>
          </w:tcPr>
          <w:p w14:paraId="0ADBFD81" w14:textId="77777777" w:rsidR="00FD6E1A" w:rsidRPr="000C734D" w:rsidRDefault="00FD6E1A" w:rsidP="00E37435">
            <w:pPr>
              <w:jc w:val="center"/>
              <w:rPr>
                <w:rFonts w:cstheme="minorHAnsi"/>
                <w:color w:val="000000"/>
                <w:szCs w:val="24"/>
                <w:lang w:eastAsia="es-MX"/>
              </w:rPr>
            </w:pPr>
            <w:r w:rsidRPr="000C734D">
              <w:rPr>
                <w:rFonts w:cstheme="minorHAnsi"/>
                <w:color w:val="000000"/>
                <w:lang w:eastAsia="es-MX"/>
              </w:rPr>
              <w:t>13</w:t>
            </w:r>
          </w:p>
        </w:tc>
        <w:tc>
          <w:tcPr>
            <w:tcW w:w="1036" w:type="dxa"/>
            <w:vAlign w:val="center"/>
          </w:tcPr>
          <w:p w14:paraId="3498F89C" w14:textId="77777777" w:rsidR="00FD6E1A" w:rsidRPr="000C734D" w:rsidRDefault="00FD6E1A" w:rsidP="00E37435">
            <w:pPr>
              <w:jc w:val="center"/>
              <w:rPr>
                <w:rFonts w:cstheme="minorHAnsi"/>
                <w:color w:val="000000"/>
                <w:szCs w:val="24"/>
                <w:lang w:eastAsia="es-MX"/>
              </w:rPr>
            </w:pPr>
            <w:r w:rsidRPr="000C734D">
              <w:rPr>
                <w:rFonts w:cstheme="minorHAnsi"/>
                <w:color w:val="000000"/>
                <w:lang w:eastAsia="es-MX"/>
              </w:rPr>
              <w:t>13</w:t>
            </w:r>
          </w:p>
        </w:tc>
        <w:tc>
          <w:tcPr>
            <w:tcW w:w="1320" w:type="dxa"/>
            <w:vAlign w:val="center"/>
          </w:tcPr>
          <w:p w14:paraId="6B863BBB" w14:textId="77777777" w:rsidR="00FD6E1A" w:rsidRPr="000C734D" w:rsidRDefault="00FD6E1A" w:rsidP="00E37435">
            <w:pPr>
              <w:jc w:val="center"/>
              <w:rPr>
                <w:rFonts w:cstheme="minorHAnsi"/>
                <w:color w:val="000000"/>
                <w:szCs w:val="24"/>
                <w:lang w:eastAsia="es-MX"/>
              </w:rPr>
            </w:pPr>
            <w:r w:rsidRPr="000C734D">
              <w:rPr>
                <w:rFonts w:cstheme="minorHAnsi"/>
                <w:color w:val="000000"/>
                <w:lang w:eastAsia="es-MX"/>
              </w:rPr>
              <w:t>1</w:t>
            </w:r>
          </w:p>
        </w:tc>
        <w:tc>
          <w:tcPr>
            <w:tcW w:w="1863" w:type="dxa"/>
            <w:vAlign w:val="center"/>
          </w:tcPr>
          <w:p w14:paraId="17AE6494" w14:textId="77777777" w:rsidR="00FD6E1A" w:rsidRDefault="00FD6E1A" w:rsidP="00E37435">
            <w:pPr>
              <w:jc w:val="center"/>
              <w:rPr>
                <w:rFonts w:cstheme="minorHAnsi"/>
                <w:color w:val="000000"/>
                <w:szCs w:val="24"/>
                <w:lang w:eastAsia="es-MX"/>
              </w:rPr>
            </w:pPr>
            <w:r w:rsidRPr="000C734D">
              <w:rPr>
                <w:rFonts w:cstheme="minorHAnsi"/>
                <w:color w:val="000000"/>
                <w:lang w:eastAsia="es-MX"/>
              </w:rPr>
              <w:t>1</w:t>
            </w:r>
          </w:p>
        </w:tc>
        <w:tc>
          <w:tcPr>
            <w:tcW w:w="1320" w:type="dxa"/>
            <w:vAlign w:val="center"/>
          </w:tcPr>
          <w:p w14:paraId="18554E1F" w14:textId="77777777" w:rsidR="00FD6E1A" w:rsidRPr="000C734D" w:rsidRDefault="00FD6E1A" w:rsidP="00E37435">
            <w:pPr>
              <w:jc w:val="center"/>
              <w:rPr>
                <w:rFonts w:cstheme="minorHAnsi"/>
                <w:color w:val="000000"/>
                <w:szCs w:val="24"/>
                <w:lang w:eastAsia="es-MX"/>
              </w:rPr>
            </w:pPr>
            <w:r w:rsidRPr="000C734D">
              <w:rPr>
                <w:rFonts w:cstheme="minorHAnsi"/>
                <w:color w:val="000000"/>
                <w:lang w:eastAsia="es-MX"/>
              </w:rPr>
              <w:t>14</w:t>
            </w:r>
          </w:p>
        </w:tc>
        <w:tc>
          <w:tcPr>
            <w:tcW w:w="1134" w:type="dxa"/>
            <w:vAlign w:val="center"/>
          </w:tcPr>
          <w:p w14:paraId="1BA2B243" w14:textId="77777777" w:rsidR="00FD6E1A" w:rsidRPr="000C734D" w:rsidRDefault="00FD6E1A" w:rsidP="00E37435">
            <w:pPr>
              <w:jc w:val="center"/>
              <w:rPr>
                <w:rFonts w:cstheme="minorHAnsi"/>
                <w:color w:val="000000"/>
                <w:szCs w:val="24"/>
                <w:lang w:eastAsia="es-MX"/>
              </w:rPr>
            </w:pPr>
            <w:r w:rsidRPr="000C734D">
              <w:rPr>
                <w:rFonts w:cstheme="minorHAnsi"/>
                <w:color w:val="000000"/>
                <w:lang w:eastAsia="es-MX"/>
              </w:rPr>
              <w:t>14</w:t>
            </w:r>
          </w:p>
        </w:tc>
      </w:tr>
      <w:tr w:rsidR="00FD6E1A" w:rsidRPr="000C734D" w14:paraId="2A1E373C" w14:textId="77777777" w:rsidTr="00FD6E1A">
        <w:tc>
          <w:tcPr>
            <w:tcW w:w="1341" w:type="dxa"/>
            <w:vAlign w:val="center"/>
          </w:tcPr>
          <w:p w14:paraId="7281B920" w14:textId="77777777" w:rsidR="00FD6E1A" w:rsidRPr="00233F97" w:rsidRDefault="00FD6E1A" w:rsidP="00E37435">
            <w:pPr>
              <w:rPr>
                <w:rFonts w:cstheme="minorHAnsi"/>
                <w:b/>
                <w:bCs/>
                <w:color w:val="000000"/>
                <w:lang w:eastAsia="es-MX"/>
              </w:rPr>
            </w:pPr>
            <w:r w:rsidRPr="00233F97">
              <w:rPr>
                <w:rFonts w:cstheme="minorHAnsi"/>
                <w:b/>
                <w:bCs/>
                <w:color w:val="000000"/>
                <w:lang w:eastAsia="es-MX"/>
              </w:rPr>
              <w:t>2020</w:t>
            </w:r>
          </w:p>
        </w:tc>
        <w:tc>
          <w:tcPr>
            <w:tcW w:w="1342" w:type="dxa"/>
            <w:vAlign w:val="center"/>
          </w:tcPr>
          <w:p w14:paraId="75A806D2"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19</w:t>
            </w:r>
          </w:p>
        </w:tc>
        <w:tc>
          <w:tcPr>
            <w:tcW w:w="1036" w:type="dxa"/>
            <w:vAlign w:val="center"/>
          </w:tcPr>
          <w:p w14:paraId="4A1A8C6B"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19</w:t>
            </w:r>
          </w:p>
        </w:tc>
        <w:tc>
          <w:tcPr>
            <w:tcW w:w="1320" w:type="dxa"/>
            <w:vAlign w:val="center"/>
          </w:tcPr>
          <w:p w14:paraId="7789AE86"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w:t>
            </w:r>
          </w:p>
        </w:tc>
        <w:tc>
          <w:tcPr>
            <w:tcW w:w="1863" w:type="dxa"/>
            <w:vAlign w:val="center"/>
          </w:tcPr>
          <w:p w14:paraId="77F939B8"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1</w:t>
            </w:r>
          </w:p>
        </w:tc>
        <w:tc>
          <w:tcPr>
            <w:tcW w:w="1320" w:type="dxa"/>
            <w:vAlign w:val="center"/>
          </w:tcPr>
          <w:p w14:paraId="2F284F8A"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21</w:t>
            </w:r>
          </w:p>
        </w:tc>
        <w:tc>
          <w:tcPr>
            <w:tcW w:w="1134" w:type="dxa"/>
            <w:vAlign w:val="center"/>
          </w:tcPr>
          <w:p w14:paraId="3880392D"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20</w:t>
            </w:r>
          </w:p>
        </w:tc>
      </w:tr>
      <w:tr w:rsidR="00FD6E1A" w:rsidRPr="000C734D" w14:paraId="462F6D41" w14:textId="77777777" w:rsidTr="00FD6E1A">
        <w:tc>
          <w:tcPr>
            <w:tcW w:w="1341" w:type="dxa"/>
            <w:vAlign w:val="center"/>
          </w:tcPr>
          <w:p w14:paraId="6439C200" w14:textId="77777777" w:rsidR="00FD6E1A" w:rsidRPr="00233F97" w:rsidRDefault="00FD6E1A" w:rsidP="00E37435">
            <w:pPr>
              <w:rPr>
                <w:rFonts w:cstheme="minorHAnsi"/>
                <w:b/>
                <w:bCs/>
                <w:color w:val="000000"/>
                <w:lang w:eastAsia="es-MX"/>
              </w:rPr>
            </w:pPr>
            <w:r w:rsidRPr="00233F97">
              <w:rPr>
                <w:rFonts w:cstheme="minorHAnsi"/>
                <w:b/>
                <w:bCs/>
                <w:color w:val="000000"/>
                <w:lang w:eastAsia="es-MX"/>
              </w:rPr>
              <w:t>2021</w:t>
            </w:r>
          </w:p>
        </w:tc>
        <w:tc>
          <w:tcPr>
            <w:tcW w:w="1342" w:type="dxa"/>
            <w:vAlign w:val="center"/>
          </w:tcPr>
          <w:p w14:paraId="16D4659A"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21</w:t>
            </w:r>
          </w:p>
        </w:tc>
        <w:tc>
          <w:tcPr>
            <w:tcW w:w="1036" w:type="dxa"/>
            <w:vAlign w:val="center"/>
          </w:tcPr>
          <w:p w14:paraId="6D4A7220"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21</w:t>
            </w:r>
          </w:p>
        </w:tc>
        <w:tc>
          <w:tcPr>
            <w:tcW w:w="1320" w:type="dxa"/>
            <w:vAlign w:val="center"/>
          </w:tcPr>
          <w:p w14:paraId="5C0923C5"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w:t>
            </w:r>
          </w:p>
        </w:tc>
        <w:tc>
          <w:tcPr>
            <w:tcW w:w="1863" w:type="dxa"/>
            <w:vAlign w:val="center"/>
          </w:tcPr>
          <w:p w14:paraId="65AE1701"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1</w:t>
            </w:r>
          </w:p>
        </w:tc>
        <w:tc>
          <w:tcPr>
            <w:tcW w:w="1320" w:type="dxa"/>
            <w:vAlign w:val="center"/>
          </w:tcPr>
          <w:p w14:paraId="62B5646B"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23</w:t>
            </w:r>
          </w:p>
        </w:tc>
        <w:tc>
          <w:tcPr>
            <w:tcW w:w="1134" w:type="dxa"/>
            <w:vAlign w:val="center"/>
          </w:tcPr>
          <w:p w14:paraId="63DA3BA7"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22</w:t>
            </w:r>
          </w:p>
        </w:tc>
      </w:tr>
      <w:tr w:rsidR="00FD6E1A" w:rsidRPr="000C734D" w14:paraId="2723D2EC" w14:textId="77777777" w:rsidTr="00FD6E1A">
        <w:tc>
          <w:tcPr>
            <w:tcW w:w="1341" w:type="dxa"/>
            <w:vAlign w:val="center"/>
          </w:tcPr>
          <w:p w14:paraId="247F2C8F" w14:textId="77777777" w:rsidR="00FD6E1A" w:rsidRPr="00233F97" w:rsidRDefault="00FD6E1A" w:rsidP="00E37435">
            <w:pPr>
              <w:rPr>
                <w:rFonts w:cstheme="minorHAnsi"/>
                <w:b/>
                <w:bCs/>
                <w:color w:val="000000"/>
                <w:lang w:eastAsia="es-MX"/>
              </w:rPr>
            </w:pPr>
            <w:r w:rsidRPr="00233F97">
              <w:rPr>
                <w:rFonts w:cstheme="minorHAnsi"/>
                <w:b/>
                <w:bCs/>
                <w:color w:val="000000"/>
                <w:lang w:eastAsia="es-MX"/>
              </w:rPr>
              <w:t>2022</w:t>
            </w:r>
          </w:p>
        </w:tc>
        <w:tc>
          <w:tcPr>
            <w:tcW w:w="1342" w:type="dxa"/>
            <w:vAlign w:val="center"/>
          </w:tcPr>
          <w:p w14:paraId="3DDD2A8A"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23</w:t>
            </w:r>
          </w:p>
        </w:tc>
        <w:tc>
          <w:tcPr>
            <w:tcW w:w="1036" w:type="dxa"/>
            <w:vAlign w:val="center"/>
          </w:tcPr>
          <w:p w14:paraId="68B5B9A3"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23</w:t>
            </w:r>
          </w:p>
        </w:tc>
        <w:tc>
          <w:tcPr>
            <w:tcW w:w="1320" w:type="dxa"/>
            <w:vAlign w:val="center"/>
          </w:tcPr>
          <w:p w14:paraId="1E9F8353"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w:t>
            </w:r>
          </w:p>
        </w:tc>
        <w:tc>
          <w:tcPr>
            <w:tcW w:w="1863" w:type="dxa"/>
            <w:vAlign w:val="center"/>
          </w:tcPr>
          <w:p w14:paraId="687DCA36"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1</w:t>
            </w:r>
          </w:p>
        </w:tc>
        <w:tc>
          <w:tcPr>
            <w:tcW w:w="1320" w:type="dxa"/>
            <w:vAlign w:val="center"/>
          </w:tcPr>
          <w:p w14:paraId="3CC36943"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25</w:t>
            </w:r>
          </w:p>
        </w:tc>
        <w:tc>
          <w:tcPr>
            <w:tcW w:w="1134" w:type="dxa"/>
            <w:vAlign w:val="center"/>
          </w:tcPr>
          <w:p w14:paraId="2FA9FB8B" w14:textId="77777777" w:rsidR="00FD6E1A" w:rsidRPr="000C734D" w:rsidRDefault="00FD6E1A" w:rsidP="00E37435">
            <w:pPr>
              <w:jc w:val="center"/>
              <w:rPr>
                <w:rFonts w:cstheme="minorHAnsi"/>
                <w:color w:val="000000"/>
                <w:lang w:eastAsia="es-MX"/>
              </w:rPr>
            </w:pPr>
            <w:r w:rsidRPr="000C734D">
              <w:rPr>
                <w:rFonts w:cstheme="minorHAnsi"/>
                <w:color w:val="000000"/>
                <w:lang w:eastAsia="es-MX"/>
              </w:rPr>
              <w:t>24</w:t>
            </w:r>
          </w:p>
        </w:tc>
      </w:tr>
    </w:tbl>
    <w:p w14:paraId="245F6FE4" w14:textId="77777777" w:rsidR="00FD6E1A" w:rsidRDefault="00FD6E1A" w:rsidP="00FD6E1A">
      <w:pPr>
        <w:spacing w:before="120"/>
      </w:pPr>
      <w:r w:rsidRPr="000C734D">
        <w:rPr>
          <w:rFonts w:asciiTheme="minorHAnsi" w:eastAsia="ITC Avant Garde" w:hAnsiTheme="minorHAnsi" w:cstheme="minorHAnsi"/>
          <w:color w:val="000000"/>
          <w:sz w:val="22"/>
          <w:szCs w:val="24"/>
          <w:lang w:val="es-ES" w:eastAsia="es-MX"/>
        </w:rPr>
        <w:t xml:space="preserve">Fuente: Elaboración del IFT con información del Registro Público de Concesiones. </w:t>
      </w:r>
      <w:hyperlink r:id="rId7" w:history="1">
        <w:r w:rsidRPr="000C734D">
          <w:rPr>
            <w:rFonts w:asciiTheme="minorHAnsi" w:eastAsia="ITC Avant Garde" w:hAnsiTheme="minorHAnsi" w:cstheme="minorHAnsi"/>
            <w:sz w:val="22"/>
            <w:szCs w:val="24"/>
            <w:lang w:val="es-ES"/>
          </w:rPr>
          <w:t>https://rpc.ift.org.mx/vrpc/visor/downloads</w:t>
        </w:r>
      </w:hyperlink>
    </w:p>
    <w:p w14:paraId="1A112055" w14:textId="6064684B"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Estos pequeños operadores, por lo general son operadores locales con propósitos sociales que pueden constituirse bajo diferentes modelos de negocio rentables o sin fines de lucro. Pueden ser cooperativas, redes comunitarias, de carácter social o también pueden ser simplemente pequeños operadores con fines </w:t>
      </w:r>
      <w:r w:rsidR="00E82E45" w:rsidRPr="00094B90">
        <w:rPr>
          <w:rFonts w:eastAsia="ITC Avant Garde" w:cstheme="minorHAnsi"/>
          <w:lang w:val="es-ES"/>
        </w:rPr>
        <w:t>comerciales,</w:t>
      </w:r>
      <w:r w:rsidRPr="00094B90">
        <w:rPr>
          <w:rFonts w:eastAsia="ITC Avant Garde" w:cstheme="minorHAnsi"/>
          <w:lang w:val="es-ES"/>
        </w:rPr>
        <w:t xml:space="preserve"> aunque con un ingreso considerablemente menor con respecto al de los grandes operadores y por lo general localizados en las zonas tanto rurales, donde éstos últimos no cuentan con infraestructura, como en aquellas zonas urbanas donde no es asequible su oferta, particularmente para grupos de la población con menos ingresos.  </w:t>
      </w:r>
    </w:p>
    <w:p w14:paraId="1E1222F0" w14:textId="77777777" w:rsidR="00094B90" w:rsidRPr="00094B90" w:rsidRDefault="00094B90" w:rsidP="00094B90">
      <w:pPr>
        <w:pStyle w:val="Prrafodelista"/>
        <w:spacing w:line="360" w:lineRule="auto"/>
        <w:ind w:left="709"/>
        <w:jc w:val="both"/>
        <w:rPr>
          <w:rFonts w:eastAsia="ITC Avant Garde" w:cstheme="minorHAnsi"/>
          <w:lang w:val="es-ES"/>
        </w:rPr>
      </w:pPr>
    </w:p>
    <w:p w14:paraId="38D324A9"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Los organismos internacionales en los últimos 8 años han insistido en hacer ver a las autoridades reguladoras la importancia de tener en consideración, cuando desarrollan sus actividades de regulación, a los pequeños operadores, para ampliar el alcance de los sectores de telecomunicaciones y radiodifusión a las zonas menos favorecidas.</w:t>
      </w:r>
    </w:p>
    <w:p w14:paraId="7A3D57A9"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La recomendación 19 de la Conferencia Mundial de Desarrollo de las Telecomunicaciones (CMDT) de la Unión Internacional de Telecomunicaciones (UIT) de 2014 en </w:t>
      </w:r>
      <w:proofErr w:type="spellStart"/>
      <w:r w:rsidRPr="00094B90">
        <w:rPr>
          <w:rFonts w:eastAsia="ITC Avant Garde" w:cstheme="minorHAnsi"/>
          <w:lang w:val="es-ES"/>
        </w:rPr>
        <w:t>Dubai</w:t>
      </w:r>
      <w:proofErr w:type="spellEnd"/>
      <w:r w:rsidRPr="00094B90">
        <w:rPr>
          <w:rStyle w:val="Refdenotaalpie"/>
          <w:rFonts w:eastAsia="ITC Avant Garde" w:cstheme="minorHAnsi"/>
          <w:lang w:val="es-ES"/>
        </w:rPr>
        <w:footnoteReference w:id="1"/>
      </w:r>
      <w:r w:rsidRPr="00094B90">
        <w:rPr>
          <w:rFonts w:eastAsia="ITC Avant Garde" w:cstheme="minorHAnsi"/>
          <w:lang w:val="es-ES"/>
        </w:rPr>
        <w:t>, considera que los países debieran observar en sus regulaciones dos aspectos relacionados con zonas rurales:</w:t>
      </w:r>
    </w:p>
    <w:p w14:paraId="1E58E981" w14:textId="77777777" w:rsidR="00094B90" w:rsidRPr="00094B90" w:rsidRDefault="00094B90" w:rsidP="00C831FF">
      <w:pPr>
        <w:pStyle w:val="Prrafodelista"/>
        <w:numPr>
          <w:ilvl w:val="0"/>
          <w:numId w:val="13"/>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Que los pequeños operadores pudieran tener acceso a infraestructura básica que les permitiera proveer servicios de banda ancha en sus áreas de influencia, y</w:t>
      </w:r>
    </w:p>
    <w:p w14:paraId="5402BE1F" w14:textId="77777777" w:rsidR="00094B90" w:rsidRPr="00094B90" w:rsidRDefault="00094B90" w:rsidP="00C831FF">
      <w:pPr>
        <w:pStyle w:val="Prrafodelista"/>
        <w:numPr>
          <w:ilvl w:val="0"/>
          <w:numId w:val="13"/>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lastRenderedPageBreak/>
        <w:t xml:space="preserve">Que los pequeños operadores sean considerados en las actividades de planeación y concesionamiento del espectro radioeléctrico que lleve a cabo la autoridad competente. </w:t>
      </w:r>
    </w:p>
    <w:p w14:paraId="08449750" w14:textId="77777777" w:rsidR="00094B90" w:rsidRPr="00094B90" w:rsidRDefault="00094B90" w:rsidP="00094B90">
      <w:pPr>
        <w:pStyle w:val="Prrafodelista"/>
        <w:spacing w:line="360" w:lineRule="auto"/>
        <w:ind w:left="1069"/>
        <w:jc w:val="both"/>
        <w:rPr>
          <w:rFonts w:eastAsia="ITC Avant Garde" w:cstheme="minorHAnsi"/>
          <w:lang w:val="es-ES"/>
        </w:rPr>
      </w:pPr>
    </w:p>
    <w:p w14:paraId="4A6D88B1"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El reporte “La era de la interdependencia digital” preparado por el panel de Alto Nivel en Cooperación Digital de las Naciones Unidas</w:t>
      </w:r>
      <w:r w:rsidRPr="00094B90">
        <w:rPr>
          <w:rStyle w:val="Refdenotaalpie"/>
          <w:rFonts w:eastAsia="ITC Avant Garde" w:cstheme="minorHAnsi"/>
          <w:lang w:val="es-ES"/>
        </w:rPr>
        <w:footnoteReference w:id="2"/>
      </w:r>
      <w:r w:rsidRPr="00094B90">
        <w:rPr>
          <w:rFonts w:eastAsia="ITC Avant Garde" w:cstheme="minorHAnsi"/>
          <w:lang w:val="es-ES"/>
        </w:rPr>
        <w:t>, recomienda que, para lograr una sociedad y economías inclusivas, es necesario invertir en capital humano e infraestructura, particularmente apoyándose en modelos como los de grupos comunitarios que operan en zonas rurales.</w:t>
      </w:r>
    </w:p>
    <w:p w14:paraId="6721C3B8" w14:textId="77777777" w:rsidR="00094B90" w:rsidRPr="00094B90" w:rsidRDefault="00094B90" w:rsidP="00094B90">
      <w:pPr>
        <w:pStyle w:val="Prrafodelista"/>
        <w:spacing w:line="360" w:lineRule="auto"/>
        <w:ind w:left="709"/>
        <w:jc w:val="both"/>
        <w:rPr>
          <w:rFonts w:eastAsia="ITC Avant Garde" w:cstheme="minorHAnsi"/>
          <w:lang w:val="es-ES"/>
        </w:rPr>
      </w:pPr>
    </w:p>
    <w:p w14:paraId="155E4662" w14:textId="71727442"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La resolución 11 de la CMDT- UIT de 2017 en Buenos Aires, busca que se continúen los estudios en del grupo de Estudios 1 bajo el liderazgo de la Cuestión 5/1 para encontrar los mejores medios para proveer servicios de telecomunicaciones y tecnologías de la información en áreas rurales, aisladas y no </w:t>
      </w:r>
      <w:r w:rsidR="00E82E45" w:rsidRPr="00094B90">
        <w:rPr>
          <w:rFonts w:eastAsia="ITC Avant Garde" w:cstheme="minorHAnsi"/>
          <w:lang w:val="es-ES"/>
        </w:rPr>
        <w:t>atendidas,</w:t>
      </w:r>
      <w:r w:rsidRPr="00094B90">
        <w:rPr>
          <w:rFonts w:eastAsia="ITC Avant Garde" w:cstheme="minorHAnsi"/>
          <w:lang w:val="es-ES"/>
        </w:rPr>
        <w:t xml:space="preserve"> así como en comunidades indígenas, en términos de acceso universal, programas rurales de telecomunicaciones, marcos regulatorios, recursos financieros y enfoques comerciales. </w:t>
      </w:r>
    </w:p>
    <w:p w14:paraId="5CBEDD97" w14:textId="77777777" w:rsidR="00094B90" w:rsidRPr="00094B90" w:rsidRDefault="00094B90" w:rsidP="00094B90">
      <w:pPr>
        <w:pStyle w:val="Prrafodelista"/>
        <w:spacing w:line="360" w:lineRule="auto"/>
        <w:ind w:left="709"/>
        <w:jc w:val="both"/>
        <w:rPr>
          <w:rFonts w:eastAsia="ITC Avant Garde" w:cstheme="minorHAnsi"/>
          <w:lang w:val="es-ES"/>
        </w:rPr>
      </w:pPr>
    </w:p>
    <w:p w14:paraId="2147C858"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En el entregable de 2019/2020 del Grupo de Estudios de la UIT-D Relativo a la Cuestión 5/1</w:t>
      </w:r>
      <w:r w:rsidRPr="00094B90">
        <w:rPr>
          <w:rStyle w:val="Refdenotaalpie"/>
          <w:rFonts w:eastAsia="ITC Avant Garde" w:cstheme="minorHAnsi"/>
          <w:lang w:val="es-ES"/>
        </w:rPr>
        <w:footnoteReference w:id="3"/>
      </w:r>
      <w:r w:rsidRPr="00094B90">
        <w:rPr>
          <w:rFonts w:eastAsia="ITC Avant Garde" w:cstheme="minorHAnsi"/>
          <w:lang w:val="es-ES"/>
        </w:rPr>
        <w:t xml:space="preserve"> sobre las telecomunicaciones y tecnologías de la información y las comunicaciones en zonas rurales y áreas remotas, se ha hecho énfasis en simplificar los requerimientos regulatorios para las redes de operadores comunitarios. </w:t>
      </w:r>
    </w:p>
    <w:p w14:paraId="59DD8D51" w14:textId="77777777" w:rsidR="00094B90" w:rsidRPr="00094B90" w:rsidRDefault="00094B90" w:rsidP="00094B90">
      <w:pPr>
        <w:spacing w:line="360" w:lineRule="auto"/>
        <w:rPr>
          <w:rFonts w:asciiTheme="minorHAnsi" w:eastAsia="ITC Avant Garde" w:hAnsiTheme="minorHAnsi" w:cstheme="minorHAnsi"/>
          <w:sz w:val="24"/>
          <w:szCs w:val="24"/>
          <w:lang w:val="es-ES"/>
        </w:rPr>
      </w:pPr>
    </w:p>
    <w:p w14:paraId="238342DB"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La Comisión Interamericana de Telecomunicaciones (CITEL) por su parte, mediante resolución 268-PCCI</w:t>
      </w:r>
      <w:r w:rsidRPr="00094B90">
        <w:rPr>
          <w:rStyle w:val="Refdenotaalpie"/>
          <w:rFonts w:eastAsia="ITC Avant Garde" w:cstheme="minorHAnsi"/>
          <w:lang w:val="es-ES"/>
        </w:rPr>
        <w:footnoteReference w:id="4"/>
      </w:r>
      <w:r w:rsidRPr="00094B90">
        <w:rPr>
          <w:rFonts w:eastAsia="ITC Avant Garde" w:cstheme="minorHAnsi"/>
          <w:lang w:val="es-ES"/>
        </w:rPr>
        <w:t xml:space="preserve"> presenta un informe en 2018 en el que muestra el desarrollo de la regulación inclusiva para los pequeños operadores y comunitarios en cada uno de los países.</w:t>
      </w:r>
    </w:p>
    <w:p w14:paraId="7DA88AA5" w14:textId="77777777" w:rsidR="00094B90" w:rsidRPr="00094B90" w:rsidRDefault="00094B90" w:rsidP="00094B90">
      <w:pPr>
        <w:spacing w:line="360" w:lineRule="auto"/>
        <w:rPr>
          <w:rFonts w:asciiTheme="minorHAnsi" w:eastAsia="ITC Avant Garde" w:hAnsiTheme="minorHAnsi" w:cstheme="minorHAnsi"/>
          <w:sz w:val="24"/>
          <w:szCs w:val="24"/>
          <w:lang w:val="es-ES"/>
        </w:rPr>
      </w:pPr>
    </w:p>
    <w:p w14:paraId="45DBD9E5"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lastRenderedPageBreak/>
        <w:t>En América Latina, la Asociación Nacional de Telecomunicaciones (ANATEL) de Brasil</w:t>
      </w:r>
      <w:r w:rsidRPr="00094B90">
        <w:rPr>
          <w:rStyle w:val="Refdenotaalpie"/>
          <w:rFonts w:eastAsia="ITC Avant Garde" w:cstheme="minorHAnsi"/>
          <w:lang w:val="es-ES"/>
        </w:rPr>
        <w:footnoteReference w:id="5"/>
      </w:r>
      <w:r w:rsidRPr="00094B90">
        <w:rPr>
          <w:rFonts w:eastAsia="ITC Avant Garde" w:cstheme="minorHAnsi"/>
          <w:lang w:val="es-ES"/>
        </w:rPr>
        <w:t xml:space="preserve"> llevó a cabo una estrategia regulatoria para facilitar la participación de pequeños operadores en el servicio de áreas rurales y remotas, incluyendo una nota reciente sobre cómo regular las redes comunitarias. Se creó el Comité de Pequeños Prestadores de Servicios de Telecomunicaciones o CPPP. Para la ANATEL de Brasil, la definición de “</w:t>
      </w:r>
      <w:r w:rsidRPr="00094B90">
        <w:rPr>
          <w:rFonts w:eastAsia="ITC Avant Garde" w:cstheme="minorHAnsi"/>
          <w:i/>
          <w:lang w:val="es-ES"/>
        </w:rPr>
        <w:t>Prestador de Pequeño Porte es aquel grupo que posee una participación de mercado nacional inferior al 5% (cinco por ciento) en cada mercado minorista en que opera</w:t>
      </w:r>
      <w:r w:rsidRPr="00094B90">
        <w:rPr>
          <w:rFonts w:eastAsia="ITC Avant Garde" w:cstheme="minorHAnsi"/>
          <w:lang w:val="es-ES"/>
        </w:rPr>
        <w:t>”</w:t>
      </w:r>
      <w:r w:rsidRPr="00094B90">
        <w:rPr>
          <w:rStyle w:val="Refdenotaalpie"/>
          <w:rFonts w:eastAsia="ITC Avant Garde" w:cstheme="minorHAnsi"/>
          <w:lang w:val="es-ES"/>
        </w:rPr>
        <w:footnoteReference w:id="6"/>
      </w:r>
      <w:r w:rsidRPr="00094B90">
        <w:rPr>
          <w:rFonts w:eastAsia="ITC Avant Garde" w:cstheme="minorHAnsi"/>
          <w:lang w:val="es-ES"/>
        </w:rPr>
        <w:t>.</w:t>
      </w:r>
    </w:p>
    <w:p w14:paraId="1E430D12" w14:textId="77777777" w:rsidR="00094B90" w:rsidRPr="00094B90" w:rsidRDefault="00094B90" w:rsidP="00094B90">
      <w:pPr>
        <w:spacing w:line="360" w:lineRule="auto"/>
        <w:rPr>
          <w:rFonts w:asciiTheme="minorHAnsi" w:eastAsia="ITC Avant Garde" w:hAnsiTheme="minorHAnsi" w:cstheme="minorHAnsi"/>
          <w:sz w:val="24"/>
          <w:szCs w:val="24"/>
          <w:lang w:val="es-ES"/>
        </w:rPr>
      </w:pPr>
    </w:p>
    <w:p w14:paraId="0D592E14" w14:textId="27AA4F6B"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En México los operadores indígenas están específicamente reconocidos en la Ley Federal de Telecomunicaciones y Radiodifusión</w:t>
      </w:r>
      <w:r w:rsidR="00E82E45">
        <w:rPr>
          <w:rFonts w:eastAsia="ITC Avant Garde" w:cstheme="minorHAnsi"/>
          <w:lang w:val="es-ES"/>
        </w:rPr>
        <w:t xml:space="preserve"> (LFTR)</w:t>
      </w:r>
      <w:r w:rsidRPr="00094B90">
        <w:rPr>
          <w:rFonts w:eastAsia="ITC Avant Garde" w:cstheme="minorHAnsi"/>
          <w:lang w:val="es-ES"/>
        </w:rPr>
        <w:t xml:space="preserve">, la cual también prevé que las actividades de planificación del espectro siempre deban tener en cuenta las necesidades específicas de estos operadores. </w:t>
      </w:r>
    </w:p>
    <w:p w14:paraId="31497422" w14:textId="77777777" w:rsidR="00094B90" w:rsidRPr="00094B90" w:rsidRDefault="00094B90" w:rsidP="00094B90">
      <w:pPr>
        <w:spacing w:line="360" w:lineRule="auto"/>
        <w:rPr>
          <w:rFonts w:asciiTheme="minorHAnsi" w:eastAsia="ITC Avant Garde" w:hAnsiTheme="minorHAnsi" w:cstheme="minorHAnsi"/>
          <w:sz w:val="24"/>
          <w:szCs w:val="24"/>
          <w:lang w:val="es-ES"/>
        </w:rPr>
      </w:pPr>
    </w:p>
    <w:p w14:paraId="69F8FF09"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La Secretaría de Infraestructura, Comunicaciones y Transportes (SICT), a partir de 2019 y a la fecha ha publicado el programa anual de Cobertura Social (PCS)</w:t>
      </w:r>
      <w:r w:rsidRPr="00094B90">
        <w:rPr>
          <w:rStyle w:val="Refdenotaalpie"/>
          <w:rFonts w:eastAsia="ITC Avant Garde" w:cstheme="minorHAnsi"/>
          <w:lang w:val="es-ES"/>
        </w:rPr>
        <w:footnoteReference w:id="7"/>
      </w:r>
      <w:r w:rsidRPr="00094B90">
        <w:rPr>
          <w:rFonts w:eastAsia="ITC Avant Garde" w:cstheme="minorHAnsi"/>
          <w:lang w:val="es-ES"/>
        </w:rPr>
        <w:t>. En este programa se refiere específicamente a los pequeños operadores y redes comunitarias como aliados importantes para atender áreas desconectadas.</w:t>
      </w:r>
    </w:p>
    <w:p w14:paraId="105CEF70" w14:textId="77777777" w:rsidR="00094B90" w:rsidRPr="00094B90" w:rsidRDefault="00094B90" w:rsidP="00094B90">
      <w:pPr>
        <w:spacing w:line="360" w:lineRule="auto"/>
        <w:rPr>
          <w:rFonts w:asciiTheme="minorHAnsi" w:eastAsia="ITC Avant Garde" w:hAnsiTheme="minorHAnsi" w:cstheme="minorHAnsi"/>
          <w:sz w:val="24"/>
          <w:szCs w:val="24"/>
          <w:lang w:val="es-ES"/>
        </w:rPr>
      </w:pPr>
      <w:r w:rsidRPr="00094B90">
        <w:rPr>
          <w:rFonts w:asciiTheme="minorHAnsi" w:eastAsia="ITC Avant Garde" w:hAnsiTheme="minorHAnsi" w:cstheme="minorHAnsi"/>
          <w:sz w:val="24"/>
          <w:szCs w:val="24"/>
          <w:lang w:val="es-ES"/>
        </w:rPr>
        <w:t xml:space="preserve"> </w:t>
      </w:r>
    </w:p>
    <w:p w14:paraId="585A5621"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El Consejo Consultivo del IFT (CC-IFT) en sus 7 años de existencia ha emitido al menos 11 recomendaciones que directa o indirectamente han abordado temas asociados a los pequeños operadores para facilitarles su participación en los mercados de las telecomunicaciones y la radiodifusión en competencia, las cuales se listan a continuación:</w:t>
      </w:r>
    </w:p>
    <w:p w14:paraId="1CA723E8"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lang w:val="es-MX"/>
        </w:rPr>
      </w:pPr>
      <w:hyperlink r:id="rId8" w:tgtFrame="_blank" w:tooltip="Se abrirá un archivo pdf en otra pestaña" w:history="1">
        <w:r w:rsidR="00094B90" w:rsidRPr="00D4071C">
          <w:rPr>
            <w:rStyle w:val="Hipervnculo"/>
            <w:rFonts w:asciiTheme="minorHAnsi" w:hAnsiTheme="minorHAnsi" w:cstheme="minorHAnsi"/>
            <w:bCs/>
            <w:color w:val="000000" w:themeColor="text1"/>
            <w:sz w:val="24"/>
            <w:lang w:val="es-MX"/>
          </w:rPr>
          <w:t>Permisionarios de radiodifusión a los que les aplica el régimen de concesión social comunitaria e indígena</w:t>
        </w:r>
      </w:hyperlink>
      <w:r w:rsidR="00094B90" w:rsidRPr="00D4071C">
        <w:rPr>
          <w:rFonts w:cstheme="minorHAnsi"/>
          <w:color w:val="000000" w:themeColor="text1"/>
          <w:lang w:val="es-MX"/>
        </w:rPr>
        <w:t xml:space="preserve"> 2015</w:t>
      </w:r>
    </w:p>
    <w:p w14:paraId="53192EAE"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rPr>
      </w:pPr>
      <w:hyperlink r:id="rId9" w:tgtFrame="_blank" w:tooltip="Se abrirá un archivo pdf en otra pestaña" w:history="1">
        <w:r w:rsidR="00094B90" w:rsidRPr="00D4071C">
          <w:rPr>
            <w:rStyle w:val="Hipervnculo"/>
            <w:rFonts w:asciiTheme="minorHAnsi" w:hAnsiTheme="minorHAnsi" w:cstheme="minorHAnsi"/>
            <w:bCs/>
            <w:color w:val="000000" w:themeColor="text1"/>
            <w:sz w:val="24"/>
            <w:lang w:val="es-MX"/>
          </w:rPr>
          <w:t>Recomendación sobre los trámites ante el IFT.</w:t>
        </w:r>
      </w:hyperlink>
      <w:r w:rsidR="00094B90" w:rsidRPr="00D4071C">
        <w:rPr>
          <w:rFonts w:cstheme="minorHAnsi"/>
          <w:color w:val="000000" w:themeColor="text1"/>
          <w:lang w:val="es-MX"/>
        </w:rPr>
        <w:t xml:space="preserve"> </w:t>
      </w:r>
      <w:r w:rsidR="00094B90" w:rsidRPr="00D4071C">
        <w:rPr>
          <w:rFonts w:cstheme="minorHAnsi"/>
          <w:color w:val="000000" w:themeColor="text1"/>
        </w:rPr>
        <w:t>2016</w:t>
      </w:r>
    </w:p>
    <w:p w14:paraId="0820BA48"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rPr>
      </w:pPr>
      <w:hyperlink r:id="rId10" w:tgtFrame="_blank" w:tooltip="Se abrirá un archivo pdf en otra pestaña" w:history="1">
        <w:r w:rsidR="00094B90" w:rsidRPr="00D4071C">
          <w:rPr>
            <w:rStyle w:val="Hipervnculo"/>
            <w:rFonts w:asciiTheme="minorHAnsi" w:hAnsiTheme="minorHAnsi" w:cstheme="minorHAnsi"/>
            <w:bCs/>
            <w:color w:val="000000" w:themeColor="text1"/>
            <w:sz w:val="24"/>
            <w:lang w:val="es-MX"/>
          </w:rPr>
          <w:t>Recomendación Acceso a Pueblos Indígenas.</w:t>
        </w:r>
      </w:hyperlink>
      <w:r w:rsidR="00094B90" w:rsidRPr="00D4071C">
        <w:rPr>
          <w:rFonts w:cstheme="minorHAnsi"/>
          <w:color w:val="000000" w:themeColor="text1"/>
          <w:lang w:val="es-MX"/>
        </w:rPr>
        <w:t xml:space="preserve"> </w:t>
      </w:r>
      <w:r w:rsidR="00094B90" w:rsidRPr="00D4071C">
        <w:rPr>
          <w:rFonts w:cstheme="minorHAnsi"/>
          <w:color w:val="000000" w:themeColor="text1"/>
        </w:rPr>
        <w:t>2017</w:t>
      </w:r>
    </w:p>
    <w:p w14:paraId="6A97134D"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rPr>
      </w:pPr>
      <w:hyperlink r:id="rId11" w:tgtFrame="_blank" w:tooltip="Se abrirá un archivo pdf en otra pestaña" w:history="1">
        <w:r w:rsidR="00094B90" w:rsidRPr="00D4071C">
          <w:rPr>
            <w:rStyle w:val="Hipervnculo"/>
            <w:rFonts w:asciiTheme="minorHAnsi" w:hAnsiTheme="minorHAnsi" w:cstheme="minorHAnsi"/>
            <w:bCs/>
            <w:color w:val="000000" w:themeColor="text1"/>
            <w:sz w:val="24"/>
            <w:lang w:val="es-MX"/>
          </w:rPr>
          <w:t>Recomendación Trámites ante el IFT.</w:t>
        </w:r>
        <w:r w:rsidR="00094B90" w:rsidRPr="00D4071C">
          <w:rPr>
            <w:rStyle w:val="Hipervnculo"/>
            <w:rFonts w:asciiTheme="minorHAnsi" w:hAnsiTheme="minorHAnsi" w:cstheme="minorHAnsi"/>
            <w:color w:val="000000" w:themeColor="text1"/>
            <w:sz w:val="24"/>
            <w:lang w:val="es-MX"/>
          </w:rPr>
          <w:t xml:space="preserve"> </w:t>
        </w:r>
      </w:hyperlink>
      <w:r w:rsidR="00094B90" w:rsidRPr="00D4071C">
        <w:rPr>
          <w:rFonts w:cstheme="minorHAnsi"/>
          <w:color w:val="000000" w:themeColor="text1"/>
        </w:rPr>
        <w:t>2017</w:t>
      </w:r>
    </w:p>
    <w:p w14:paraId="40CC6530"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rPr>
      </w:pPr>
      <w:hyperlink r:id="rId12" w:tgtFrame="_blank" w:tooltip="Se abrirá un archivo pdf en otra pestaña" w:history="1">
        <w:r w:rsidR="00094B90" w:rsidRPr="00D4071C">
          <w:rPr>
            <w:rStyle w:val="Hipervnculo"/>
            <w:rFonts w:asciiTheme="minorHAnsi" w:hAnsiTheme="minorHAnsi" w:cstheme="minorHAnsi"/>
            <w:bCs/>
            <w:color w:val="000000" w:themeColor="text1"/>
            <w:sz w:val="24"/>
            <w:lang w:val="es-MX"/>
          </w:rPr>
          <w:t>Recomendación sobre Pago de derechos por concesiones sociales.</w:t>
        </w:r>
      </w:hyperlink>
      <w:r w:rsidR="00094B90" w:rsidRPr="00D4071C">
        <w:rPr>
          <w:rFonts w:cstheme="minorHAnsi"/>
          <w:color w:val="000000" w:themeColor="text1"/>
          <w:lang w:val="es-MX"/>
        </w:rPr>
        <w:t xml:space="preserve"> </w:t>
      </w:r>
      <w:r w:rsidR="00094B90" w:rsidRPr="00D4071C">
        <w:rPr>
          <w:rFonts w:cstheme="minorHAnsi"/>
          <w:color w:val="000000" w:themeColor="text1"/>
        </w:rPr>
        <w:t>2017</w:t>
      </w:r>
    </w:p>
    <w:p w14:paraId="7C52B1B5"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rPr>
      </w:pPr>
      <w:hyperlink r:id="rId13" w:tgtFrame="_blank" w:tooltip="Se abrirá un archivo pdf en otra pestaña" w:history="1">
        <w:r w:rsidR="00094B90" w:rsidRPr="00D4071C">
          <w:rPr>
            <w:rStyle w:val="Hipervnculo"/>
            <w:rFonts w:asciiTheme="minorHAnsi" w:hAnsiTheme="minorHAnsi" w:cstheme="minorHAnsi"/>
            <w:bCs/>
            <w:color w:val="000000" w:themeColor="text1"/>
            <w:sz w:val="24"/>
            <w:lang w:val="es-MX"/>
          </w:rPr>
          <w:t>Recomendación sobre la Inclusión Digital en México.</w:t>
        </w:r>
      </w:hyperlink>
      <w:r w:rsidR="00094B90" w:rsidRPr="00D4071C">
        <w:rPr>
          <w:rFonts w:cstheme="minorHAnsi"/>
          <w:color w:val="000000" w:themeColor="text1"/>
          <w:lang w:val="es-MX"/>
        </w:rPr>
        <w:t xml:space="preserve"> </w:t>
      </w:r>
      <w:r w:rsidR="00094B90" w:rsidRPr="00D4071C">
        <w:rPr>
          <w:rFonts w:cstheme="minorHAnsi"/>
          <w:color w:val="000000" w:themeColor="text1"/>
        </w:rPr>
        <w:t>2018</w:t>
      </w:r>
    </w:p>
    <w:p w14:paraId="0B7873B4"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lang w:val="es-MX"/>
        </w:rPr>
      </w:pPr>
      <w:hyperlink r:id="rId14" w:tgtFrame="_blank" w:tooltip="Se abrira un archivo pdf en otra pestaña" w:history="1">
        <w:r w:rsidR="00094B90" w:rsidRPr="00D4071C">
          <w:rPr>
            <w:rStyle w:val="Hipervnculo"/>
            <w:rFonts w:asciiTheme="minorHAnsi" w:hAnsiTheme="minorHAnsi" w:cstheme="minorHAnsi"/>
            <w:bCs/>
            <w:color w:val="000000" w:themeColor="text1"/>
            <w:sz w:val="24"/>
            <w:lang w:val="es-MX"/>
          </w:rPr>
          <w:t>Recomendación sobre el desarrollo de las telecomunicaciones y la radiodifusión para uso social comunitario e indígena</w:t>
        </w:r>
      </w:hyperlink>
      <w:r w:rsidR="00094B90" w:rsidRPr="00D4071C">
        <w:rPr>
          <w:rFonts w:cstheme="minorHAnsi"/>
          <w:color w:val="000000" w:themeColor="text1"/>
          <w:lang w:val="es-MX"/>
        </w:rPr>
        <w:t xml:space="preserve"> 2019</w:t>
      </w:r>
    </w:p>
    <w:p w14:paraId="26FB791D"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lang w:val="es-MX"/>
        </w:rPr>
      </w:pPr>
      <w:r>
        <w:fldChar w:fldCharType="begin"/>
      </w:r>
      <w:r w:rsidRPr="00DC6D73">
        <w:rPr>
          <w:lang w:val="es-MX"/>
        </w:rPr>
        <w:instrText xml:space="preserve"> HYPERLINK "http://consejoconsultivo.ift.org.mx/docs/recomendaciones/2019/iii_6_recomendacion_sobre_contenidos_de_comunidades_y_lenguas_indigenas_en_los_medi</w:instrText>
      </w:r>
      <w:r w:rsidRPr="00DC6D73">
        <w:rPr>
          <w:lang w:val="es-MX"/>
        </w:rPr>
        <w:instrText xml:space="preserve">os_de_comunicacion_071119_26.pdf" \t "_blank" \o "Se abrira un archivo pdf en otra pestaña" </w:instrText>
      </w:r>
      <w:r>
        <w:fldChar w:fldCharType="separate"/>
      </w:r>
      <w:r w:rsidR="00094B90" w:rsidRPr="00D4071C">
        <w:rPr>
          <w:rStyle w:val="Hipervnculo"/>
          <w:rFonts w:asciiTheme="minorHAnsi" w:hAnsiTheme="minorHAnsi" w:cstheme="minorHAnsi"/>
          <w:bCs/>
          <w:color w:val="000000" w:themeColor="text1"/>
          <w:sz w:val="24"/>
          <w:lang w:val="es-MX"/>
        </w:rPr>
        <w:t xml:space="preserve">Recomendación sobre Contenidos de </w:t>
      </w:r>
      <w:proofErr w:type="gramStart"/>
      <w:r w:rsidR="00094B90" w:rsidRPr="00D4071C">
        <w:rPr>
          <w:rStyle w:val="Hipervnculo"/>
          <w:rFonts w:asciiTheme="minorHAnsi" w:hAnsiTheme="minorHAnsi" w:cstheme="minorHAnsi"/>
          <w:bCs/>
          <w:color w:val="000000" w:themeColor="text1"/>
          <w:sz w:val="24"/>
          <w:lang w:val="es-MX"/>
        </w:rPr>
        <w:t>comunidades indígenas y Lenguas indígenas</w:t>
      </w:r>
      <w:proofErr w:type="gramEnd"/>
      <w:r w:rsidR="00094B90" w:rsidRPr="00D4071C">
        <w:rPr>
          <w:rStyle w:val="Hipervnculo"/>
          <w:rFonts w:asciiTheme="minorHAnsi" w:hAnsiTheme="minorHAnsi" w:cstheme="minorHAnsi"/>
          <w:bCs/>
          <w:color w:val="000000" w:themeColor="text1"/>
          <w:sz w:val="24"/>
          <w:lang w:val="es-MX"/>
        </w:rPr>
        <w:t xml:space="preserve"> en los medios de comunicación</w:t>
      </w:r>
      <w:r>
        <w:rPr>
          <w:rStyle w:val="Hipervnculo"/>
          <w:rFonts w:asciiTheme="minorHAnsi" w:hAnsiTheme="minorHAnsi" w:cstheme="minorHAnsi"/>
          <w:bCs/>
          <w:color w:val="000000" w:themeColor="text1"/>
          <w:sz w:val="24"/>
          <w:lang w:val="es-MX"/>
        </w:rPr>
        <w:fldChar w:fldCharType="end"/>
      </w:r>
      <w:r w:rsidR="00094B90" w:rsidRPr="00D4071C">
        <w:rPr>
          <w:rFonts w:cstheme="minorHAnsi"/>
          <w:color w:val="000000" w:themeColor="text1"/>
          <w:lang w:val="es-MX"/>
        </w:rPr>
        <w:t>2019</w:t>
      </w:r>
    </w:p>
    <w:p w14:paraId="18621445"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lang w:val="es-MX"/>
        </w:rPr>
      </w:pPr>
      <w:hyperlink r:id="rId15" w:tgtFrame="_blank" w:tooltip="Se abrira un archivo pdf en otra pestaña" w:history="1">
        <w:r w:rsidR="00094B90" w:rsidRPr="00D4071C">
          <w:rPr>
            <w:rStyle w:val="Hipervnculo"/>
            <w:rFonts w:asciiTheme="minorHAnsi" w:hAnsiTheme="minorHAnsi" w:cstheme="minorHAnsi"/>
            <w:bCs/>
            <w:color w:val="000000" w:themeColor="text1"/>
            <w:sz w:val="24"/>
            <w:lang w:val="es-MX"/>
          </w:rPr>
          <w:t xml:space="preserve">Recomendación sobre el aprovechamiento flexible en la banda de 6 GHz para mejoramiento del acceso en zonas rurales y con baja calidad de servicio </w:t>
        </w:r>
      </w:hyperlink>
      <w:r w:rsidR="00094B90" w:rsidRPr="00D4071C">
        <w:rPr>
          <w:rFonts w:cstheme="minorHAnsi"/>
          <w:color w:val="000000" w:themeColor="text1"/>
          <w:lang w:val="es-MX"/>
        </w:rPr>
        <w:t>2019</w:t>
      </w:r>
    </w:p>
    <w:p w14:paraId="05B06087" w14:textId="77777777" w:rsidR="00094B90" w:rsidRPr="00D4071C" w:rsidRDefault="00C10966" w:rsidP="00C831FF">
      <w:pPr>
        <w:pStyle w:val="Prrafodelista"/>
        <w:numPr>
          <w:ilvl w:val="0"/>
          <w:numId w:val="14"/>
        </w:numPr>
        <w:spacing w:line="360" w:lineRule="auto"/>
        <w:ind w:left="1068"/>
        <w:contextualSpacing w:val="0"/>
        <w:rPr>
          <w:rFonts w:cstheme="minorHAnsi"/>
          <w:color w:val="000000" w:themeColor="text1"/>
        </w:rPr>
      </w:pPr>
      <w:hyperlink r:id="rId16" w:tgtFrame="_blank" w:tooltip="Se abrira un archivo pdf en otra pestaña" w:history="1">
        <w:r w:rsidR="00094B90" w:rsidRPr="00D4071C">
          <w:rPr>
            <w:rStyle w:val="Hipervnculo"/>
            <w:rFonts w:asciiTheme="minorHAnsi" w:hAnsiTheme="minorHAnsi" w:cstheme="minorHAnsi"/>
            <w:bCs/>
            <w:color w:val="000000" w:themeColor="text1"/>
            <w:sz w:val="24"/>
            <w:lang w:val="es-MX"/>
          </w:rPr>
          <w:t>Recomendación sobre el acceso universal a la radiodifusión sonora para mitigar el impacto negativo de la pandemia por la COVID-19 en la Educación y el Desarrollo Socioeconómico.</w:t>
        </w:r>
      </w:hyperlink>
      <w:r w:rsidR="00094B90" w:rsidRPr="00D4071C">
        <w:rPr>
          <w:rFonts w:cstheme="minorHAnsi"/>
          <w:color w:val="000000" w:themeColor="text1"/>
          <w:lang w:val="es-MX"/>
        </w:rPr>
        <w:t xml:space="preserve"> </w:t>
      </w:r>
      <w:r w:rsidR="00094B90" w:rsidRPr="00D4071C">
        <w:rPr>
          <w:rFonts w:cstheme="minorHAnsi"/>
          <w:color w:val="000000" w:themeColor="text1"/>
        </w:rPr>
        <w:t>2020</w:t>
      </w:r>
    </w:p>
    <w:p w14:paraId="5A73DD21" w14:textId="77777777" w:rsidR="00094B90" w:rsidRPr="00094B90" w:rsidRDefault="00C10966" w:rsidP="00C831FF">
      <w:pPr>
        <w:pStyle w:val="Prrafodelista"/>
        <w:numPr>
          <w:ilvl w:val="0"/>
          <w:numId w:val="14"/>
        </w:numPr>
        <w:spacing w:line="360" w:lineRule="auto"/>
        <w:ind w:left="1068"/>
        <w:contextualSpacing w:val="0"/>
        <w:rPr>
          <w:rFonts w:cstheme="minorHAnsi"/>
        </w:rPr>
      </w:pPr>
      <w:hyperlink r:id="rId17" w:tgtFrame="_blank" w:tooltip="Se abrira un archivo pdf en otra pestaña" w:history="1">
        <w:r w:rsidR="00094B90" w:rsidRPr="00D4071C">
          <w:rPr>
            <w:rStyle w:val="Hipervnculo"/>
            <w:rFonts w:asciiTheme="minorHAnsi" w:hAnsiTheme="minorHAnsi" w:cstheme="minorHAnsi"/>
            <w:bCs/>
            <w:color w:val="000000" w:themeColor="text1"/>
            <w:sz w:val="24"/>
            <w:lang w:val="es-MX"/>
          </w:rPr>
          <w:t>Recomendación sobre las telecomunicaciones y radiodifusión de uso social con perspectiva de la sostenibilidad económica y del conocimiento.</w:t>
        </w:r>
      </w:hyperlink>
      <w:r w:rsidR="00094B90" w:rsidRPr="00094B90">
        <w:rPr>
          <w:rFonts w:cstheme="minorHAnsi"/>
        </w:rPr>
        <w:t>2020</w:t>
      </w:r>
    </w:p>
    <w:p w14:paraId="29F71CC5" w14:textId="77777777" w:rsidR="00094B90" w:rsidRPr="00094B90" w:rsidRDefault="00094B90" w:rsidP="00094B90">
      <w:pPr>
        <w:spacing w:line="360" w:lineRule="auto"/>
        <w:rPr>
          <w:rFonts w:asciiTheme="minorHAnsi" w:hAnsiTheme="minorHAnsi" w:cstheme="minorHAnsi"/>
          <w:sz w:val="24"/>
          <w:szCs w:val="24"/>
        </w:rPr>
      </w:pPr>
    </w:p>
    <w:p w14:paraId="08178CFC"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Las 11 recomendaciones mencionadas en el párrafo anterior, tratan aspectos relativos a simplificación de trámites, régimen de concesiones, acceso a pueblos indígenas, pago de derechos de concesiones sociales, inclusión digital en México, desarrollo de las telecomunicaciones y la radiodifusión indígena, contenidos de comunidades indígenas y lenguas indígenas en los medios de comunicación, aprovechamiento de bandas de frecuencias en zonas rurales y calidad de servicio, acceso universal con perspectiva de sostenibilidad económica y del conocimiento, entre otros.</w:t>
      </w:r>
    </w:p>
    <w:p w14:paraId="0A8843BE" w14:textId="77777777" w:rsidR="00094B90" w:rsidRPr="00094B90" w:rsidRDefault="00094B90" w:rsidP="00094B90">
      <w:pPr>
        <w:pStyle w:val="Prrafodelista"/>
        <w:spacing w:line="360" w:lineRule="auto"/>
        <w:ind w:left="709"/>
        <w:jc w:val="both"/>
        <w:rPr>
          <w:rFonts w:eastAsia="ITC Avant Garde" w:cstheme="minorHAnsi"/>
          <w:lang w:val="es-ES"/>
        </w:rPr>
      </w:pPr>
    </w:p>
    <w:p w14:paraId="4329273B" w14:textId="77777777" w:rsidR="00E82E45"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Desde su creación, distintas áreas del IFT han llevado a cabo acciones aisladas respecto a la atención de problemáticas y necesidades de operadores pequeños. El CC-IFT solicitó al IFT una lista de estas acciones para incluirlas como parte del análisis. El 7 de junio de 2022 recibimos un listado con 105 registros de las regulaciones, propuestas regulatorias e instrumentos </w:t>
      </w:r>
      <w:r w:rsidRPr="00094B90">
        <w:rPr>
          <w:rFonts w:eastAsia="ITC Avant Garde" w:cstheme="minorHAnsi"/>
          <w:lang w:val="es-ES"/>
        </w:rPr>
        <w:lastRenderedPageBreak/>
        <w:t xml:space="preserve">programáticos que han sido emitidos por este órgano constitucional autónomo y que pudieran generar un impacto favorable en los pequeños operadores de los sectores de las telecomunicaciones y radiodifusión (listado Anexo). </w:t>
      </w:r>
    </w:p>
    <w:p w14:paraId="289B793C" w14:textId="2979DD3D" w:rsidR="00094B90" w:rsidRPr="00094B90" w:rsidRDefault="00094B90" w:rsidP="000C734D">
      <w:pPr>
        <w:pStyle w:val="Prrafodelista"/>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La información proporcionada es de carácter general y aplica a todo tipo de concesionarios, por falta de tiempo no se revisaron los 105 documentos, para identificar cuáles podrían ser los aspectos que específicamente pudieran generar un impacto favorable a los pequeños operadores de telecomunicaciones y radiodifusión. No obstante, la lista de acciones originalmente solicitada se refería a aquellas acciones cuyo efecto regulatorio concretamente favoreciera a pequeños operadores en alguna de las formas que se describen en la tabla del inciso 15.</w:t>
      </w:r>
    </w:p>
    <w:p w14:paraId="6F86C8E3" w14:textId="77777777" w:rsidR="00094B90" w:rsidRPr="00094B90" w:rsidRDefault="00094B90" w:rsidP="00094B90">
      <w:pPr>
        <w:pStyle w:val="Prrafodelista"/>
        <w:spacing w:line="360" w:lineRule="auto"/>
        <w:ind w:left="709"/>
        <w:jc w:val="both"/>
        <w:rPr>
          <w:rFonts w:eastAsia="ITC Avant Garde" w:cstheme="minorHAnsi"/>
          <w:lang w:val="es-ES"/>
        </w:rPr>
      </w:pPr>
    </w:p>
    <w:p w14:paraId="459E8B3D" w14:textId="77777777" w:rsidR="00E82E45"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 La Asociación de las Comunicaciones Progresivas, en su estudio </w:t>
      </w:r>
      <w:proofErr w:type="spellStart"/>
      <w:r w:rsidRPr="00094B90">
        <w:rPr>
          <w:rFonts w:eastAsia="ITC Avant Garde" w:cstheme="minorHAnsi"/>
          <w:i/>
          <w:lang w:val="es-ES"/>
        </w:rPr>
        <w:t>Expanding</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The</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Telecommunications</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Operators</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Ecosystem</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policy</w:t>
      </w:r>
      <w:proofErr w:type="spellEnd"/>
      <w:r w:rsidRPr="00094B90">
        <w:rPr>
          <w:rFonts w:eastAsia="ITC Avant Garde" w:cstheme="minorHAnsi"/>
          <w:i/>
          <w:lang w:val="es-ES"/>
        </w:rPr>
        <w:t xml:space="preserve"> And </w:t>
      </w:r>
      <w:proofErr w:type="spellStart"/>
      <w:r w:rsidRPr="00094B90">
        <w:rPr>
          <w:rFonts w:eastAsia="ITC Avant Garde" w:cstheme="minorHAnsi"/>
          <w:i/>
          <w:lang w:val="es-ES"/>
        </w:rPr>
        <w:t>Regulatory</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Guidelines</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To</w:t>
      </w:r>
      <w:proofErr w:type="spellEnd"/>
      <w:r w:rsidRPr="00094B90">
        <w:rPr>
          <w:rFonts w:eastAsia="ITC Avant Garde" w:cstheme="minorHAnsi"/>
          <w:i/>
          <w:lang w:val="es-ES"/>
        </w:rPr>
        <w:t xml:space="preserve"> </w:t>
      </w:r>
      <w:proofErr w:type="spellStart"/>
      <w:r w:rsidRPr="00094B90">
        <w:rPr>
          <w:rFonts w:eastAsia="ITC Avant Garde" w:cstheme="minorHAnsi"/>
          <w:i/>
          <w:lang w:val="es-ES"/>
        </w:rPr>
        <w:t>Enable</w:t>
      </w:r>
      <w:proofErr w:type="spellEnd"/>
      <w:r w:rsidRPr="00094B90">
        <w:rPr>
          <w:rFonts w:eastAsia="ITC Avant Garde" w:cstheme="minorHAnsi"/>
          <w:i/>
          <w:lang w:val="es-ES"/>
        </w:rPr>
        <w:t xml:space="preserve"> Local </w:t>
      </w:r>
      <w:proofErr w:type="spellStart"/>
      <w:r w:rsidRPr="00094B90">
        <w:rPr>
          <w:rFonts w:eastAsia="ITC Avant Garde" w:cstheme="minorHAnsi"/>
          <w:i/>
          <w:lang w:val="es-ES"/>
        </w:rPr>
        <w:t>Operators</w:t>
      </w:r>
      <w:proofErr w:type="spellEnd"/>
      <w:r w:rsidRPr="00094B90">
        <w:rPr>
          <w:rFonts w:eastAsia="ITC Avant Garde" w:cstheme="minorHAnsi"/>
          <w:lang w:val="es-ES"/>
        </w:rPr>
        <w:t xml:space="preserve"> </w:t>
      </w:r>
      <w:r w:rsidR="00E82E45">
        <w:rPr>
          <w:rFonts w:eastAsia="ITC Avant Garde" w:cstheme="minorHAnsi"/>
          <w:lang w:val="es-ES"/>
        </w:rPr>
        <w:t xml:space="preserve">de </w:t>
      </w:r>
      <w:r w:rsidRPr="00094B90">
        <w:rPr>
          <w:rFonts w:eastAsia="ITC Avant Garde" w:cstheme="minorHAnsi"/>
          <w:lang w:val="es-ES"/>
        </w:rPr>
        <w:t xml:space="preserve">2020 reconoce que los operadores pequeños de propósito social, sin fines de lucro y los comerciales incrementan el tráfico a favor de los grandes operadores por los efectos totales de la red. Es por ello </w:t>
      </w:r>
      <w:proofErr w:type="gramStart"/>
      <w:r w:rsidRPr="00094B90">
        <w:rPr>
          <w:rFonts w:eastAsia="ITC Avant Garde" w:cstheme="minorHAnsi"/>
          <w:lang w:val="es-ES"/>
        </w:rPr>
        <w:t>que</w:t>
      </w:r>
      <w:proofErr w:type="gramEnd"/>
      <w:r w:rsidRPr="00094B90">
        <w:rPr>
          <w:rFonts w:eastAsia="ITC Avant Garde" w:cstheme="minorHAnsi"/>
          <w:lang w:val="es-ES"/>
        </w:rPr>
        <w:t xml:space="preserve"> el apoyo a los pequeños operadores, cualquiera que sea su naturaleza, a través de intervenciones regulatorias podría incentivar la permanencia de los mismos donde los grandes operadores no han extendido sus redes en beneficio de usuarios que de otra forma no contarían con los servicios. </w:t>
      </w:r>
    </w:p>
    <w:p w14:paraId="20D5A15B" w14:textId="358EE2C6" w:rsidR="00094B90" w:rsidRPr="00094B90" w:rsidRDefault="00094B90" w:rsidP="000C734D">
      <w:pPr>
        <w:pStyle w:val="Prrafodelista"/>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El estudio resume estas intervenciones regulatorias en la tabla que se tradujo y se transcribe a continuación.</w:t>
      </w:r>
    </w:p>
    <w:p w14:paraId="069FD64B" w14:textId="2E1B4B4E" w:rsidR="006254F5" w:rsidRDefault="006254F5" w:rsidP="00094B90">
      <w:pPr>
        <w:spacing w:line="360" w:lineRule="auto"/>
        <w:rPr>
          <w:rFonts w:asciiTheme="minorHAnsi" w:eastAsia="ITC Avant Garde" w:hAnsiTheme="minorHAnsi" w:cstheme="minorHAnsi"/>
          <w:sz w:val="24"/>
          <w:szCs w:val="24"/>
          <w:lang w:val="es-ES"/>
        </w:rPr>
      </w:pPr>
    </w:p>
    <w:tbl>
      <w:tblPr>
        <w:tblStyle w:val="Tablaconcuadrcula"/>
        <w:tblW w:w="0" w:type="auto"/>
        <w:jc w:val="center"/>
        <w:tblLook w:val="04A0" w:firstRow="1" w:lastRow="0" w:firstColumn="1" w:lastColumn="0" w:noHBand="0" w:noVBand="1"/>
      </w:tblPr>
      <w:tblGrid>
        <w:gridCol w:w="2410"/>
        <w:gridCol w:w="5523"/>
      </w:tblGrid>
      <w:tr w:rsidR="006254F5" w14:paraId="27D72D1F" w14:textId="77777777" w:rsidTr="008934DC">
        <w:trPr>
          <w:jc w:val="center"/>
        </w:trPr>
        <w:tc>
          <w:tcPr>
            <w:tcW w:w="2410" w:type="dxa"/>
            <w:tcBorders>
              <w:bottom w:val="single" w:sz="4" w:space="0" w:color="auto"/>
            </w:tcBorders>
          </w:tcPr>
          <w:p w14:paraId="15021326" w14:textId="77777777" w:rsidR="006254F5" w:rsidRPr="00B75B2D" w:rsidRDefault="006254F5" w:rsidP="008934DC">
            <w:pPr>
              <w:spacing w:line="276" w:lineRule="auto"/>
              <w:jc w:val="center"/>
              <w:rPr>
                <w:rFonts w:eastAsia="ITC Avant Garde" w:cstheme="minorHAnsi"/>
                <w:b/>
                <w:bCs/>
                <w:sz w:val="24"/>
                <w:szCs w:val="24"/>
                <w:lang w:val="es-ES"/>
              </w:rPr>
            </w:pPr>
            <w:proofErr w:type="gramStart"/>
            <w:r w:rsidRPr="00B75B2D">
              <w:rPr>
                <w:rFonts w:eastAsia="ITC Avant Garde" w:cstheme="minorHAnsi"/>
                <w:b/>
                <w:bCs/>
                <w:lang w:val="es-ES"/>
              </w:rPr>
              <w:t>CLUSTER</w:t>
            </w:r>
            <w:proofErr w:type="gramEnd"/>
            <w:r w:rsidRPr="00B75B2D">
              <w:rPr>
                <w:rFonts w:eastAsia="ITC Avant Garde" w:cstheme="minorHAnsi"/>
                <w:b/>
                <w:bCs/>
                <w:lang w:val="es-ES"/>
              </w:rPr>
              <w:t xml:space="preserve"> DE INTERVENCIONES REGULATORIAS</w:t>
            </w:r>
          </w:p>
        </w:tc>
        <w:tc>
          <w:tcPr>
            <w:tcW w:w="5523" w:type="dxa"/>
          </w:tcPr>
          <w:p w14:paraId="0BA5610A" w14:textId="77777777" w:rsidR="006254F5" w:rsidRDefault="006254F5" w:rsidP="008934DC">
            <w:pPr>
              <w:spacing w:line="276" w:lineRule="auto"/>
              <w:jc w:val="center"/>
              <w:rPr>
                <w:rFonts w:eastAsia="ITC Avant Garde" w:cstheme="minorHAnsi"/>
                <w:b/>
                <w:bCs/>
                <w:lang w:val="es-ES"/>
              </w:rPr>
            </w:pPr>
          </w:p>
          <w:p w14:paraId="62887401" w14:textId="77777777" w:rsidR="006254F5" w:rsidRPr="00B75B2D" w:rsidRDefault="006254F5" w:rsidP="008934DC">
            <w:pPr>
              <w:spacing w:line="276" w:lineRule="auto"/>
              <w:jc w:val="center"/>
              <w:rPr>
                <w:rFonts w:eastAsia="ITC Avant Garde" w:cstheme="minorHAnsi"/>
                <w:b/>
                <w:bCs/>
                <w:sz w:val="24"/>
                <w:szCs w:val="24"/>
                <w:lang w:val="es-ES"/>
              </w:rPr>
            </w:pPr>
            <w:r w:rsidRPr="00B75B2D">
              <w:rPr>
                <w:rFonts w:eastAsia="ITC Avant Garde" w:cstheme="minorHAnsi"/>
                <w:b/>
                <w:bCs/>
                <w:lang w:val="es-ES"/>
              </w:rPr>
              <w:t>BUENA PRACTICA IDENTIFICADA</w:t>
            </w:r>
          </w:p>
        </w:tc>
      </w:tr>
      <w:tr w:rsidR="006254F5" w14:paraId="00FED8C0" w14:textId="77777777" w:rsidTr="008934DC">
        <w:trPr>
          <w:jc w:val="center"/>
        </w:trPr>
        <w:tc>
          <w:tcPr>
            <w:tcW w:w="2410" w:type="dxa"/>
            <w:tcBorders>
              <w:top w:val="single" w:sz="4" w:space="0" w:color="auto"/>
              <w:left w:val="single" w:sz="4" w:space="0" w:color="auto"/>
              <w:bottom w:val="nil"/>
              <w:right w:val="single" w:sz="4" w:space="0" w:color="auto"/>
            </w:tcBorders>
          </w:tcPr>
          <w:p w14:paraId="04EAC12D" w14:textId="77777777" w:rsidR="006254F5" w:rsidRPr="00B75B2D" w:rsidRDefault="006254F5" w:rsidP="008934DC">
            <w:pPr>
              <w:spacing w:line="276" w:lineRule="auto"/>
              <w:jc w:val="center"/>
              <w:rPr>
                <w:rFonts w:eastAsia="ITC Avant Garde" w:cstheme="minorHAnsi"/>
                <w:b/>
                <w:bCs/>
                <w:lang w:val="es-ES"/>
              </w:rPr>
            </w:pPr>
          </w:p>
        </w:tc>
        <w:tc>
          <w:tcPr>
            <w:tcW w:w="5523" w:type="dxa"/>
            <w:tcBorders>
              <w:left w:val="single" w:sz="4" w:space="0" w:color="auto"/>
            </w:tcBorders>
          </w:tcPr>
          <w:p w14:paraId="3D0196B1" w14:textId="77777777" w:rsidR="006254F5" w:rsidRDefault="006254F5" w:rsidP="008934DC">
            <w:pPr>
              <w:spacing w:line="276" w:lineRule="auto"/>
              <w:jc w:val="both"/>
              <w:rPr>
                <w:rFonts w:eastAsia="ITC Avant Garde" w:cstheme="minorHAnsi"/>
                <w:b/>
                <w:bCs/>
                <w:lang w:val="es-ES"/>
              </w:rPr>
            </w:pPr>
            <w:r w:rsidRPr="000C734D">
              <w:rPr>
                <w:rFonts w:eastAsia="ITC Avant Garde" w:cstheme="minorHAnsi"/>
                <w:lang w:val="es-ES"/>
              </w:rPr>
              <w:t>Enfoque granular</w:t>
            </w:r>
          </w:p>
        </w:tc>
      </w:tr>
      <w:tr w:rsidR="006254F5" w14:paraId="52E92F2B" w14:textId="77777777" w:rsidTr="008934DC">
        <w:trPr>
          <w:jc w:val="center"/>
        </w:trPr>
        <w:tc>
          <w:tcPr>
            <w:tcW w:w="2410" w:type="dxa"/>
            <w:tcBorders>
              <w:top w:val="nil"/>
              <w:left w:val="single" w:sz="4" w:space="0" w:color="auto"/>
              <w:bottom w:val="nil"/>
              <w:right w:val="single" w:sz="4" w:space="0" w:color="auto"/>
            </w:tcBorders>
          </w:tcPr>
          <w:p w14:paraId="4BCDE610" w14:textId="77777777" w:rsidR="006254F5" w:rsidRPr="00B75B2D" w:rsidRDefault="006254F5" w:rsidP="008934DC">
            <w:pPr>
              <w:spacing w:line="276" w:lineRule="auto"/>
              <w:jc w:val="center"/>
              <w:rPr>
                <w:rFonts w:eastAsia="ITC Avant Garde" w:cstheme="minorHAnsi"/>
                <w:b/>
                <w:bCs/>
                <w:lang w:val="es-ES"/>
              </w:rPr>
            </w:pPr>
            <w:r>
              <w:rPr>
                <w:rFonts w:eastAsia="ITC Avant Garde" w:cstheme="minorHAnsi"/>
                <w:b/>
                <w:bCs/>
                <w:lang w:val="es-ES"/>
              </w:rPr>
              <w:t>Otorgamiento de concesiones</w:t>
            </w:r>
          </w:p>
        </w:tc>
        <w:tc>
          <w:tcPr>
            <w:tcW w:w="5523" w:type="dxa"/>
            <w:tcBorders>
              <w:left w:val="single" w:sz="4" w:space="0" w:color="auto"/>
            </w:tcBorders>
          </w:tcPr>
          <w:p w14:paraId="34FFC304" w14:textId="77777777" w:rsidR="006254F5" w:rsidRPr="000C734D" w:rsidRDefault="006254F5" w:rsidP="008934DC">
            <w:pPr>
              <w:spacing w:line="276" w:lineRule="auto"/>
              <w:jc w:val="both"/>
              <w:rPr>
                <w:rFonts w:eastAsia="ITC Avant Garde" w:cstheme="minorHAnsi"/>
                <w:lang w:val="es-ES"/>
              </w:rPr>
            </w:pPr>
            <w:r w:rsidRPr="00C831FF">
              <w:rPr>
                <w:rFonts w:eastAsia="ITC Avant Garde" w:cstheme="minorHAnsi"/>
                <w:lang w:val="es-ES"/>
              </w:rPr>
              <w:t>Exención de concesión para redes privadas y sin fines de lucro</w:t>
            </w:r>
          </w:p>
        </w:tc>
      </w:tr>
      <w:tr w:rsidR="006254F5" w14:paraId="4CADDDAA" w14:textId="77777777" w:rsidTr="008934DC">
        <w:trPr>
          <w:jc w:val="center"/>
        </w:trPr>
        <w:tc>
          <w:tcPr>
            <w:tcW w:w="2410" w:type="dxa"/>
            <w:tcBorders>
              <w:top w:val="nil"/>
              <w:left w:val="single" w:sz="4" w:space="0" w:color="auto"/>
              <w:bottom w:val="nil"/>
              <w:right w:val="single" w:sz="4" w:space="0" w:color="auto"/>
            </w:tcBorders>
          </w:tcPr>
          <w:p w14:paraId="56C35FBC" w14:textId="77777777" w:rsidR="006254F5" w:rsidRPr="00B75B2D" w:rsidRDefault="006254F5" w:rsidP="008934DC">
            <w:pPr>
              <w:spacing w:line="276" w:lineRule="auto"/>
              <w:jc w:val="center"/>
              <w:rPr>
                <w:rFonts w:eastAsia="ITC Avant Garde" w:cstheme="minorHAnsi"/>
                <w:b/>
                <w:bCs/>
                <w:lang w:val="es-ES"/>
              </w:rPr>
            </w:pPr>
          </w:p>
        </w:tc>
        <w:tc>
          <w:tcPr>
            <w:tcW w:w="5523" w:type="dxa"/>
            <w:tcBorders>
              <w:left w:val="single" w:sz="4" w:space="0" w:color="auto"/>
            </w:tcBorders>
          </w:tcPr>
          <w:p w14:paraId="203C8458" w14:textId="77777777" w:rsidR="006254F5" w:rsidRPr="00C831FF" w:rsidRDefault="006254F5" w:rsidP="008934DC">
            <w:pPr>
              <w:spacing w:line="276" w:lineRule="auto"/>
              <w:jc w:val="both"/>
              <w:rPr>
                <w:rFonts w:eastAsia="ITC Avant Garde" w:cstheme="minorHAnsi"/>
                <w:lang w:val="es-ES"/>
              </w:rPr>
            </w:pPr>
            <w:r w:rsidRPr="00C831FF">
              <w:rPr>
                <w:rFonts w:eastAsia="ITC Avant Garde" w:cstheme="minorHAnsi"/>
                <w:lang w:val="es-ES"/>
              </w:rPr>
              <w:t>Crear concesiones específicas para redes comunitarias o incluirlas en las exenciones</w:t>
            </w:r>
          </w:p>
        </w:tc>
      </w:tr>
      <w:tr w:rsidR="006254F5" w14:paraId="229781A9" w14:textId="77777777" w:rsidTr="008934DC">
        <w:trPr>
          <w:jc w:val="center"/>
        </w:trPr>
        <w:tc>
          <w:tcPr>
            <w:tcW w:w="2410" w:type="dxa"/>
            <w:tcBorders>
              <w:top w:val="nil"/>
              <w:left w:val="single" w:sz="4" w:space="0" w:color="auto"/>
              <w:bottom w:val="single" w:sz="4" w:space="0" w:color="auto"/>
              <w:right w:val="single" w:sz="4" w:space="0" w:color="auto"/>
            </w:tcBorders>
          </w:tcPr>
          <w:p w14:paraId="451D975A" w14:textId="77777777" w:rsidR="006254F5" w:rsidRPr="00B75B2D" w:rsidRDefault="006254F5" w:rsidP="008934DC">
            <w:pPr>
              <w:spacing w:line="276" w:lineRule="auto"/>
              <w:jc w:val="center"/>
              <w:rPr>
                <w:rFonts w:eastAsia="ITC Avant Garde" w:cstheme="minorHAnsi"/>
                <w:b/>
                <w:bCs/>
                <w:lang w:val="es-ES"/>
              </w:rPr>
            </w:pPr>
          </w:p>
        </w:tc>
        <w:tc>
          <w:tcPr>
            <w:tcW w:w="5523" w:type="dxa"/>
            <w:tcBorders>
              <w:left w:val="single" w:sz="4" w:space="0" w:color="auto"/>
            </w:tcBorders>
          </w:tcPr>
          <w:p w14:paraId="1B44344F" w14:textId="77777777" w:rsidR="006254F5" w:rsidRPr="00C831FF" w:rsidRDefault="006254F5" w:rsidP="008934DC">
            <w:pPr>
              <w:spacing w:line="276" w:lineRule="auto"/>
              <w:jc w:val="both"/>
              <w:rPr>
                <w:rFonts w:eastAsia="ITC Avant Garde" w:cstheme="minorHAnsi"/>
                <w:lang w:val="es-ES"/>
              </w:rPr>
            </w:pPr>
            <w:r w:rsidRPr="00C831FF">
              <w:rPr>
                <w:rFonts w:eastAsia="ITC Avant Garde" w:cstheme="minorHAnsi"/>
                <w:lang w:val="es-ES"/>
              </w:rPr>
              <w:t>Sistema simplificado de notificación o autorización</w:t>
            </w:r>
          </w:p>
        </w:tc>
      </w:tr>
      <w:tr w:rsidR="006254F5" w14:paraId="15CDFF34" w14:textId="77777777" w:rsidTr="008934DC">
        <w:trPr>
          <w:jc w:val="center"/>
        </w:trPr>
        <w:tc>
          <w:tcPr>
            <w:tcW w:w="2410" w:type="dxa"/>
            <w:tcBorders>
              <w:top w:val="single" w:sz="4" w:space="0" w:color="auto"/>
              <w:left w:val="single" w:sz="4" w:space="0" w:color="auto"/>
              <w:bottom w:val="nil"/>
              <w:right w:val="single" w:sz="4" w:space="0" w:color="auto"/>
            </w:tcBorders>
          </w:tcPr>
          <w:p w14:paraId="2955E465" w14:textId="77777777" w:rsidR="006254F5" w:rsidRPr="00B75B2D" w:rsidRDefault="006254F5" w:rsidP="008934DC">
            <w:pPr>
              <w:spacing w:line="276" w:lineRule="auto"/>
              <w:jc w:val="center"/>
              <w:rPr>
                <w:rFonts w:eastAsia="ITC Avant Garde" w:cstheme="minorHAnsi"/>
                <w:b/>
                <w:bCs/>
                <w:lang w:val="es-ES"/>
              </w:rPr>
            </w:pPr>
          </w:p>
        </w:tc>
        <w:tc>
          <w:tcPr>
            <w:tcW w:w="5523" w:type="dxa"/>
            <w:tcBorders>
              <w:left w:val="single" w:sz="4" w:space="0" w:color="auto"/>
            </w:tcBorders>
          </w:tcPr>
          <w:p w14:paraId="5F27D2C7" w14:textId="77777777" w:rsidR="006254F5" w:rsidRPr="00C831FF" w:rsidRDefault="006254F5" w:rsidP="008934DC">
            <w:pPr>
              <w:spacing w:line="276" w:lineRule="auto"/>
              <w:rPr>
                <w:rFonts w:eastAsia="ITC Avant Garde" w:cstheme="minorHAnsi"/>
                <w:lang w:val="es-ES"/>
              </w:rPr>
            </w:pPr>
            <w:r w:rsidRPr="000C734D">
              <w:rPr>
                <w:rFonts w:eastAsia="ITC Avant Garde" w:cstheme="minorHAnsi"/>
                <w:lang w:val="es-ES"/>
              </w:rPr>
              <w:t>Hacer disponible más espectro de uso libre</w:t>
            </w:r>
          </w:p>
        </w:tc>
      </w:tr>
      <w:tr w:rsidR="006254F5" w14:paraId="309582CD" w14:textId="77777777" w:rsidTr="008934DC">
        <w:trPr>
          <w:jc w:val="center"/>
        </w:trPr>
        <w:tc>
          <w:tcPr>
            <w:tcW w:w="2410" w:type="dxa"/>
            <w:tcBorders>
              <w:top w:val="nil"/>
              <w:left w:val="single" w:sz="4" w:space="0" w:color="auto"/>
              <w:bottom w:val="nil"/>
              <w:right w:val="single" w:sz="4" w:space="0" w:color="auto"/>
            </w:tcBorders>
          </w:tcPr>
          <w:p w14:paraId="1AC41861" w14:textId="77777777" w:rsidR="006254F5" w:rsidRPr="00B75B2D" w:rsidRDefault="006254F5" w:rsidP="008934DC">
            <w:pPr>
              <w:spacing w:line="276" w:lineRule="auto"/>
              <w:jc w:val="center"/>
              <w:rPr>
                <w:rFonts w:eastAsia="ITC Avant Garde" w:cstheme="minorHAnsi"/>
                <w:b/>
                <w:bCs/>
                <w:lang w:val="es-ES"/>
              </w:rPr>
            </w:pPr>
            <w:r>
              <w:rPr>
                <w:rFonts w:eastAsia="ITC Avant Garde" w:cstheme="minorHAnsi"/>
                <w:b/>
                <w:bCs/>
                <w:lang w:val="es-ES"/>
              </w:rPr>
              <w:t>Concesionamiento de espectro y tarifas</w:t>
            </w:r>
          </w:p>
        </w:tc>
        <w:tc>
          <w:tcPr>
            <w:tcW w:w="5523" w:type="dxa"/>
            <w:tcBorders>
              <w:left w:val="single" w:sz="4" w:space="0" w:color="auto"/>
            </w:tcBorders>
          </w:tcPr>
          <w:p w14:paraId="6FE7F456" w14:textId="77777777" w:rsidR="006254F5" w:rsidRPr="00C831FF" w:rsidRDefault="006254F5" w:rsidP="008934DC">
            <w:pPr>
              <w:spacing w:line="276" w:lineRule="auto"/>
              <w:rPr>
                <w:rFonts w:eastAsia="ITC Avant Garde" w:cstheme="minorHAnsi"/>
                <w:lang w:val="es-ES"/>
              </w:rPr>
            </w:pPr>
            <w:r w:rsidRPr="00C831FF">
              <w:rPr>
                <w:rFonts w:eastAsia="ITC Avant Garde" w:cstheme="minorHAnsi"/>
                <w:lang w:val="es-ES"/>
              </w:rPr>
              <w:t>Separar espectro IMT para la conectividad en zonas rurales y establecer un sistema “úsalo o compártelo” para las concesiones IMT</w:t>
            </w:r>
          </w:p>
        </w:tc>
      </w:tr>
      <w:tr w:rsidR="006254F5" w14:paraId="37AAEE26" w14:textId="77777777" w:rsidTr="008934DC">
        <w:trPr>
          <w:jc w:val="center"/>
        </w:trPr>
        <w:tc>
          <w:tcPr>
            <w:tcW w:w="2410" w:type="dxa"/>
            <w:tcBorders>
              <w:top w:val="nil"/>
              <w:left w:val="single" w:sz="4" w:space="0" w:color="auto"/>
              <w:bottom w:val="single" w:sz="4" w:space="0" w:color="auto"/>
              <w:right w:val="single" w:sz="4" w:space="0" w:color="auto"/>
            </w:tcBorders>
          </w:tcPr>
          <w:p w14:paraId="72C7BA2D" w14:textId="77777777" w:rsidR="006254F5" w:rsidRPr="00B75B2D" w:rsidRDefault="006254F5" w:rsidP="008934DC">
            <w:pPr>
              <w:spacing w:line="276" w:lineRule="auto"/>
              <w:jc w:val="center"/>
              <w:rPr>
                <w:rFonts w:eastAsia="ITC Avant Garde" w:cstheme="minorHAnsi"/>
                <w:b/>
                <w:bCs/>
                <w:lang w:val="es-ES"/>
              </w:rPr>
            </w:pPr>
          </w:p>
        </w:tc>
        <w:tc>
          <w:tcPr>
            <w:tcW w:w="5523" w:type="dxa"/>
            <w:tcBorders>
              <w:left w:val="single" w:sz="4" w:space="0" w:color="auto"/>
            </w:tcBorders>
          </w:tcPr>
          <w:p w14:paraId="733E4A07" w14:textId="77777777" w:rsidR="006254F5" w:rsidRPr="00C831FF" w:rsidRDefault="006254F5" w:rsidP="008934DC">
            <w:pPr>
              <w:spacing w:line="276" w:lineRule="auto"/>
              <w:rPr>
                <w:rFonts w:eastAsia="ITC Avant Garde" w:cstheme="minorHAnsi"/>
                <w:lang w:val="es-ES"/>
              </w:rPr>
            </w:pPr>
            <w:r w:rsidRPr="00C831FF">
              <w:rPr>
                <w:rFonts w:eastAsia="ITC Avant Garde" w:cstheme="minorHAnsi"/>
                <w:lang w:val="es-ES"/>
              </w:rPr>
              <w:t>Implementar regulación para la compartición de espectro dinámico e implementar una regulación ligera para microondas</w:t>
            </w:r>
          </w:p>
        </w:tc>
      </w:tr>
      <w:tr w:rsidR="006254F5" w14:paraId="065A059A" w14:textId="77777777" w:rsidTr="008934DC">
        <w:trPr>
          <w:jc w:val="center"/>
        </w:trPr>
        <w:tc>
          <w:tcPr>
            <w:tcW w:w="2410" w:type="dxa"/>
            <w:tcBorders>
              <w:top w:val="single" w:sz="4" w:space="0" w:color="auto"/>
              <w:left w:val="single" w:sz="4" w:space="0" w:color="auto"/>
              <w:bottom w:val="single" w:sz="4" w:space="0" w:color="auto"/>
              <w:right w:val="single" w:sz="4" w:space="0" w:color="auto"/>
            </w:tcBorders>
          </w:tcPr>
          <w:p w14:paraId="337EE82B" w14:textId="77777777" w:rsidR="006254F5" w:rsidRPr="00B75B2D" w:rsidRDefault="006254F5" w:rsidP="008934DC">
            <w:pPr>
              <w:spacing w:line="276" w:lineRule="auto"/>
              <w:jc w:val="center"/>
              <w:rPr>
                <w:rFonts w:eastAsia="ITC Avant Garde" w:cstheme="minorHAnsi"/>
                <w:b/>
                <w:bCs/>
                <w:lang w:val="es-ES"/>
              </w:rPr>
            </w:pPr>
            <w:r w:rsidRPr="00B75B2D">
              <w:rPr>
                <w:rFonts w:eastAsia="ITC Avant Garde" w:cstheme="minorHAnsi"/>
                <w:b/>
                <w:bCs/>
                <w:lang w:val="es-ES"/>
              </w:rPr>
              <w:t xml:space="preserve">Infraestructuras de Red dorsal y </w:t>
            </w:r>
            <w:proofErr w:type="spellStart"/>
            <w:r w:rsidRPr="00B75B2D">
              <w:rPr>
                <w:rFonts w:eastAsia="ITC Avant Garde" w:cstheme="minorHAnsi"/>
                <w:b/>
                <w:bCs/>
                <w:lang w:val="es-ES"/>
              </w:rPr>
              <w:t>backhaul</w:t>
            </w:r>
            <w:proofErr w:type="spellEnd"/>
          </w:p>
        </w:tc>
        <w:tc>
          <w:tcPr>
            <w:tcW w:w="5523" w:type="dxa"/>
            <w:tcBorders>
              <w:left w:val="single" w:sz="4" w:space="0" w:color="auto"/>
            </w:tcBorders>
          </w:tcPr>
          <w:p w14:paraId="269D9496" w14:textId="77777777" w:rsidR="006254F5" w:rsidRPr="00C831FF" w:rsidRDefault="006254F5" w:rsidP="008934DC">
            <w:pPr>
              <w:spacing w:line="276" w:lineRule="auto"/>
              <w:rPr>
                <w:rFonts w:eastAsia="ITC Avant Garde" w:cstheme="minorHAnsi"/>
                <w:lang w:val="es-ES"/>
              </w:rPr>
            </w:pPr>
            <w:r w:rsidRPr="000C734D">
              <w:rPr>
                <w:rFonts w:eastAsia="ITC Avant Garde" w:cstheme="minorHAnsi"/>
                <w:lang w:val="es-ES"/>
              </w:rPr>
              <w:t xml:space="preserve">Asegurar la viabilidad de operadores locales a través de mecanismos abiertos para el acceso a redes dorsales, </w:t>
            </w:r>
            <w:proofErr w:type="spellStart"/>
            <w:r w:rsidRPr="000C734D">
              <w:rPr>
                <w:rFonts w:eastAsia="ITC Avant Garde" w:cstheme="minorHAnsi"/>
                <w:lang w:val="es-ES"/>
              </w:rPr>
              <w:t>backhaul</w:t>
            </w:r>
            <w:proofErr w:type="spellEnd"/>
            <w:r w:rsidRPr="000C734D">
              <w:rPr>
                <w:rFonts w:eastAsia="ITC Avant Garde" w:cstheme="minorHAnsi"/>
                <w:lang w:val="es-ES"/>
              </w:rPr>
              <w:t xml:space="preserve"> e interconexión de manera predecible y asequible</w:t>
            </w:r>
          </w:p>
        </w:tc>
      </w:tr>
      <w:tr w:rsidR="006254F5" w14:paraId="2A7ACA92" w14:textId="77777777" w:rsidTr="008934DC">
        <w:trPr>
          <w:jc w:val="center"/>
        </w:trPr>
        <w:tc>
          <w:tcPr>
            <w:tcW w:w="2410" w:type="dxa"/>
            <w:tcBorders>
              <w:top w:val="single" w:sz="4" w:space="0" w:color="auto"/>
              <w:left w:val="single" w:sz="4" w:space="0" w:color="auto"/>
              <w:bottom w:val="nil"/>
              <w:right w:val="single" w:sz="4" w:space="0" w:color="auto"/>
            </w:tcBorders>
          </w:tcPr>
          <w:p w14:paraId="4695A6E2" w14:textId="77777777" w:rsidR="006254F5" w:rsidRPr="000C734D" w:rsidRDefault="006254F5" w:rsidP="008934DC">
            <w:pPr>
              <w:spacing w:line="276" w:lineRule="auto"/>
              <w:jc w:val="center"/>
              <w:rPr>
                <w:rFonts w:eastAsia="ITC Avant Garde" w:cstheme="minorHAnsi"/>
                <w:lang w:val="es-ES"/>
              </w:rPr>
            </w:pPr>
          </w:p>
        </w:tc>
        <w:tc>
          <w:tcPr>
            <w:tcW w:w="5523" w:type="dxa"/>
            <w:tcBorders>
              <w:left w:val="single" w:sz="4" w:space="0" w:color="auto"/>
            </w:tcBorders>
          </w:tcPr>
          <w:p w14:paraId="762FFFF1" w14:textId="77777777" w:rsidR="006254F5" w:rsidRPr="000C734D" w:rsidRDefault="006254F5" w:rsidP="008934DC">
            <w:pPr>
              <w:spacing w:line="276" w:lineRule="auto"/>
              <w:rPr>
                <w:rFonts w:eastAsia="ITC Avant Garde" w:cstheme="minorHAnsi"/>
                <w:lang w:val="es-ES"/>
              </w:rPr>
            </w:pPr>
            <w:r w:rsidRPr="000C734D">
              <w:rPr>
                <w:rFonts w:eastAsia="ITC Avant Garde" w:cstheme="minorHAnsi"/>
                <w:lang w:val="es-ES"/>
              </w:rPr>
              <w:t>Subsidios no recuperables, contribuciones no reembolsables por parte de las administraciones públicas</w:t>
            </w:r>
          </w:p>
        </w:tc>
      </w:tr>
      <w:tr w:rsidR="006254F5" w14:paraId="08D6A5B8" w14:textId="77777777" w:rsidTr="008934DC">
        <w:trPr>
          <w:jc w:val="center"/>
        </w:trPr>
        <w:tc>
          <w:tcPr>
            <w:tcW w:w="2410" w:type="dxa"/>
            <w:tcBorders>
              <w:top w:val="nil"/>
              <w:left w:val="single" w:sz="4" w:space="0" w:color="auto"/>
              <w:bottom w:val="nil"/>
              <w:right w:val="single" w:sz="4" w:space="0" w:color="auto"/>
            </w:tcBorders>
          </w:tcPr>
          <w:p w14:paraId="43BA0CFE" w14:textId="77777777" w:rsidR="006254F5" w:rsidRPr="00B75B2D" w:rsidRDefault="006254F5" w:rsidP="008934DC">
            <w:pPr>
              <w:spacing w:line="276" w:lineRule="auto"/>
              <w:jc w:val="center"/>
              <w:rPr>
                <w:rFonts w:eastAsia="ITC Avant Garde" w:cstheme="minorHAnsi"/>
                <w:b/>
                <w:bCs/>
                <w:lang w:val="es-ES"/>
              </w:rPr>
            </w:pPr>
            <w:r w:rsidRPr="00B75B2D">
              <w:rPr>
                <w:rFonts w:eastAsia="ITC Avant Garde" w:cstheme="minorHAnsi"/>
                <w:b/>
                <w:bCs/>
                <w:lang w:val="es-ES"/>
              </w:rPr>
              <w:t>Apoyo financiero</w:t>
            </w:r>
          </w:p>
        </w:tc>
        <w:tc>
          <w:tcPr>
            <w:tcW w:w="5523" w:type="dxa"/>
            <w:tcBorders>
              <w:left w:val="single" w:sz="4" w:space="0" w:color="auto"/>
            </w:tcBorders>
          </w:tcPr>
          <w:p w14:paraId="539150D4" w14:textId="77777777" w:rsidR="006254F5" w:rsidRPr="000C734D" w:rsidRDefault="006254F5" w:rsidP="008934DC">
            <w:pPr>
              <w:spacing w:line="276" w:lineRule="auto"/>
              <w:rPr>
                <w:rFonts w:eastAsia="ITC Avant Garde" w:cstheme="minorHAnsi"/>
                <w:lang w:val="es-ES"/>
              </w:rPr>
            </w:pPr>
            <w:r w:rsidRPr="00C831FF">
              <w:rPr>
                <w:rFonts w:eastAsia="ITC Avant Garde" w:cstheme="minorHAnsi"/>
                <w:lang w:val="es-ES"/>
              </w:rPr>
              <w:t>Deducciones fiscales por donaciones económicas para infraestructura de interés público</w:t>
            </w:r>
          </w:p>
        </w:tc>
      </w:tr>
      <w:tr w:rsidR="006254F5" w14:paraId="0B1C8525" w14:textId="77777777" w:rsidTr="008934DC">
        <w:trPr>
          <w:jc w:val="center"/>
        </w:trPr>
        <w:tc>
          <w:tcPr>
            <w:tcW w:w="2410" w:type="dxa"/>
            <w:tcBorders>
              <w:top w:val="nil"/>
              <w:left w:val="single" w:sz="4" w:space="0" w:color="auto"/>
              <w:bottom w:val="nil"/>
              <w:right w:val="single" w:sz="4" w:space="0" w:color="auto"/>
            </w:tcBorders>
          </w:tcPr>
          <w:p w14:paraId="2DA02902" w14:textId="77777777" w:rsidR="006254F5" w:rsidRPr="000C734D" w:rsidRDefault="006254F5" w:rsidP="008934DC">
            <w:pPr>
              <w:spacing w:line="276" w:lineRule="auto"/>
              <w:jc w:val="center"/>
              <w:rPr>
                <w:rFonts w:eastAsia="ITC Avant Garde" w:cstheme="minorHAnsi"/>
                <w:lang w:val="es-ES"/>
              </w:rPr>
            </w:pPr>
          </w:p>
        </w:tc>
        <w:tc>
          <w:tcPr>
            <w:tcW w:w="5523" w:type="dxa"/>
            <w:tcBorders>
              <w:left w:val="single" w:sz="4" w:space="0" w:color="auto"/>
            </w:tcBorders>
          </w:tcPr>
          <w:p w14:paraId="74520F29" w14:textId="77777777" w:rsidR="006254F5" w:rsidRPr="000C734D" w:rsidRDefault="006254F5" w:rsidP="008934DC">
            <w:pPr>
              <w:spacing w:line="276" w:lineRule="auto"/>
              <w:rPr>
                <w:rFonts w:eastAsia="ITC Avant Garde" w:cstheme="minorHAnsi"/>
                <w:lang w:val="es-ES"/>
              </w:rPr>
            </w:pPr>
            <w:r w:rsidRPr="00C831FF">
              <w:rPr>
                <w:rFonts w:eastAsia="ITC Avant Garde" w:cstheme="minorHAnsi"/>
                <w:lang w:val="es-ES"/>
              </w:rPr>
              <w:t>Administraciones públicas que financien los despliegues iniciales</w:t>
            </w:r>
          </w:p>
        </w:tc>
      </w:tr>
      <w:tr w:rsidR="006254F5" w14:paraId="074C4C93" w14:textId="77777777" w:rsidTr="008934DC">
        <w:trPr>
          <w:jc w:val="center"/>
        </w:trPr>
        <w:tc>
          <w:tcPr>
            <w:tcW w:w="2410" w:type="dxa"/>
            <w:tcBorders>
              <w:top w:val="nil"/>
              <w:left w:val="single" w:sz="4" w:space="0" w:color="auto"/>
              <w:bottom w:val="single" w:sz="4" w:space="0" w:color="auto"/>
              <w:right w:val="single" w:sz="4" w:space="0" w:color="auto"/>
            </w:tcBorders>
          </w:tcPr>
          <w:p w14:paraId="602C899F" w14:textId="77777777" w:rsidR="006254F5" w:rsidRPr="000C734D" w:rsidRDefault="006254F5" w:rsidP="008934DC">
            <w:pPr>
              <w:spacing w:line="276" w:lineRule="auto"/>
              <w:jc w:val="center"/>
              <w:rPr>
                <w:rFonts w:eastAsia="ITC Avant Garde" w:cstheme="minorHAnsi"/>
                <w:lang w:val="es-ES"/>
              </w:rPr>
            </w:pPr>
          </w:p>
        </w:tc>
        <w:tc>
          <w:tcPr>
            <w:tcW w:w="5523" w:type="dxa"/>
            <w:tcBorders>
              <w:left w:val="single" w:sz="4" w:space="0" w:color="auto"/>
            </w:tcBorders>
          </w:tcPr>
          <w:p w14:paraId="27A886E8" w14:textId="77777777" w:rsidR="006254F5" w:rsidRPr="000C734D" w:rsidRDefault="006254F5" w:rsidP="008934DC">
            <w:pPr>
              <w:spacing w:line="276" w:lineRule="auto"/>
              <w:rPr>
                <w:rFonts w:eastAsia="ITC Avant Garde" w:cstheme="minorHAnsi"/>
                <w:lang w:val="es-ES"/>
              </w:rPr>
            </w:pPr>
            <w:r w:rsidRPr="00C831FF">
              <w:rPr>
                <w:rFonts w:eastAsia="ITC Avant Garde" w:cstheme="minorHAnsi"/>
                <w:lang w:val="es-ES"/>
              </w:rPr>
              <w:t>Banca pública y mayoreo global, regional y nacional</w:t>
            </w:r>
          </w:p>
        </w:tc>
      </w:tr>
      <w:tr w:rsidR="006254F5" w14:paraId="5B79D16C" w14:textId="77777777" w:rsidTr="008934DC">
        <w:trPr>
          <w:jc w:val="center"/>
        </w:trPr>
        <w:tc>
          <w:tcPr>
            <w:tcW w:w="2410" w:type="dxa"/>
            <w:tcBorders>
              <w:top w:val="single" w:sz="4" w:space="0" w:color="auto"/>
              <w:left w:val="single" w:sz="4" w:space="0" w:color="auto"/>
              <w:bottom w:val="nil"/>
              <w:right w:val="single" w:sz="4" w:space="0" w:color="auto"/>
            </w:tcBorders>
          </w:tcPr>
          <w:p w14:paraId="15225229" w14:textId="77777777" w:rsidR="006254F5" w:rsidRPr="000C734D" w:rsidRDefault="006254F5" w:rsidP="008934DC">
            <w:pPr>
              <w:spacing w:line="276" w:lineRule="auto"/>
              <w:jc w:val="center"/>
              <w:rPr>
                <w:rFonts w:eastAsia="ITC Avant Garde" w:cstheme="minorHAnsi"/>
                <w:lang w:val="es-ES"/>
              </w:rPr>
            </w:pPr>
          </w:p>
        </w:tc>
        <w:tc>
          <w:tcPr>
            <w:tcW w:w="5523" w:type="dxa"/>
            <w:tcBorders>
              <w:left w:val="single" w:sz="4" w:space="0" w:color="auto"/>
            </w:tcBorders>
          </w:tcPr>
          <w:p w14:paraId="60B6AF8E" w14:textId="77777777" w:rsidR="006254F5" w:rsidRPr="00C831FF" w:rsidRDefault="006254F5" w:rsidP="008934DC">
            <w:pPr>
              <w:spacing w:line="276" w:lineRule="auto"/>
              <w:rPr>
                <w:rFonts w:eastAsia="ITC Avant Garde" w:cstheme="minorHAnsi"/>
                <w:lang w:val="es-ES"/>
              </w:rPr>
            </w:pPr>
            <w:r w:rsidRPr="000C734D">
              <w:rPr>
                <w:rFonts w:eastAsia="ITC Avant Garde" w:cstheme="minorHAnsi"/>
                <w:lang w:val="es-ES"/>
              </w:rPr>
              <w:t>Estandarizar la buena práctica de hacer pública la información de la infraestructura de torres y radios en operación</w:t>
            </w:r>
          </w:p>
        </w:tc>
      </w:tr>
      <w:tr w:rsidR="006254F5" w14:paraId="02B72834" w14:textId="77777777" w:rsidTr="008934DC">
        <w:trPr>
          <w:jc w:val="center"/>
        </w:trPr>
        <w:tc>
          <w:tcPr>
            <w:tcW w:w="2410" w:type="dxa"/>
            <w:tcBorders>
              <w:top w:val="nil"/>
              <w:left w:val="single" w:sz="4" w:space="0" w:color="auto"/>
              <w:bottom w:val="nil"/>
              <w:right w:val="single" w:sz="4" w:space="0" w:color="auto"/>
            </w:tcBorders>
          </w:tcPr>
          <w:p w14:paraId="6B63F938" w14:textId="77777777" w:rsidR="006254F5" w:rsidRPr="00B75B2D" w:rsidRDefault="006254F5" w:rsidP="008934DC">
            <w:pPr>
              <w:spacing w:line="276" w:lineRule="auto"/>
              <w:jc w:val="center"/>
              <w:rPr>
                <w:rFonts w:eastAsia="ITC Avant Garde" w:cstheme="minorHAnsi"/>
                <w:b/>
                <w:bCs/>
                <w:lang w:val="es-ES"/>
              </w:rPr>
            </w:pPr>
            <w:r w:rsidRPr="00B75B2D">
              <w:rPr>
                <w:rFonts w:eastAsia="ITC Avant Garde" w:cstheme="minorHAnsi"/>
                <w:b/>
                <w:bCs/>
                <w:lang w:val="es-ES"/>
              </w:rPr>
              <w:t>Acceso a la información de la red</w:t>
            </w:r>
          </w:p>
        </w:tc>
        <w:tc>
          <w:tcPr>
            <w:tcW w:w="5523" w:type="dxa"/>
            <w:tcBorders>
              <w:left w:val="single" w:sz="4" w:space="0" w:color="auto"/>
            </w:tcBorders>
          </w:tcPr>
          <w:p w14:paraId="755CC324" w14:textId="77777777" w:rsidR="006254F5" w:rsidRPr="00C831FF" w:rsidRDefault="006254F5" w:rsidP="008934DC">
            <w:pPr>
              <w:spacing w:line="276" w:lineRule="auto"/>
              <w:rPr>
                <w:rFonts w:eastAsia="ITC Avant Garde" w:cstheme="minorHAnsi"/>
                <w:lang w:val="es-ES"/>
              </w:rPr>
            </w:pPr>
            <w:r w:rsidRPr="00C831FF">
              <w:rPr>
                <w:rFonts w:eastAsia="ITC Avant Garde" w:cstheme="minorHAnsi"/>
                <w:lang w:val="es-ES"/>
              </w:rPr>
              <w:t>Estandarizar la buena práctica de publicar en el sitio web del regulador las asignaciones y detalles de la concesión incluidas tarifas y obligaciones para el espectro de IMT</w:t>
            </w:r>
          </w:p>
        </w:tc>
      </w:tr>
      <w:tr w:rsidR="006254F5" w14:paraId="14943390" w14:textId="77777777" w:rsidTr="008934DC">
        <w:trPr>
          <w:jc w:val="center"/>
        </w:trPr>
        <w:tc>
          <w:tcPr>
            <w:tcW w:w="2410" w:type="dxa"/>
            <w:tcBorders>
              <w:top w:val="nil"/>
              <w:left w:val="single" w:sz="4" w:space="0" w:color="auto"/>
              <w:bottom w:val="single" w:sz="4" w:space="0" w:color="auto"/>
              <w:right w:val="single" w:sz="4" w:space="0" w:color="auto"/>
            </w:tcBorders>
          </w:tcPr>
          <w:p w14:paraId="478E0A90" w14:textId="77777777" w:rsidR="006254F5" w:rsidRPr="000C734D" w:rsidRDefault="006254F5" w:rsidP="008934DC">
            <w:pPr>
              <w:spacing w:line="276" w:lineRule="auto"/>
              <w:jc w:val="center"/>
              <w:rPr>
                <w:rFonts w:eastAsia="ITC Avant Garde" w:cstheme="minorHAnsi"/>
                <w:lang w:val="es-ES"/>
              </w:rPr>
            </w:pPr>
          </w:p>
        </w:tc>
        <w:tc>
          <w:tcPr>
            <w:tcW w:w="5523" w:type="dxa"/>
            <w:tcBorders>
              <w:left w:val="single" w:sz="4" w:space="0" w:color="auto"/>
            </w:tcBorders>
          </w:tcPr>
          <w:p w14:paraId="2F380E95" w14:textId="77777777" w:rsidR="006254F5" w:rsidRPr="00C831FF" w:rsidRDefault="006254F5" w:rsidP="008934DC">
            <w:pPr>
              <w:spacing w:line="276" w:lineRule="auto"/>
              <w:rPr>
                <w:rFonts w:eastAsia="ITC Avant Garde" w:cstheme="minorHAnsi"/>
                <w:lang w:val="es-ES"/>
              </w:rPr>
            </w:pPr>
            <w:r w:rsidRPr="00C831FF">
              <w:rPr>
                <w:rFonts w:eastAsia="ITC Avant Garde" w:cstheme="minorHAnsi"/>
                <w:lang w:val="es-ES"/>
              </w:rPr>
              <w:t>Obligar a todos los operadores de fibra óptica a publicar mapas de sus redes incluyendo los puntos de presencia</w:t>
            </w:r>
          </w:p>
        </w:tc>
      </w:tr>
    </w:tbl>
    <w:p w14:paraId="6824B026" w14:textId="424CCA23" w:rsidR="006254F5" w:rsidRDefault="006254F5" w:rsidP="00094B90">
      <w:pPr>
        <w:spacing w:line="360" w:lineRule="auto"/>
        <w:rPr>
          <w:rFonts w:asciiTheme="minorHAnsi" w:eastAsia="ITC Avant Garde" w:hAnsiTheme="minorHAnsi" w:cstheme="minorHAnsi"/>
          <w:sz w:val="24"/>
          <w:szCs w:val="24"/>
          <w:lang w:val="es-ES"/>
        </w:rPr>
      </w:pPr>
    </w:p>
    <w:p w14:paraId="6E42E2CC"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El Reglamento del Comité de Pequeños Prestadores de Servicios de Telecomunicaciones de ANATEL prevé que, mediante la creación de este comité de pequeños operadores, se logre un diálogo que permita la propuesta de mejoras regulatorias para sus miembros, consolidar las demandas del sector representado y elaborar estudios así como proponer medidas para incentivar la prestación de los servicios en sus áreas locales que promueva un entorno atractivo, competitivo, seguro y estable para los pequeños operadores, respetando los derechos de los consumidores y usuarios.</w:t>
      </w:r>
    </w:p>
    <w:p w14:paraId="170390F7" w14:textId="77777777" w:rsidR="00094B90" w:rsidRPr="00094B90" w:rsidRDefault="00094B90" w:rsidP="00094B90">
      <w:pPr>
        <w:pStyle w:val="Prrafodelista"/>
        <w:spacing w:line="360" w:lineRule="auto"/>
        <w:ind w:left="709"/>
        <w:jc w:val="both"/>
        <w:rPr>
          <w:rFonts w:eastAsia="ITC Avant Garde" w:cstheme="minorHAnsi"/>
          <w:lang w:val="es-ES"/>
        </w:rPr>
      </w:pPr>
    </w:p>
    <w:p w14:paraId="7EDD1A16" w14:textId="72CCABC6"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lastRenderedPageBreak/>
        <w:t>Tomando en consideración los documentos revisados que constan en la sección 4. Referencias y las recomendaciones citadas en el inciso 12</w:t>
      </w:r>
      <w:r w:rsidR="00E82E45">
        <w:rPr>
          <w:rFonts w:eastAsia="ITC Avant Garde" w:cstheme="minorHAnsi"/>
          <w:lang w:val="es-ES"/>
        </w:rPr>
        <w:t>,</w:t>
      </w:r>
      <w:r w:rsidRPr="00094B90">
        <w:rPr>
          <w:rFonts w:eastAsia="ITC Avant Garde" w:cstheme="minorHAnsi"/>
          <w:lang w:val="es-ES"/>
        </w:rPr>
        <w:t xml:space="preserve"> es importante reconocer que el acceso al espectro, a la red dorsal, a financiamientos, capacitación técnica y simplificación de trámites y otorgamiento de concesiones, puede incrementar el despliegue de infraestructura en zonas no atendidas por los grandes operadores tanto para radiodifusión como para telecomunicaciones. Es por ello relevante un diálogo constante y directo que las autoridades de regulación deben establecer con los pequeños operadores.</w:t>
      </w:r>
    </w:p>
    <w:p w14:paraId="033EAD57" w14:textId="77777777" w:rsidR="00094B90" w:rsidRPr="00094B90" w:rsidRDefault="00094B90" w:rsidP="00094B90">
      <w:pPr>
        <w:spacing w:line="360" w:lineRule="auto"/>
        <w:rPr>
          <w:rFonts w:asciiTheme="minorHAnsi" w:eastAsia="ITC Avant Garde" w:hAnsiTheme="minorHAnsi" w:cstheme="minorHAnsi"/>
          <w:sz w:val="24"/>
          <w:szCs w:val="24"/>
          <w:lang w:val="es-ES"/>
        </w:rPr>
      </w:pPr>
    </w:p>
    <w:p w14:paraId="168C9316" w14:textId="1F485D7B"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El Programa Anual de Trabajo del IFT 2022 (PAT2022) publicado en enero de 2022, incluyó</w:t>
      </w:r>
      <w:r w:rsidR="00E82E45">
        <w:rPr>
          <w:rFonts w:eastAsia="ITC Avant Garde" w:cstheme="minorHAnsi"/>
          <w:lang w:val="es-ES"/>
        </w:rPr>
        <w:t>,</w:t>
      </w:r>
      <w:r w:rsidRPr="00094B90">
        <w:rPr>
          <w:rFonts w:eastAsia="ITC Avant Garde" w:cstheme="minorHAnsi"/>
          <w:lang w:val="es-ES"/>
        </w:rPr>
        <w:t xml:space="preserve"> entre sus proyectos</w:t>
      </w:r>
      <w:r w:rsidR="00E82E45">
        <w:rPr>
          <w:rFonts w:eastAsia="ITC Avant Garde" w:cstheme="minorHAnsi"/>
          <w:lang w:val="es-ES"/>
        </w:rPr>
        <w:t>,</w:t>
      </w:r>
      <w:r w:rsidRPr="00094B90">
        <w:rPr>
          <w:rFonts w:eastAsia="ITC Avant Garde" w:cstheme="minorHAnsi"/>
          <w:lang w:val="es-ES"/>
        </w:rPr>
        <w:t xml:space="preserve"> la creación de un Comité de Pequeños Operadores indicando que sería en el cuarto trimestre de 2022 cuando fuera concluido. En agosto de 2021, el CC-IFT ya había propuesto desarrollar una recomendación sobre la creación de un Comité de Pequeños Operadores por parte del IFT. Por lo tanto, el 3 de mayo de 2022 representantes del Consejo Consultivo del IFT celebramos una reunión con diversas áreas del IFT coordinadas por la </w:t>
      </w:r>
      <w:r w:rsidR="00E82E45">
        <w:rPr>
          <w:rFonts w:eastAsia="ITC Avant Garde" w:cstheme="minorHAnsi"/>
          <w:lang w:val="es-ES"/>
        </w:rPr>
        <w:t>Coordinación General de Mejora Regulatoria</w:t>
      </w:r>
      <w:r w:rsidRPr="00094B90">
        <w:rPr>
          <w:rFonts w:eastAsia="ITC Avant Garde" w:cstheme="minorHAnsi"/>
          <w:lang w:val="es-ES"/>
        </w:rPr>
        <w:t xml:space="preserve">, quienes nos hicieron una presentación sobre el proyecto de “Comité de pequeños operadores” propuesto en el PAT2022 del IFT. La propuesta de las áreas participantes nos presentó una definición de pequeños operadores excluyendo solamente a los grandes operadores. Es decir, es una perspectiva muy diferente a la que se propone en el presente documento. Es importante mencionar que, la definición y los objetivos de la presente recomendación son coincidentes con los descritos en el punto 9, propuestos por ANATEL cuando creó el Comité de Pequeños Prestadores de Servicios de Telecomunicaciones o CPPP. </w:t>
      </w:r>
    </w:p>
    <w:p w14:paraId="29F37A7A" w14:textId="77777777" w:rsidR="00094B90" w:rsidRPr="00094B90" w:rsidRDefault="00094B90" w:rsidP="00094B90">
      <w:pPr>
        <w:pStyle w:val="Body"/>
        <w:spacing w:line="360" w:lineRule="auto"/>
        <w:jc w:val="both"/>
        <w:rPr>
          <w:rFonts w:asciiTheme="minorHAnsi" w:eastAsia="ITC Avant Garde" w:hAnsiTheme="minorHAnsi" w:cstheme="minorHAnsi"/>
          <w:sz w:val="24"/>
          <w:szCs w:val="24"/>
          <w:lang w:val="es-ES"/>
        </w:rPr>
      </w:pPr>
    </w:p>
    <w:p w14:paraId="7CAE6FBC" w14:textId="77777777" w:rsidR="00094B90" w:rsidRPr="001E19CA" w:rsidRDefault="00094B90" w:rsidP="00C831FF">
      <w:pPr>
        <w:pStyle w:val="Prrafodelista"/>
        <w:numPr>
          <w:ilvl w:val="0"/>
          <w:numId w:val="18"/>
        </w:numPr>
        <w:pBdr>
          <w:top w:val="nil"/>
          <w:left w:val="nil"/>
          <w:bottom w:val="nil"/>
          <w:right w:val="nil"/>
          <w:between w:val="nil"/>
          <w:bar w:val="nil"/>
        </w:pBdr>
        <w:spacing w:line="360" w:lineRule="auto"/>
        <w:rPr>
          <w:rFonts w:cstheme="minorHAnsi"/>
          <w:b/>
          <w:bCs/>
          <w:lang w:val="es-ES"/>
        </w:rPr>
      </w:pPr>
      <w:r w:rsidRPr="001E19CA">
        <w:rPr>
          <w:rFonts w:cstheme="minorHAnsi"/>
          <w:b/>
          <w:bCs/>
          <w:lang w:val="es-ES"/>
        </w:rPr>
        <w:t>JUSTIFICACIÓN SOBRE SI ES MATERIA DEL IFT</w:t>
      </w:r>
    </w:p>
    <w:p w14:paraId="4B018232" w14:textId="77777777" w:rsidR="00094B90" w:rsidRPr="00094B90" w:rsidRDefault="00094B90" w:rsidP="00094B90">
      <w:pPr>
        <w:pStyle w:val="Body"/>
        <w:spacing w:line="360" w:lineRule="auto"/>
        <w:jc w:val="both"/>
        <w:rPr>
          <w:rFonts w:asciiTheme="minorHAnsi" w:eastAsia="ITC Avant Garde" w:hAnsiTheme="minorHAnsi" w:cstheme="minorHAnsi"/>
          <w:sz w:val="24"/>
          <w:szCs w:val="24"/>
          <w:lang w:val="es-ES"/>
        </w:rPr>
      </w:pPr>
    </w:p>
    <w:p w14:paraId="13EC9E98"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El IFT tiene por objeto regular y promover la competencia y el desarrollo eficiente de las telecomunicaciones y la radiodifusión en el ámbito de las atribuciones que le confieren la Constitución y en los términos que fijan la LFTR y demás disposiciones legales aplicables entre las que se encuentran el aprovechamiento y explotación del espectro radioeléctrico, los </w:t>
      </w:r>
      <w:r w:rsidRPr="00094B90">
        <w:rPr>
          <w:rFonts w:eastAsia="ITC Avant Garde" w:cstheme="minorHAnsi"/>
          <w:lang w:val="es-ES"/>
        </w:rPr>
        <w:lastRenderedPageBreak/>
        <w:t>recursos orbitales, los servicios satelitales, las redes públicas de telecomunicaciones, así como el acceso a la infraestructura activa y pasiva y otros insumos esenciales. (art. 7) Asimismo, apoyar a la Secretaría en la promoción del acceso a las TIC y a los servicios de radiodifusión y telecomunicaciones, incluido el de banda ancha e Internet, en condiciones de competencia efectiva. (art. 9 frac. V).</w:t>
      </w:r>
    </w:p>
    <w:p w14:paraId="778CEC4E" w14:textId="77777777" w:rsidR="00094B90" w:rsidRPr="00094B90" w:rsidRDefault="00094B90" w:rsidP="00094B90">
      <w:pPr>
        <w:pStyle w:val="Prrafodelista"/>
        <w:spacing w:line="360" w:lineRule="auto"/>
        <w:ind w:left="709"/>
        <w:jc w:val="both"/>
        <w:rPr>
          <w:rFonts w:eastAsia="ITC Avant Garde" w:cstheme="minorHAnsi"/>
          <w:lang w:val="es-ES"/>
        </w:rPr>
      </w:pPr>
    </w:p>
    <w:p w14:paraId="74526A4A"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cstheme="minorHAnsi"/>
          <w:lang w:val="es-ES"/>
        </w:rPr>
        <w:t>En foros creados por el Instituto como el Comité Técnico de Espectro Radioeléctrico (CTER) pequeños operadores han buscado un espacio para participar en mayor medida con el Instituto.</w:t>
      </w:r>
    </w:p>
    <w:p w14:paraId="18C47FC3" w14:textId="77777777" w:rsidR="00094B90" w:rsidRPr="00094B90" w:rsidRDefault="00094B90" w:rsidP="00094B90">
      <w:pPr>
        <w:spacing w:line="360" w:lineRule="auto"/>
        <w:rPr>
          <w:rFonts w:asciiTheme="minorHAnsi" w:eastAsia="ITC Avant Garde" w:hAnsiTheme="minorHAnsi" w:cstheme="minorHAnsi"/>
          <w:sz w:val="24"/>
          <w:szCs w:val="24"/>
          <w:lang w:val="es-ES"/>
        </w:rPr>
      </w:pPr>
    </w:p>
    <w:p w14:paraId="45661E73" w14:textId="77777777" w:rsidR="00094B90" w:rsidRPr="00094B90" w:rsidRDefault="00094B90" w:rsidP="00C831FF">
      <w:pPr>
        <w:pStyle w:val="Prrafodelista"/>
        <w:numPr>
          <w:ilvl w:val="0"/>
          <w:numId w:val="12"/>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cstheme="minorHAnsi"/>
          <w:lang w:val="es-ES"/>
        </w:rPr>
        <w:t>En el Programa Anual de Trabajo 2022 del IFT, que fue publicado a principios de año, aparece como una actividad a concluirse en el 4T2022 relativa a la creación de un comité de pequeños operadores.</w:t>
      </w:r>
    </w:p>
    <w:p w14:paraId="79AB0DF8" w14:textId="77777777" w:rsidR="00094B90" w:rsidRPr="00094B90" w:rsidRDefault="00094B90" w:rsidP="00094B90">
      <w:pPr>
        <w:pStyle w:val="Prrafodelista"/>
        <w:spacing w:line="360" w:lineRule="auto"/>
        <w:ind w:left="1353"/>
        <w:jc w:val="both"/>
        <w:rPr>
          <w:rFonts w:eastAsia="ITC Avant Garde" w:cstheme="minorHAnsi"/>
          <w:lang w:val="es-ES"/>
        </w:rPr>
      </w:pPr>
      <w:r w:rsidRPr="00094B90">
        <w:rPr>
          <w:rFonts w:cstheme="minorHAnsi"/>
          <w:lang w:val="es-ES"/>
        </w:rPr>
        <w:t xml:space="preserve"> </w:t>
      </w:r>
    </w:p>
    <w:p w14:paraId="3243EE63" w14:textId="77777777" w:rsidR="00094B90" w:rsidRPr="001E19CA" w:rsidRDefault="00094B90" w:rsidP="00C831FF">
      <w:pPr>
        <w:pStyle w:val="Prrafodelista"/>
        <w:numPr>
          <w:ilvl w:val="0"/>
          <w:numId w:val="18"/>
        </w:numPr>
        <w:pBdr>
          <w:top w:val="nil"/>
          <w:left w:val="nil"/>
          <w:bottom w:val="nil"/>
          <w:right w:val="nil"/>
          <w:between w:val="nil"/>
          <w:bar w:val="nil"/>
        </w:pBdr>
        <w:spacing w:line="360" w:lineRule="auto"/>
        <w:rPr>
          <w:rFonts w:cstheme="minorHAnsi"/>
          <w:b/>
          <w:bCs/>
          <w:lang w:val="es-ES"/>
        </w:rPr>
      </w:pPr>
      <w:r w:rsidRPr="001E19CA">
        <w:rPr>
          <w:rFonts w:cstheme="minorHAnsi"/>
          <w:b/>
          <w:bCs/>
          <w:lang w:val="es-ES"/>
        </w:rPr>
        <w:t>RECOMENDACIONES</w:t>
      </w:r>
      <w:r w:rsidRPr="001E19CA">
        <w:rPr>
          <w:rFonts w:cstheme="minorHAnsi"/>
          <w:b/>
          <w:bCs/>
          <w:lang w:val="es-ES"/>
        </w:rPr>
        <w:br/>
      </w:r>
    </w:p>
    <w:p w14:paraId="731D1937" w14:textId="77777777" w:rsidR="00094B90" w:rsidRPr="00094B90" w:rsidRDefault="00094B90" w:rsidP="00094B90">
      <w:pPr>
        <w:pStyle w:val="Prrafodelista"/>
        <w:spacing w:line="360" w:lineRule="auto"/>
        <w:ind w:left="426"/>
        <w:jc w:val="both"/>
        <w:rPr>
          <w:rFonts w:eastAsia="ITC Avant Garde" w:cstheme="minorHAnsi"/>
          <w:lang w:val="es-ES"/>
        </w:rPr>
      </w:pPr>
      <w:r w:rsidRPr="00094B90">
        <w:rPr>
          <w:rFonts w:eastAsia="ITC Avant Garde" w:cstheme="minorHAnsi"/>
          <w:lang w:val="es-ES"/>
        </w:rPr>
        <w:t>El VI Consejo Consultivo del Instituto Federal de Telecomunicaciones recomienda al Pleno del Instituto:</w:t>
      </w:r>
    </w:p>
    <w:p w14:paraId="3E5D373C" w14:textId="77777777" w:rsidR="00094B90" w:rsidRPr="00094B90" w:rsidRDefault="00094B90" w:rsidP="00094B90">
      <w:pPr>
        <w:pStyle w:val="Prrafodelista"/>
        <w:spacing w:line="360" w:lineRule="auto"/>
        <w:jc w:val="both"/>
        <w:rPr>
          <w:rFonts w:eastAsia="ITC Avant Garde" w:cstheme="minorHAnsi"/>
          <w:u w:val="single"/>
          <w:lang w:val="es-ES"/>
        </w:rPr>
      </w:pPr>
    </w:p>
    <w:p w14:paraId="0203064E" w14:textId="78BF61DA" w:rsidR="00094B90" w:rsidRPr="001E19CA" w:rsidRDefault="00094B90" w:rsidP="00C831FF">
      <w:pPr>
        <w:pStyle w:val="Prrafodelista"/>
        <w:numPr>
          <w:ilvl w:val="3"/>
          <w:numId w:val="17"/>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Constituir el comité de pequeños operadores para aquellos operadores de zonas rurales, y urbanas que por lo general brindan el servicio a la población que no ha sido atendida o no está cubierta por grandes operadores. Existen diversas maneras de dimensionar a los pequeños operadores, por porcentaje de población atendida, por el tipo de localidad que atienden, por participación de mercado, por el nivel de ingresos, por tamaño de la empresa, etc. Sin embargo, se podría tomar como punto de partida para el análisis, a los pequeños operadores cuya participación de mercado agregada y medida en términos de ingresos, no exceda el 5%, o en su caso, otro porcentaje que el IFT considere que incluye a los pequeños operadores descritos en la presente recomendación</w:t>
      </w:r>
      <w:r w:rsidR="000C734D">
        <w:rPr>
          <w:rFonts w:eastAsia="ITC Avant Garde" w:cstheme="minorHAnsi"/>
          <w:lang w:val="es-ES"/>
        </w:rPr>
        <w:t>;</w:t>
      </w:r>
      <w:r w:rsidRPr="001E19CA">
        <w:rPr>
          <w:rFonts w:eastAsia="ITC Avant Garde" w:cstheme="minorHAnsi"/>
          <w:lang w:val="es-ES"/>
        </w:rPr>
        <w:t xml:space="preserve">     </w:t>
      </w:r>
    </w:p>
    <w:p w14:paraId="5A9BF4D7" w14:textId="3636F37A" w:rsidR="00094B90" w:rsidRPr="001E19CA" w:rsidRDefault="00094B90" w:rsidP="00C831FF">
      <w:pPr>
        <w:pStyle w:val="Prrafodelista"/>
        <w:numPr>
          <w:ilvl w:val="3"/>
          <w:numId w:val="17"/>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 xml:space="preserve">El IFT al crear el comité de pequeños operadores de la recomendación (1), también podrá tener en cuenta si en este comité se incluirán tanto operadores de radiodifusión (radio y televisión </w:t>
      </w:r>
      <w:r w:rsidRPr="00094B90">
        <w:rPr>
          <w:rFonts w:eastAsia="ITC Avant Garde" w:cstheme="minorHAnsi"/>
          <w:lang w:val="es-ES"/>
        </w:rPr>
        <w:lastRenderedPageBreak/>
        <w:t xml:space="preserve">abiertas) como de telecomunicaciones </w:t>
      </w:r>
      <w:r w:rsidRPr="00094B90">
        <w:rPr>
          <w:rFonts w:eastAsia="ITC Avant Garde" w:cstheme="minorHAnsi"/>
          <w:lang w:val="es-MX"/>
        </w:rPr>
        <w:t>(televisión y/o audio restringidos, telefonía fija, telefonía móvil, internet fijo e internet móvil)</w:t>
      </w:r>
      <w:r w:rsidR="000C734D">
        <w:rPr>
          <w:rFonts w:eastAsia="ITC Avant Garde" w:cstheme="minorHAnsi"/>
          <w:lang w:val="es-MX"/>
        </w:rPr>
        <w:t>;</w:t>
      </w:r>
    </w:p>
    <w:p w14:paraId="2C0CC528" w14:textId="77777777" w:rsidR="00094B90" w:rsidRPr="00094B90" w:rsidRDefault="00094B90" w:rsidP="00C831FF">
      <w:pPr>
        <w:pStyle w:val="Prrafodelista"/>
        <w:numPr>
          <w:ilvl w:val="3"/>
          <w:numId w:val="17"/>
        </w:numPr>
        <w:pBdr>
          <w:top w:val="nil"/>
          <w:left w:val="nil"/>
          <w:bottom w:val="nil"/>
          <w:right w:val="nil"/>
          <w:between w:val="nil"/>
          <w:bar w:val="nil"/>
        </w:pBdr>
        <w:spacing w:line="360" w:lineRule="auto"/>
        <w:ind w:left="709"/>
        <w:contextualSpacing w:val="0"/>
        <w:jc w:val="both"/>
        <w:rPr>
          <w:rFonts w:eastAsia="ITC Avant Garde" w:cstheme="minorHAnsi"/>
          <w:lang w:val="es-ES"/>
        </w:rPr>
      </w:pPr>
      <w:r w:rsidRPr="00094B90">
        <w:rPr>
          <w:rFonts w:eastAsia="ITC Avant Garde" w:cstheme="minorHAnsi"/>
          <w:lang w:val="es-ES"/>
        </w:rPr>
        <w:t>El comité de pequeños operadores podrá tener como principales objetivos de forma enunciativa más no limitativa:</w:t>
      </w:r>
    </w:p>
    <w:p w14:paraId="00F45C56" w14:textId="75276735" w:rsidR="00094B90" w:rsidRPr="00094B90" w:rsidRDefault="000C734D"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Pr>
          <w:rFonts w:eastAsia="ITC Avant Garde" w:cstheme="minorHAnsi"/>
          <w:lang w:val="es-ES"/>
        </w:rPr>
        <w:t>P</w:t>
      </w:r>
      <w:r w:rsidR="00094B90" w:rsidRPr="00094B90">
        <w:rPr>
          <w:rFonts w:eastAsia="ITC Avant Garde" w:cstheme="minorHAnsi"/>
          <w:lang w:val="es-ES"/>
        </w:rPr>
        <w:t xml:space="preserve">ermitir el diálogo de carácter permanente y </w:t>
      </w:r>
      <w:r w:rsidRPr="00094B90">
        <w:rPr>
          <w:rFonts w:eastAsia="ITC Avant Garde" w:cstheme="minorHAnsi"/>
          <w:lang w:val="es-ES"/>
        </w:rPr>
        <w:t>formal</w:t>
      </w:r>
      <w:r>
        <w:rPr>
          <w:rFonts w:eastAsia="ITC Avant Garde" w:cstheme="minorHAnsi"/>
          <w:lang w:val="es-ES"/>
        </w:rPr>
        <w:t>;</w:t>
      </w:r>
    </w:p>
    <w:p w14:paraId="398709B0" w14:textId="03AF5EEF" w:rsidR="00094B90" w:rsidRPr="00094B90" w:rsidRDefault="000C734D"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Pr>
          <w:rFonts w:eastAsia="ITC Avant Garde" w:cstheme="minorHAnsi"/>
          <w:lang w:val="es-ES"/>
        </w:rPr>
        <w:t>L</w:t>
      </w:r>
      <w:r w:rsidR="00094B90" w:rsidRPr="00094B90">
        <w:rPr>
          <w:rFonts w:eastAsia="ITC Avant Garde" w:cstheme="minorHAnsi"/>
          <w:lang w:val="es-ES"/>
        </w:rPr>
        <w:t>ograr mejoras y simplificación en la regulación hacia este grupo de operadores para la sostenibilidad de estos grupos</w:t>
      </w:r>
      <w:r>
        <w:rPr>
          <w:rFonts w:eastAsia="ITC Avant Garde" w:cstheme="minorHAnsi"/>
          <w:lang w:val="es-ES"/>
        </w:rPr>
        <w:t>;</w:t>
      </w:r>
    </w:p>
    <w:p w14:paraId="0C8B727E" w14:textId="79D9A1E8" w:rsidR="00094B90" w:rsidRPr="00094B90" w:rsidRDefault="000C734D"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Pr>
          <w:rFonts w:eastAsia="ITC Avant Garde" w:cstheme="minorHAnsi"/>
          <w:lang w:val="es-ES"/>
        </w:rPr>
        <w:t>L</w:t>
      </w:r>
      <w:r w:rsidR="00094B90" w:rsidRPr="00094B90">
        <w:rPr>
          <w:rFonts w:eastAsia="ITC Avant Garde" w:cstheme="minorHAnsi"/>
          <w:lang w:val="es-ES"/>
        </w:rPr>
        <w:t>levar a cabo estudios y propuestas que resulten de este diálogo y sirvan para fortalecer su presencia en las zonas no atendidas por los grandes operadores en beneficio de los usuarios garantizando la calidad de los servicios y la protección de sus derechos, los de las audiencias y consumidores, garantizando la calidad y continuidad de los servicios</w:t>
      </w:r>
      <w:r>
        <w:rPr>
          <w:rFonts w:eastAsia="ITC Avant Garde" w:cstheme="minorHAnsi"/>
          <w:lang w:val="es-ES"/>
        </w:rPr>
        <w:t>;</w:t>
      </w:r>
    </w:p>
    <w:p w14:paraId="5CB40AA3" w14:textId="12A33C6F" w:rsidR="00094B90" w:rsidRPr="00094B90" w:rsidRDefault="00094B90"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Capacitación a este grupo de operadores en cuestiones regulatorias y técnicas para que hagan un mejor aprovechamiento de sus redes</w:t>
      </w:r>
      <w:r w:rsidR="000C734D">
        <w:rPr>
          <w:rFonts w:eastAsia="ITC Avant Garde" w:cstheme="minorHAnsi"/>
          <w:lang w:val="es-ES"/>
        </w:rPr>
        <w:t>;</w:t>
      </w:r>
    </w:p>
    <w:p w14:paraId="0208F845" w14:textId="1B5221BA" w:rsidR="00094B90" w:rsidRPr="00094B90" w:rsidRDefault="00094B90"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Contar con diferentes alternativas como espectro compartido y dinámico para el uso licenciado del espectro radioeléctrico</w:t>
      </w:r>
      <w:r w:rsidR="000C734D">
        <w:rPr>
          <w:rFonts w:eastAsia="ITC Avant Garde" w:cstheme="minorHAnsi"/>
          <w:lang w:val="es-ES"/>
        </w:rPr>
        <w:t>;</w:t>
      </w:r>
    </w:p>
    <w:p w14:paraId="2D291582" w14:textId="2D252C21" w:rsidR="00094B90" w:rsidRPr="00094B90" w:rsidRDefault="00094B90"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Emitir regulación “ligera” para microondas</w:t>
      </w:r>
      <w:r w:rsidR="000C734D">
        <w:rPr>
          <w:rFonts w:eastAsia="ITC Avant Garde" w:cstheme="minorHAnsi"/>
          <w:lang w:val="es-ES"/>
        </w:rPr>
        <w:t>;</w:t>
      </w:r>
    </w:p>
    <w:p w14:paraId="1C2AD6AD" w14:textId="36F205F1" w:rsidR="00094B90" w:rsidRPr="00094B90" w:rsidRDefault="00094B90"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Asegurar su viabilidad mediante mecanismos abiertos para acceder a la red dorsal, </w:t>
      </w:r>
      <w:proofErr w:type="spellStart"/>
      <w:r w:rsidRPr="00094B90">
        <w:rPr>
          <w:rFonts w:eastAsia="ITC Avant Garde" w:cstheme="minorHAnsi"/>
          <w:i/>
          <w:lang w:val="es-ES"/>
        </w:rPr>
        <w:t>backhaul</w:t>
      </w:r>
      <w:proofErr w:type="spellEnd"/>
      <w:r w:rsidRPr="00094B90">
        <w:rPr>
          <w:rFonts w:eastAsia="ITC Avant Garde" w:cstheme="minorHAnsi"/>
          <w:lang w:val="es-ES"/>
        </w:rPr>
        <w:t xml:space="preserve"> e interconexión de los grandes operadores de forma oportuna y predecible y a costos asequibles</w:t>
      </w:r>
      <w:r w:rsidR="000C734D">
        <w:rPr>
          <w:rFonts w:eastAsia="ITC Avant Garde" w:cstheme="minorHAnsi"/>
          <w:lang w:val="es-ES"/>
        </w:rPr>
        <w:t>;</w:t>
      </w:r>
    </w:p>
    <w:p w14:paraId="327A690A" w14:textId="37278909" w:rsidR="00094B90" w:rsidRPr="00094B90" w:rsidRDefault="00094B90"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Identificar subsidios no recuperables, contribuciones no reembolsables que los apoyen en sus inicios</w:t>
      </w:r>
      <w:r w:rsidR="000C734D">
        <w:rPr>
          <w:rFonts w:eastAsia="ITC Avant Garde" w:cstheme="minorHAnsi"/>
          <w:lang w:val="es-ES"/>
        </w:rPr>
        <w:t>, y</w:t>
      </w:r>
    </w:p>
    <w:p w14:paraId="1D1C7555" w14:textId="02C0E4DB" w:rsidR="00094B90" w:rsidRPr="00094B90" w:rsidRDefault="00094B90" w:rsidP="00C831FF">
      <w:pPr>
        <w:pStyle w:val="Prrafodelista"/>
        <w:numPr>
          <w:ilvl w:val="0"/>
          <w:numId w:val="15"/>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Hacer pública la información de la infraestructura pasiva y activa de telecomunicaciones y </w:t>
      </w:r>
      <w:proofErr w:type="gramStart"/>
      <w:r w:rsidRPr="00094B90">
        <w:rPr>
          <w:rFonts w:eastAsia="ITC Avant Garde" w:cstheme="minorHAnsi"/>
          <w:lang w:val="es-ES"/>
        </w:rPr>
        <w:t>radiodifusión</w:t>
      </w:r>
      <w:proofErr w:type="gramEnd"/>
      <w:r w:rsidRPr="00094B90">
        <w:rPr>
          <w:rFonts w:eastAsia="ITC Avant Garde" w:cstheme="minorHAnsi"/>
          <w:lang w:val="es-ES"/>
        </w:rPr>
        <w:t xml:space="preserve"> así como los puntos de presencia</w:t>
      </w:r>
      <w:r w:rsidR="000C734D">
        <w:rPr>
          <w:rFonts w:eastAsia="ITC Avant Garde" w:cstheme="minorHAnsi"/>
          <w:lang w:val="es-ES"/>
        </w:rPr>
        <w:t>.</w:t>
      </w:r>
    </w:p>
    <w:p w14:paraId="67CE0968" w14:textId="77777777" w:rsidR="00094B90" w:rsidRPr="00094B90" w:rsidRDefault="00094B90" w:rsidP="00094B90">
      <w:pPr>
        <w:pStyle w:val="Prrafodelista"/>
        <w:spacing w:line="360" w:lineRule="auto"/>
        <w:ind w:left="2148"/>
        <w:jc w:val="both"/>
        <w:rPr>
          <w:rFonts w:eastAsia="ITC Avant Garde" w:cstheme="minorHAnsi"/>
          <w:lang w:val="es-ES"/>
        </w:rPr>
      </w:pPr>
    </w:p>
    <w:p w14:paraId="664BB837" w14:textId="77777777" w:rsidR="00094B90" w:rsidRPr="00094B90" w:rsidRDefault="00094B90" w:rsidP="00C831FF">
      <w:pPr>
        <w:pStyle w:val="Prrafodelista"/>
        <w:numPr>
          <w:ilvl w:val="0"/>
          <w:numId w:val="18"/>
        </w:numPr>
        <w:pBdr>
          <w:top w:val="nil"/>
          <w:left w:val="nil"/>
          <w:bottom w:val="nil"/>
          <w:right w:val="nil"/>
          <w:between w:val="nil"/>
          <w:bar w:val="nil"/>
        </w:pBdr>
        <w:spacing w:line="360" w:lineRule="auto"/>
        <w:contextualSpacing w:val="0"/>
        <w:rPr>
          <w:rFonts w:cstheme="minorHAnsi"/>
          <w:b/>
          <w:bCs/>
          <w:lang w:val="es-ES"/>
        </w:rPr>
      </w:pPr>
      <w:r w:rsidRPr="00094B90">
        <w:rPr>
          <w:rFonts w:cstheme="minorHAnsi"/>
          <w:b/>
          <w:bCs/>
          <w:lang w:val="es-ES"/>
        </w:rPr>
        <w:t>REFERENCIAS</w:t>
      </w:r>
    </w:p>
    <w:p w14:paraId="01E7033B" w14:textId="77777777" w:rsidR="00094B90" w:rsidRPr="00094B90" w:rsidRDefault="00094B90" w:rsidP="00094B90">
      <w:pPr>
        <w:pStyle w:val="Body"/>
        <w:shd w:val="clear" w:color="auto" w:fill="FFFFFF"/>
        <w:spacing w:line="360" w:lineRule="auto"/>
        <w:ind w:left="360"/>
        <w:rPr>
          <w:rFonts w:asciiTheme="minorHAnsi" w:hAnsiTheme="minorHAnsi" w:cstheme="minorHAnsi"/>
          <w:color w:val="666666"/>
          <w:sz w:val="24"/>
          <w:szCs w:val="24"/>
          <w:u w:color="666666"/>
          <w:lang w:val="en-US"/>
        </w:rPr>
      </w:pPr>
    </w:p>
    <w:p w14:paraId="16739B78"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Agencia Nacional de Telecomunicaciones de Brasil (2018). Reglamento del Comité de Pequeños Prestadores de Servicios de Telecomunicaciones. Recuperado el 10 de agosto de 2021 de: </w:t>
      </w:r>
      <w:hyperlink r:id="rId18" w:history="1">
        <w:r w:rsidRPr="00094B90">
          <w:rPr>
            <w:rFonts w:cstheme="minorHAnsi"/>
            <w:lang w:val="es-MX"/>
          </w:rPr>
          <w:t>https://informacoes.anatel.gov.br/legislacao/resolucoes/2018/1159-resolucao-</w:t>
        </w:r>
        <w:r w:rsidRPr="00094B90">
          <w:rPr>
            <w:rFonts w:cstheme="minorHAnsi"/>
            <w:lang w:val="es-MX"/>
          </w:rPr>
          <w:lastRenderedPageBreak/>
          <w:t>698</w:t>
        </w:r>
      </w:hyperlink>
      <w:r w:rsidRPr="00094B90">
        <w:rPr>
          <w:rFonts w:eastAsia="ITC Avant Garde" w:cstheme="minorHAnsi"/>
          <w:lang w:val="es-ES"/>
        </w:rPr>
        <w:t xml:space="preserve"> y (ANATEL, 2018) Resolución que define que es un prestador de pequeño porte. </w:t>
      </w:r>
      <w:hyperlink r:id="rId19" w:history="1">
        <w:r w:rsidRPr="00094B90">
          <w:rPr>
            <w:rFonts w:eastAsia="ITC Avant Garde" w:cstheme="minorHAnsi"/>
          </w:rPr>
          <w:t>https://informacoes.anatel.gov.br/legislacao/resolucoes/2018/1151-resolucao-694</w:t>
        </w:r>
      </w:hyperlink>
      <w:r w:rsidRPr="00094B90">
        <w:rPr>
          <w:rFonts w:eastAsia="ITC Avant Garde" w:cstheme="minorHAnsi"/>
          <w:lang w:val="es-ES"/>
        </w:rPr>
        <w:t xml:space="preserve"> </w:t>
      </w:r>
    </w:p>
    <w:p w14:paraId="6C200470" w14:textId="77777777" w:rsidR="00094B90" w:rsidRPr="00094B90" w:rsidRDefault="00094B90" w:rsidP="001E19CA">
      <w:pPr>
        <w:pStyle w:val="Prrafodelista"/>
        <w:spacing w:line="360" w:lineRule="auto"/>
        <w:ind w:left="426"/>
        <w:jc w:val="both"/>
        <w:rPr>
          <w:rFonts w:eastAsia="ITC Avant Garde" w:cstheme="minorHAnsi"/>
          <w:lang w:val="es-ES"/>
        </w:rPr>
      </w:pPr>
    </w:p>
    <w:p w14:paraId="23573639"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proofErr w:type="spellStart"/>
      <w:r w:rsidRPr="00094B90">
        <w:rPr>
          <w:rFonts w:eastAsia="ITC Avant Garde" w:cstheme="minorHAnsi"/>
        </w:rPr>
        <w:t>Agencia</w:t>
      </w:r>
      <w:proofErr w:type="spellEnd"/>
      <w:r w:rsidRPr="00094B90">
        <w:rPr>
          <w:rFonts w:eastAsia="ITC Avant Garde" w:cstheme="minorHAnsi"/>
        </w:rPr>
        <w:t xml:space="preserve"> Nacional de </w:t>
      </w:r>
      <w:proofErr w:type="spellStart"/>
      <w:r w:rsidRPr="00094B90">
        <w:rPr>
          <w:rFonts w:eastAsia="ITC Avant Garde" w:cstheme="minorHAnsi"/>
        </w:rPr>
        <w:t>Telecomunicaciones</w:t>
      </w:r>
      <w:proofErr w:type="spellEnd"/>
      <w:r w:rsidRPr="00094B90">
        <w:rPr>
          <w:rFonts w:eastAsia="ITC Avant Garde" w:cstheme="minorHAnsi"/>
        </w:rPr>
        <w:t xml:space="preserve"> de </w:t>
      </w:r>
      <w:proofErr w:type="spellStart"/>
      <w:r w:rsidRPr="00094B90">
        <w:rPr>
          <w:rFonts w:eastAsia="ITC Avant Garde" w:cstheme="minorHAnsi"/>
        </w:rPr>
        <w:t>Brasil</w:t>
      </w:r>
      <w:proofErr w:type="spellEnd"/>
      <w:r w:rsidRPr="00094B90">
        <w:rPr>
          <w:rFonts w:eastAsia="ITC Avant Garde" w:cstheme="minorHAnsi"/>
        </w:rPr>
        <w:t xml:space="preserve"> y Association of Progressive Communications (2021) Policy brief and recommendations for an enabling environment for community networks in Brazil. </w:t>
      </w:r>
      <w:r w:rsidRPr="00094B90">
        <w:rPr>
          <w:rFonts w:eastAsia="ITC Avant Garde" w:cstheme="minorHAnsi"/>
          <w:lang w:val="es-ES"/>
        </w:rPr>
        <w:t xml:space="preserve">Noviembre 2021. Recuperado 8 de diciembre de 2021 de: </w:t>
      </w:r>
      <w:hyperlink r:id="rId20" w:history="1">
        <w:r w:rsidRPr="00094B90">
          <w:rPr>
            <w:rFonts w:eastAsia="ITC Avant Garde" w:cstheme="minorHAnsi"/>
            <w:lang w:val="es-ES"/>
          </w:rPr>
          <w:t>https://www.anatel.gov.br/setorregulado/component/content/article/2-uncategorised/528-redes-comunitarias</w:t>
        </w:r>
      </w:hyperlink>
      <w:r w:rsidRPr="00094B90">
        <w:rPr>
          <w:rFonts w:eastAsia="ITC Avant Garde" w:cstheme="minorHAnsi"/>
          <w:lang w:val="es-ES"/>
        </w:rPr>
        <w:t xml:space="preserve">  </w:t>
      </w:r>
    </w:p>
    <w:p w14:paraId="63C7F428" w14:textId="77777777" w:rsidR="00094B90" w:rsidRPr="00094B90" w:rsidRDefault="00094B90" w:rsidP="001E19CA">
      <w:pPr>
        <w:pStyle w:val="Prrafodelista"/>
        <w:spacing w:line="360" w:lineRule="auto"/>
        <w:ind w:left="426"/>
        <w:jc w:val="both"/>
        <w:rPr>
          <w:rFonts w:eastAsia="ITC Avant Garde" w:cstheme="minorHAnsi"/>
          <w:lang w:val="es-ES"/>
        </w:rPr>
      </w:pPr>
    </w:p>
    <w:p w14:paraId="08EE9F5E"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Asociación de las Comunicaciones Progresivas (2020), </w:t>
      </w:r>
      <w:proofErr w:type="spellStart"/>
      <w:r w:rsidRPr="00094B90">
        <w:rPr>
          <w:rFonts w:eastAsia="ITC Avant Garde" w:cstheme="minorHAnsi"/>
          <w:lang w:val="es-ES"/>
        </w:rPr>
        <w:t>Expanding</w:t>
      </w:r>
      <w:proofErr w:type="spellEnd"/>
      <w:r w:rsidRPr="00094B90">
        <w:rPr>
          <w:rFonts w:eastAsia="ITC Avant Garde" w:cstheme="minorHAnsi"/>
          <w:lang w:val="es-ES"/>
        </w:rPr>
        <w:t xml:space="preserve"> </w:t>
      </w:r>
      <w:proofErr w:type="spellStart"/>
      <w:r w:rsidRPr="00094B90">
        <w:rPr>
          <w:rFonts w:eastAsia="ITC Avant Garde" w:cstheme="minorHAnsi"/>
          <w:lang w:val="es-ES"/>
        </w:rPr>
        <w:t>the</w:t>
      </w:r>
      <w:proofErr w:type="spellEnd"/>
      <w:r w:rsidRPr="00094B90">
        <w:rPr>
          <w:rFonts w:eastAsia="ITC Avant Garde" w:cstheme="minorHAnsi"/>
          <w:lang w:val="es-ES"/>
        </w:rPr>
        <w:t xml:space="preserve"> </w:t>
      </w:r>
      <w:proofErr w:type="spellStart"/>
      <w:r w:rsidRPr="00094B90">
        <w:rPr>
          <w:rFonts w:eastAsia="ITC Avant Garde" w:cstheme="minorHAnsi"/>
          <w:lang w:val="es-ES"/>
        </w:rPr>
        <w:t>telecommunications</w:t>
      </w:r>
      <w:proofErr w:type="spellEnd"/>
      <w:r w:rsidRPr="00094B90">
        <w:rPr>
          <w:rFonts w:eastAsia="ITC Avant Garde" w:cstheme="minorHAnsi"/>
          <w:lang w:val="es-ES"/>
        </w:rPr>
        <w:t xml:space="preserve"> </w:t>
      </w:r>
      <w:proofErr w:type="spellStart"/>
      <w:r w:rsidRPr="00094B90">
        <w:rPr>
          <w:rFonts w:eastAsia="ITC Avant Garde" w:cstheme="minorHAnsi"/>
          <w:lang w:val="es-ES"/>
        </w:rPr>
        <w:t>operators</w:t>
      </w:r>
      <w:proofErr w:type="spellEnd"/>
      <w:r w:rsidRPr="00094B90">
        <w:rPr>
          <w:rFonts w:eastAsia="ITC Avant Garde" w:cstheme="minorHAnsi"/>
          <w:lang w:val="es-ES"/>
        </w:rPr>
        <w:t xml:space="preserve">’ </w:t>
      </w:r>
      <w:proofErr w:type="spellStart"/>
      <w:r w:rsidRPr="00094B90">
        <w:rPr>
          <w:rFonts w:eastAsia="ITC Avant Garde" w:cstheme="minorHAnsi"/>
          <w:lang w:val="es-ES"/>
        </w:rPr>
        <w:t>ecosystem</w:t>
      </w:r>
      <w:proofErr w:type="spellEnd"/>
      <w:r w:rsidRPr="00094B90">
        <w:rPr>
          <w:rFonts w:eastAsia="ITC Avant Garde" w:cstheme="minorHAnsi"/>
          <w:lang w:val="es-ES"/>
        </w:rPr>
        <w:t xml:space="preserve">: </w:t>
      </w:r>
      <w:proofErr w:type="spellStart"/>
      <w:r w:rsidRPr="00094B90">
        <w:rPr>
          <w:rFonts w:eastAsia="ITC Avant Garde" w:cstheme="minorHAnsi"/>
          <w:lang w:val="es-ES"/>
        </w:rPr>
        <w:t>policy</w:t>
      </w:r>
      <w:proofErr w:type="spellEnd"/>
      <w:r w:rsidRPr="00094B90">
        <w:rPr>
          <w:rFonts w:eastAsia="ITC Avant Garde" w:cstheme="minorHAnsi"/>
          <w:lang w:val="es-ES"/>
        </w:rPr>
        <w:t xml:space="preserve"> and </w:t>
      </w:r>
      <w:proofErr w:type="spellStart"/>
      <w:r w:rsidRPr="00094B90">
        <w:rPr>
          <w:rFonts w:eastAsia="ITC Avant Garde" w:cstheme="minorHAnsi"/>
          <w:lang w:val="es-ES"/>
        </w:rPr>
        <w:t>regulatory</w:t>
      </w:r>
      <w:proofErr w:type="spellEnd"/>
      <w:r w:rsidRPr="00094B90">
        <w:rPr>
          <w:rFonts w:eastAsia="ITC Avant Garde" w:cstheme="minorHAnsi"/>
          <w:lang w:val="es-ES"/>
        </w:rPr>
        <w:t xml:space="preserve"> </w:t>
      </w:r>
      <w:proofErr w:type="spellStart"/>
      <w:r w:rsidRPr="00094B90">
        <w:rPr>
          <w:rFonts w:eastAsia="ITC Avant Garde" w:cstheme="minorHAnsi"/>
          <w:lang w:val="es-ES"/>
        </w:rPr>
        <w:t>guidelines</w:t>
      </w:r>
      <w:proofErr w:type="spellEnd"/>
      <w:r w:rsidRPr="00094B90">
        <w:rPr>
          <w:rFonts w:eastAsia="ITC Avant Garde" w:cstheme="minorHAnsi"/>
          <w:lang w:val="es-ES"/>
        </w:rPr>
        <w:t xml:space="preserve"> </w:t>
      </w:r>
      <w:proofErr w:type="spellStart"/>
      <w:r w:rsidRPr="00094B90">
        <w:rPr>
          <w:rFonts w:eastAsia="ITC Avant Garde" w:cstheme="minorHAnsi"/>
          <w:lang w:val="es-ES"/>
        </w:rPr>
        <w:t>to</w:t>
      </w:r>
      <w:proofErr w:type="spellEnd"/>
      <w:r w:rsidRPr="00094B90">
        <w:rPr>
          <w:rFonts w:eastAsia="ITC Avant Garde" w:cstheme="minorHAnsi"/>
          <w:lang w:val="es-ES"/>
        </w:rPr>
        <w:t xml:space="preserve"> </w:t>
      </w:r>
      <w:proofErr w:type="spellStart"/>
      <w:r w:rsidRPr="00094B90">
        <w:rPr>
          <w:rFonts w:eastAsia="ITC Avant Garde" w:cstheme="minorHAnsi"/>
          <w:lang w:val="es-ES"/>
        </w:rPr>
        <w:t>enable</w:t>
      </w:r>
      <w:proofErr w:type="spellEnd"/>
      <w:r w:rsidRPr="00094B90">
        <w:rPr>
          <w:rFonts w:eastAsia="ITC Avant Garde" w:cstheme="minorHAnsi"/>
          <w:lang w:val="es-ES"/>
        </w:rPr>
        <w:t xml:space="preserve"> local </w:t>
      </w:r>
      <w:proofErr w:type="spellStart"/>
      <w:r w:rsidRPr="00094B90">
        <w:rPr>
          <w:rFonts w:eastAsia="ITC Avant Garde" w:cstheme="minorHAnsi"/>
          <w:lang w:val="es-ES"/>
        </w:rPr>
        <w:t>operators</w:t>
      </w:r>
      <w:proofErr w:type="spellEnd"/>
      <w:r w:rsidRPr="00094B90">
        <w:rPr>
          <w:rFonts w:eastAsia="ITC Avant Garde" w:cstheme="minorHAnsi"/>
          <w:lang w:val="es-ES"/>
        </w:rPr>
        <w:t xml:space="preserve">. Recuperado el 12 de mayo de 2022 de: </w:t>
      </w:r>
      <w:hyperlink r:id="rId21" w:history="1">
        <w:r w:rsidRPr="00094B90">
          <w:rPr>
            <w:rFonts w:eastAsia="ITC Avant Garde" w:cstheme="minorHAnsi"/>
            <w:lang w:val="es-ES"/>
          </w:rPr>
          <w:t>https://www.apc.org/sites/default/files/APC_R1_ExpandingTelecommunication_OK.pdf</w:t>
        </w:r>
      </w:hyperlink>
      <w:r w:rsidRPr="00094B90">
        <w:rPr>
          <w:rFonts w:eastAsia="ITC Avant Garde" w:cstheme="minorHAnsi"/>
          <w:lang w:val="es-ES"/>
        </w:rPr>
        <w:t xml:space="preserve">  Tabla en la página 34.</w:t>
      </w:r>
    </w:p>
    <w:p w14:paraId="45647DCA" w14:textId="77777777" w:rsidR="00094B90" w:rsidRPr="00094B90" w:rsidRDefault="00094B90" w:rsidP="001E19CA">
      <w:pPr>
        <w:pStyle w:val="Prrafodelista"/>
        <w:spacing w:line="360" w:lineRule="auto"/>
        <w:ind w:left="426"/>
        <w:jc w:val="both"/>
        <w:rPr>
          <w:rFonts w:eastAsia="ITC Avant Garde" w:cstheme="minorHAnsi"/>
          <w:lang w:val="es-ES"/>
        </w:rPr>
      </w:pPr>
    </w:p>
    <w:p w14:paraId="3B3A8167"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Instituto Federal de Telecomunicaciones (2022). Programa Anual de Trabajo 2022 del IFT. Página 30. Recuperado el 29 de enero de 2022 de: </w:t>
      </w:r>
      <w:hyperlink r:id="rId22" w:history="1">
        <w:r w:rsidRPr="00094B90">
          <w:rPr>
            <w:rFonts w:eastAsia="ITC Avant Garde" w:cstheme="minorHAnsi"/>
            <w:lang w:val="es-ES"/>
          </w:rPr>
          <w:t>http://www.ift.org.mx/sites/default/files/contenidogeneral/transparencia/pat2022.pdf</w:t>
        </w:r>
      </w:hyperlink>
      <w:r w:rsidRPr="00094B90">
        <w:rPr>
          <w:rFonts w:eastAsia="ITC Avant Garde" w:cstheme="minorHAnsi"/>
          <w:lang w:val="es-ES"/>
        </w:rPr>
        <w:t xml:space="preserve"> </w:t>
      </w:r>
    </w:p>
    <w:p w14:paraId="4E833026" w14:textId="77777777" w:rsidR="00094B90" w:rsidRPr="00094B90" w:rsidRDefault="00094B90" w:rsidP="001E19CA">
      <w:pPr>
        <w:pStyle w:val="Prrafodelista"/>
        <w:spacing w:line="360" w:lineRule="auto"/>
        <w:ind w:left="426"/>
        <w:jc w:val="both"/>
        <w:rPr>
          <w:rFonts w:eastAsia="ITC Avant Garde" w:cstheme="minorHAnsi"/>
          <w:lang w:val="es-ES"/>
        </w:rPr>
      </w:pPr>
    </w:p>
    <w:p w14:paraId="19DAF294"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Organización de las Naciones Unidas (2019). </w:t>
      </w:r>
      <w:r w:rsidRPr="00094B90">
        <w:rPr>
          <w:rFonts w:eastAsia="ITC Avant Garde" w:cstheme="minorHAnsi"/>
        </w:rPr>
        <w:t xml:space="preserve">UN Secretary-General’s High-level Panel on Digital Cooperation. </w:t>
      </w:r>
      <w:proofErr w:type="spellStart"/>
      <w:r w:rsidRPr="00094B90">
        <w:rPr>
          <w:rFonts w:eastAsia="ITC Avant Garde" w:cstheme="minorHAnsi"/>
          <w:lang w:val="es-ES"/>
        </w:rPr>
        <w:t>The</w:t>
      </w:r>
      <w:proofErr w:type="spellEnd"/>
      <w:r w:rsidRPr="00094B90">
        <w:rPr>
          <w:rFonts w:eastAsia="ITC Avant Garde" w:cstheme="minorHAnsi"/>
          <w:lang w:val="es-ES"/>
        </w:rPr>
        <w:t xml:space="preserve"> Age </w:t>
      </w:r>
      <w:proofErr w:type="spellStart"/>
      <w:r w:rsidRPr="00094B90">
        <w:rPr>
          <w:rFonts w:eastAsia="ITC Avant Garde" w:cstheme="minorHAnsi"/>
          <w:lang w:val="es-ES"/>
        </w:rPr>
        <w:t>of</w:t>
      </w:r>
      <w:proofErr w:type="spellEnd"/>
      <w:r w:rsidRPr="00094B90">
        <w:rPr>
          <w:rFonts w:eastAsia="ITC Avant Garde" w:cstheme="minorHAnsi"/>
          <w:lang w:val="es-ES"/>
        </w:rPr>
        <w:t xml:space="preserve"> Digital </w:t>
      </w:r>
      <w:proofErr w:type="spellStart"/>
      <w:r w:rsidRPr="00094B90">
        <w:rPr>
          <w:rFonts w:eastAsia="ITC Avant Garde" w:cstheme="minorHAnsi"/>
          <w:lang w:val="es-ES"/>
        </w:rPr>
        <w:t>Interdependence</w:t>
      </w:r>
      <w:proofErr w:type="spellEnd"/>
      <w:r w:rsidRPr="00094B90">
        <w:rPr>
          <w:rFonts w:eastAsia="ITC Avant Garde" w:cstheme="minorHAnsi"/>
          <w:lang w:val="es-ES"/>
        </w:rPr>
        <w:t>. Recuperado el 12 de mayo de 2022 https://www.un.org/en/pdfs/DigitalCooperation-report-for%20web .</w:t>
      </w:r>
      <w:proofErr w:type="spellStart"/>
      <w:r w:rsidRPr="00094B90">
        <w:rPr>
          <w:rFonts w:eastAsia="ITC Avant Garde" w:cstheme="minorHAnsi"/>
          <w:lang w:val="es-ES"/>
        </w:rPr>
        <w:t>pdf</w:t>
      </w:r>
      <w:proofErr w:type="spellEnd"/>
    </w:p>
    <w:p w14:paraId="7F98EA42" w14:textId="77777777" w:rsidR="00094B90" w:rsidRPr="00094B90" w:rsidRDefault="00094B90" w:rsidP="001E19CA">
      <w:pPr>
        <w:pStyle w:val="Prrafodelista"/>
        <w:spacing w:line="360" w:lineRule="auto"/>
        <w:ind w:left="426"/>
        <w:jc w:val="both"/>
        <w:rPr>
          <w:rFonts w:eastAsia="ITC Avant Garde" w:cstheme="minorHAnsi"/>
          <w:lang w:val="es-ES"/>
        </w:rPr>
      </w:pPr>
    </w:p>
    <w:p w14:paraId="285FE5A8"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rPr>
      </w:pPr>
      <w:r w:rsidRPr="00094B90">
        <w:rPr>
          <w:rFonts w:eastAsia="ITC Avant Garde" w:cstheme="minorHAnsi"/>
          <w:lang w:val="es-ES"/>
        </w:rPr>
        <w:t xml:space="preserve">Organización de los Estados Americanos (2019). </w:t>
      </w:r>
      <w:r w:rsidRPr="00094B90">
        <w:rPr>
          <w:rFonts w:eastAsia="ITC Avant Garde" w:cstheme="minorHAnsi"/>
        </w:rPr>
        <w:t>Expansion of Brazilian Broadband Network Document presented by the Brazilian Delegation at the 35th Meeting of the PCC-1 CITEL 2019.</w:t>
      </w:r>
    </w:p>
    <w:p w14:paraId="01FA254B" w14:textId="77777777" w:rsidR="00094B90" w:rsidRPr="00094B90" w:rsidRDefault="00094B90" w:rsidP="001E19CA">
      <w:pPr>
        <w:pStyle w:val="Prrafodelista"/>
        <w:spacing w:line="360" w:lineRule="auto"/>
        <w:ind w:left="426"/>
        <w:jc w:val="both"/>
        <w:rPr>
          <w:rFonts w:eastAsia="ITC Avant Garde" w:cstheme="minorHAnsi"/>
        </w:rPr>
      </w:pPr>
    </w:p>
    <w:p w14:paraId="747557C1" w14:textId="061AC8BB" w:rsidR="00094B90" w:rsidRPr="00D4071C"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rPr>
      </w:pPr>
      <w:r w:rsidRPr="00094B90">
        <w:rPr>
          <w:rFonts w:eastAsia="ITC Avant Garde" w:cstheme="minorHAnsi"/>
          <w:lang w:val="es-ES"/>
        </w:rPr>
        <w:lastRenderedPageBreak/>
        <w:t>Secretaría de Infraestructura, Comunicaciones y Transportes</w:t>
      </w:r>
      <w:r w:rsidR="000C734D">
        <w:rPr>
          <w:rFonts w:eastAsia="ITC Avant Garde" w:cstheme="minorHAnsi"/>
          <w:lang w:val="es-ES"/>
        </w:rPr>
        <w:t xml:space="preserve"> </w:t>
      </w:r>
      <w:r w:rsidRPr="00094B90">
        <w:rPr>
          <w:rFonts w:eastAsia="ITC Avant Garde" w:cstheme="minorHAnsi"/>
          <w:lang w:val="es-ES"/>
        </w:rPr>
        <w:t xml:space="preserve">(2021-22). Programa de Cobertura Social de la SICT. Recuperado el 20 de mayo de 2022 </w:t>
      </w:r>
      <w:proofErr w:type="gramStart"/>
      <w:r w:rsidRPr="00094B90">
        <w:rPr>
          <w:rFonts w:eastAsia="ITC Avant Garde" w:cstheme="minorHAnsi"/>
          <w:lang w:val="es-ES"/>
        </w:rPr>
        <w:t>de:.</w:t>
      </w:r>
      <w:proofErr w:type="gramEnd"/>
      <w:r w:rsidR="008210E3">
        <w:fldChar w:fldCharType="begin"/>
      </w:r>
      <w:r w:rsidR="008210E3" w:rsidRPr="00A91032">
        <w:rPr>
          <w:lang w:val="es-MX"/>
        </w:rPr>
        <w:instrText xml:space="preserve"> HYPERLINK "https://www.gob.mx/sct/acciones-y-programas/programa-de-cobertura-social" </w:instrText>
      </w:r>
      <w:r w:rsidR="008210E3">
        <w:fldChar w:fldCharType="separate"/>
      </w:r>
      <w:r w:rsidRPr="00D4071C">
        <w:rPr>
          <w:rFonts w:eastAsia="ITC Avant Garde" w:cstheme="minorHAnsi"/>
        </w:rPr>
        <w:t>https://www.gob.mx/sct/acciones-y-programas/programa-de-cobertura-social</w:t>
      </w:r>
      <w:r w:rsidR="008210E3">
        <w:rPr>
          <w:rFonts w:eastAsia="ITC Avant Garde" w:cstheme="minorHAnsi"/>
        </w:rPr>
        <w:fldChar w:fldCharType="end"/>
      </w:r>
      <w:r w:rsidRPr="00D4071C">
        <w:rPr>
          <w:rFonts w:eastAsia="ITC Avant Garde" w:cstheme="minorHAnsi"/>
        </w:rPr>
        <w:t xml:space="preserve"> </w:t>
      </w:r>
    </w:p>
    <w:p w14:paraId="54B47915" w14:textId="77777777" w:rsidR="00094B90" w:rsidRPr="00D4071C" w:rsidRDefault="00094B90" w:rsidP="000C734D">
      <w:pPr>
        <w:spacing w:line="360" w:lineRule="auto"/>
        <w:rPr>
          <w:rFonts w:asciiTheme="minorHAnsi" w:eastAsia="ITC Avant Garde" w:hAnsiTheme="minorHAnsi" w:cstheme="minorHAnsi"/>
          <w:sz w:val="24"/>
          <w:szCs w:val="24"/>
          <w:lang w:val="en-US"/>
        </w:rPr>
      </w:pPr>
    </w:p>
    <w:p w14:paraId="2A95EFAD"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Unión Internacional de Telecomunicaciones (2015). </w:t>
      </w:r>
      <w:proofErr w:type="spellStart"/>
      <w:r w:rsidRPr="00094B90">
        <w:rPr>
          <w:rFonts w:eastAsia="ITC Avant Garde" w:cstheme="minorHAnsi"/>
          <w:lang w:val="es-ES"/>
        </w:rPr>
        <w:t>World</w:t>
      </w:r>
      <w:proofErr w:type="spellEnd"/>
      <w:r w:rsidRPr="00094B90">
        <w:rPr>
          <w:rFonts w:eastAsia="ITC Avant Garde" w:cstheme="minorHAnsi"/>
          <w:lang w:val="es-ES"/>
        </w:rPr>
        <w:t xml:space="preserve"> </w:t>
      </w:r>
      <w:proofErr w:type="spellStart"/>
      <w:r w:rsidRPr="00094B90">
        <w:rPr>
          <w:rFonts w:eastAsia="ITC Avant Garde" w:cstheme="minorHAnsi"/>
          <w:lang w:val="es-ES"/>
        </w:rPr>
        <w:t>Telecommunication</w:t>
      </w:r>
      <w:proofErr w:type="spellEnd"/>
      <w:r w:rsidRPr="00094B90">
        <w:rPr>
          <w:rFonts w:eastAsia="ITC Avant Garde" w:cstheme="minorHAnsi"/>
          <w:lang w:val="es-ES"/>
        </w:rPr>
        <w:t xml:space="preserve"> </w:t>
      </w:r>
      <w:proofErr w:type="spellStart"/>
      <w:r w:rsidRPr="00094B90">
        <w:rPr>
          <w:rFonts w:eastAsia="ITC Avant Garde" w:cstheme="minorHAnsi"/>
          <w:lang w:val="es-ES"/>
        </w:rPr>
        <w:t>Development</w:t>
      </w:r>
      <w:proofErr w:type="spellEnd"/>
      <w:r w:rsidRPr="00094B90">
        <w:rPr>
          <w:rFonts w:eastAsia="ITC Avant Garde" w:cstheme="minorHAnsi"/>
          <w:lang w:val="es-ES"/>
        </w:rPr>
        <w:t xml:space="preserve"> </w:t>
      </w:r>
      <w:proofErr w:type="spellStart"/>
      <w:r w:rsidRPr="00094B90">
        <w:rPr>
          <w:rFonts w:eastAsia="ITC Avant Garde" w:cstheme="minorHAnsi"/>
          <w:lang w:val="es-ES"/>
        </w:rPr>
        <w:t>Conference</w:t>
      </w:r>
      <w:proofErr w:type="spellEnd"/>
      <w:r w:rsidRPr="00094B90">
        <w:rPr>
          <w:rFonts w:eastAsia="ITC Avant Garde" w:cstheme="minorHAnsi"/>
          <w:lang w:val="es-ES"/>
        </w:rPr>
        <w:t xml:space="preserve"> (WTDC-14) Final </w:t>
      </w:r>
      <w:proofErr w:type="spellStart"/>
      <w:r w:rsidRPr="00094B90">
        <w:rPr>
          <w:rFonts w:eastAsia="ITC Avant Garde" w:cstheme="minorHAnsi"/>
          <w:lang w:val="es-ES"/>
        </w:rPr>
        <w:t>Report</w:t>
      </w:r>
      <w:proofErr w:type="spellEnd"/>
      <w:r w:rsidRPr="00094B90">
        <w:rPr>
          <w:rFonts w:eastAsia="ITC Avant Garde" w:cstheme="minorHAnsi"/>
          <w:lang w:val="es-ES"/>
        </w:rPr>
        <w:t xml:space="preserve">. </w:t>
      </w:r>
      <w:proofErr w:type="spellStart"/>
      <w:r w:rsidRPr="00094B90">
        <w:rPr>
          <w:rFonts w:eastAsia="ITC Avant Garde" w:cstheme="minorHAnsi"/>
          <w:lang w:val="es-ES"/>
        </w:rPr>
        <w:t>Recommendation</w:t>
      </w:r>
      <w:proofErr w:type="spellEnd"/>
      <w:r w:rsidRPr="00094B90">
        <w:rPr>
          <w:rFonts w:eastAsia="ITC Avant Garde" w:cstheme="minorHAnsi"/>
          <w:lang w:val="es-ES"/>
        </w:rPr>
        <w:t xml:space="preserve"> 19 (</w:t>
      </w:r>
      <w:proofErr w:type="spellStart"/>
      <w:r w:rsidRPr="00094B90">
        <w:rPr>
          <w:rFonts w:eastAsia="ITC Avant Garde" w:cstheme="minorHAnsi"/>
          <w:lang w:val="es-ES"/>
        </w:rPr>
        <w:t>Dubaí</w:t>
      </w:r>
      <w:proofErr w:type="spellEnd"/>
      <w:r w:rsidRPr="00094B90">
        <w:rPr>
          <w:rFonts w:eastAsia="ITC Avant Garde" w:cstheme="minorHAnsi"/>
          <w:lang w:val="es-ES"/>
        </w:rPr>
        <w:t xml:space="preserve"> 2014) </w:t>
      </w:r>
      <w:proofErr w:type="spellStart"/>
      <w:r w:rsidRPr="00094B90">
        <w:rPr>
          <w:rFonts w:eastAsia="ITC Avant Garde" w:cstheme="minorHAnsi"/>
          <w:lang w:val="es-ES"/>
        </w:rPr>
        <w:t>pp</w:t>
      </w:r>
      <w:proofErr w:type="spellEnd"/>
      <w:r w:rsidRPr="00094B90">
        <w:rPr>
          <w:rFonts w:eastAsia="ITC Avant Garde" w:cstheme="minorHAnsi"/>
          <w:lang w:val="es-ES"/>
        </w:rPr>
        <w:t xml:space="preserve"> 537-542. Recuperado el 20 de mayo de 2022 de:  </w:t>
      </w:r>
      <w:hyperlink r:id="rId23" w:history="1">
        <w:r w:rsidRPr="00094B90">
          <w:rPr>
            <w:rFonts w:eastAsia="ITC Avant Garde" w:cstheme="minorHAnsi"/>
            <w:lang w:val="es-ES"/>
          </w:rPr>
          <w:t>https://www.itu.int/en/ITU-D/TIES_Protected/WTDC14/WTDC14-FinalReport-E.pdf</w:t>
        </w:r>
      </w:hyperlink>
      <w:r w:rsidRPr="00094B90">
        <w:rPr>
          <w:rFonts w:eastAsia="ITC Avant Garde" w:cstheme="minorHAnsi"/>
          <w:lang w:val="es-ES"/>
        </w:rPr>
        <w:t xml:space="preserve"> </w:t>
      </w:r>
    </w:p>
    <w:p w14:paraId="5518798B" w14:textId="77777777" w:rsidR="00094B90" w:rsidRPr="00094B90" w:rsidRDefault="00094B90" w:rsidP="000C734D">
      <w:pPr>
        <w:spacing w:line="360" w:lineRule="auto"/>
        <w:rPr>
          <w:rFonts w:asciiTheme="minorHAnsi" w:eastAsia="ITC Avant Garde" w:hAnsiTheme="minorHAnsi" w:cstheme="minorHAnsi"/>
          <w:sz w:val="24"/>
          <w:szCs w:val="24"/>
          <w:lang w:val="es-ES"/>
        </w:rPr>
      </w:pPr>
    </w:p>
    <w:p w14:paraId="26FB9E18"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t xml:space="preserve">Unión Internacional de Telecomunicaciones (2018). </w:t>
      </w:r>
      <w:proofErr w:type="spellStart"/>
      <w:r w:rsidRPr="00094B90">
        <w:rPr>
          <w:rFonts w:eastAsia="ITC Avant Garde" w:cstheme="minorHAnsi"/>
          <w:lang w:val="es-ES"/>
        </w:rPr>
        <w:t>World</w:t>
      </w:r>
      <w:proofErr w:type="spellEnd"/>
      <w:r w:rsidRPr="00094B90">
        <w:rPr>
          <w:rFonts w:eastAsia="ITC Avant Garde" w:cstheme="minorHAnsi"/>
          <w:lang w:val="es-ES"/>
        </w:rPr>
        <w:t xml:space="preserve"> </w:t>
      </w:r>
      <w:proofErr w:type="spellStart"/>
      <w:r w:rsidRPr="00094B90">
        <w:rPr>
          <w:rFonts w:eastAsia="ITC Avant Garde" w:cstheme="minorHAnsi"/>
          <w:lang w:val="es-ES"/>
        </w:rPr>
        <w:t>Telecommunication</w:t>
      </w:r>
      <w:proofErr w:type="spellEnd"/>
      <w:r w:rsidRPr="00094B90">
        <w:rPr>
          <w:rFonts w:eastAsia="ITC Avant Garde" w:cstheme="minorHAnsi"/>
          <w:lang w:val="es-ES"/>
        </w:rPr>
        <w:t xml:space="preserve"> </w:t>
      </w:r>
      <w:proofErr w:type="spellStart"/>
      <w:r w:rsidRPr="00094B90">
        <w:rPr>
          <w:rFonts w:eastAsia="ITC Avant Garde" w:cstheme="minorHAnsi"/>
          <w:lang w:val="es-ES"/>
        </w:rPr>
        <w:t>Development</w:t>
      </w:r>
      <w:proofErr w:type="spellEnd"/>
      <w:r w:rsidRPr="00094B90">
        <w:rPr>
          <w:rFonts w:eastAsia="ITC Avant Garde" w:cstheme="minorHAnsi"/>
          <w:lang w:val="es-ES"/>
        </w:rPr>
        <w:t xml:space="preserve"> </w:t>
      </w:r>
      <w:proofErr w:type="spellStart"/>
      <w:r w:rsidRPr="00094B90">
        <w:rPr>
          <w:rFonts w:eastAsia="ITC Avant Garde" w:cstheme="minorHAnsi"/>
          <w:lang w:val="es-ES"/>
        </w:rPr>
        <w:t>Conference</w:t>
      </w:r>
      <w:proofErr w:type="spellEnd"/>
      <w:r w:rsidRPr="00094B90">
        <w:rPr>
          <w:rFonts w:eastAsia="ITC Avant Garde" w:cstheme="minorHAnsi"/>
          <w:lang w:val="es-ES"/>
        </w:rPr>
        <w:t xml:space="preserve"> (WTDC-17) Final </w:t>
      </w:r>
      <w:proofErr w:type="spellStart"/>
      <w:r w:rsidRPr="00094B90">
        <w:rPr>
          <w:rFonts w:eastAsia="ITC Avant Garde" w:cstheme="minorHAnsi"/>
          <w:lang w:val="es-ES"/>
        </w:rPr>
        <w:t>Report</w:t>
      </w:r>
      <w:proofErr w:type="spellEnd"/>
      <w:r w:rsidRPr="00094B90">
        <w:rPr>
          <w:rFonts w:eastAsia="ITC Avant Garde" w:cstheme="minorHAnsi"/>
          <w:lang w:val="es-ES"/>
        </w:rPr>
        <w:t xml:space="preserve">. </w:t>
      </w:r>
      <w:proofErr w:type="spellStart"/>
      <w:r w:rsidRPr="00094B90">
        <w:rPr>
          <w:rFonts w:eastAsia="ITC Avant Garde" w:cstheme="minorHAnsi"/>
          <w:lang w:val="es-ES"/>
        </w:rPr>
        <w:t>Resolution</w:t>
      </w:r>
      <w:proofErr w:type="spellEnd"/>
      <w:r w:rsidRPr="00094B90">
        <w:rPr>
          <w:rFonts w:eastAsia="ITC Avant Garde" w:cstheme="minorHAnsi"/>
          <w:lang w:val="es-ES"/>
        </w:rPr>
        <w:t xml:space="preserve"> 11(Rev. Buenos Aires 2017), </w:t>
      </w:r>
      <w:proofErr w:type="spellStart"/>
      <w:r w:rsidRPr="00094B90">
        <w:rPr>
          <w:rFonts w:eastAsia="ITC Avant Garde" w:cstheme="minorHAnsi"/>
          <w:lang w:val="es-ES"/>
        </w:rPr>
        <w:t>pp</w:t>
      </w:r>
      <w:proofErr w:type="spellEnd"/>
      <w:r w:rsidRPr="00094B90">
        <w:rPr>
          <w:rFonts w:eastAsia="ITC Avant Garde" w:cstheme="minorHAnsi"/>
          <w:lang w:val="es-ES"/>
        </w:rPr>
        <w:t xml:space="preserve"> 282-286https://www.itu.int/en/ITU-D/Conferences/WTDC/WTDC17/Documents/WTDC17_final_report_en.pdf</w:t>
      </w:r>
    </w:p>
    <w:p w14:paraId="1DECB4F8" w14:textId="77777777" w:rsidR="00094B90" w:rsidRPr="00094B90" w:rsidRDefault="00094B90" w:rsidP="001E19CA">
      <w:pPr>
        <w:pStyle w:val="Prrafodelista"/>
        <w:spacing w:line="360" w:lineRule="auto"/>
        <w:ind w:left="426"/>
        <w:jc w:val="both"/>
        <w:rPr>
          <w:rFonts w:eastAsia="ITC Avant Garde" w:cstheme="minorHAnsi"/>
          <w:lang w:val="es-ES"/>
        </w:rPr>
      </w:pPr>
    </w:p>
    <w:p w14:paraId="1CE7550E" w14:textId="77777777" w:rsidR="00094B90" w:rsidRPr="00094B90" w:rsidRDefault="00094B90" w:rsidP="000C734D">
      <w:pPr>
        <w:pStyle w:val="Prrafodelista"/>
        <w:spacing w:line="360" w:lineRule="auto"/>
        <w:ind w:left="426"/>
        <w:jc w:val="both"/>
        <w:rPr>
          <w:rFonts w:eastAsia="ITC Avant Garde" w:cstheme="minorHAnsi"/>
          <w:lang w:val="es-ES"/>
        </w:rPr>
      </w:pPr>
    </w:p>
    <w:p w14:paraId="71B6AE15" w14:textId="77777777" w:rsidR="00094B90" w:rsidRPr="00094B90" w:rsidRDefault="00094B90" w:rsidP="00C831FF">
      <w:pPr>
        <w:pStyle w:val="Prrafodelista"/>
        <w:numPr>
          <w:ilvl w:val="0"/>
          <w:numId w:val="16"/>
        </w:numPr>
        <w:pBdr>
          <w:top w:val="nil"/>
          <w:left w:val="nil"/>
          <w:bottom w:val="nil"/>
          <w:right w:val="nil"/>
          <w:between w:val="nil"/>
          <w:bar w:val="nil"/>
        </w:pBdr>
        <w:spacing w:line="360" w:lineRule="auto"/>
        <w:contextualSpacing w:val="0"/>
        <w:jc w:val="both"/>
        <w:rPr>
          <w:rFonts w:eastAsia="ITC Avant Garde" w:cstheme="minorHAnsi"/>
          <w:lang w:val="es-ES"/>
        </w:rPr>
      </w:pPr>
      <w:r w:rsidRPr="00094B90">
        <w:rPr>
          <w:rFonts w:eastAsia="ITC Avant Garde" w:cstheme="minorHAnsi"/>
          <w:lang w:val="es-ES"/>
        </w:rPr>
        <w:br w:type="page"/>
      </w:r>
    </w:p>
    <w:p w14:paraId="7CE0D684" w14:textId="77777777" w:rsidR="005F56C5" w:rsidRPr="005F56C5" w:rsidRDefault="005F56C5" w:rsidP="005F56C5">
      <w:pPr>
        <w:spacing w:line="360" w:lineRule="auto"/>
        <w:ind w:left="786"/>
        <w:rPr>
          <w:rStyle w:val="Hipervnculo"/>
          <w:rFonts w:asciiTheme="minorHAnsi" w:eastAsia="Times New Roman" w:hAnsiTheme="minorHAnsi" w:cstheme="minorHAnsi"/>
          <w:sz w:val="24"/>
          <w:szCs w:val="24"/>
        </w:rPr>
      </w:pPr>
    </w:p>
    <w:p w14:paraId="6134949E" w14:textId="77777777" w:rsidR="006A10D3" w:rsidRDefault="006A10D3" w:rsidP="005F56C5">
      <w:pPr>
        <w:pStyle w:val="BodyA"/>
        <w:spacing w:line="360" w:lineRule="auto"/>
        <w:ind w:left="786"/>
        <w:jc w:val="center"/>
        <w:rPr>
          <w:rFonts w:asciiTheme="minorHAnsi" w:eastAsia="Helvetica Neue" w:hAnsiTheme="minorHAnsi" w:cstheme="minorHAnsi"/>
        </w:rPr>
      </w:pPr>
    </w:p>
    <w:p w14:paraId="747B031D" w14:textId="77777777" w:rsidR="006A10D3" w:rsidRDefault="006A10D3" w:rsidP="005F56C5">
      <w:pPr>
        <w:pStyle w:val="BodyA"/>
        <w:spacing w:line="360" w:lineRule="auto"/>
        <w:ind w:left="786"/>
        <w:jc w:val="center"/>
        <w:rPr>
          <w:rFonts w:asciiTheme="minorHAnsi" w:eastAsia="Helvetica Neue" w:hAnsiTheme="minorHAnsi" w:cstheme="minorHAnsi"/>
        </w:rPr>
      </w:pPr>
    </w:p>
    <w:p w14:paraId="022247B9" w14:textId="77777777" w:rsidR="006A10D3" w:rsidRDefault="006A10D3" w:rsidP="005F56C5">
      <w:pPr>
        <w:pStyle w:val="BodyA"/>
        <w:spacing w:line="360" w:lineRule="auto"/>
        <w:ind w:left="786"/>
        <w:jc w:val="center"/>
        <w:rPr>
          <w:rFonts w:asciiTheme="minorHAnsi" w:eastAsia="Helvetica Neue" w:hAnsiTheme="minorHAnsi" w:cstheme="minorHAnsi"/>
        </w:rPr>
      </w:pPr>
    </w:p>
    <w:p w14:paraId="58927A04" w14:textId="2E3353CA" w:rsidR="005F56C5" w:rsidRDefault="005F56C5" w:rsidP="005F56C5">
      <w:pPr>
        <w:pStyle w:val="BodyA"/>
        <w:spacing w:line="360" w:lineRule="auto"/>
        <w:ind w:left="786"/>
        <w:jc w:val="center"/>
        <w:rPr>
          <w:rFonts w:asciiTheme="minorHAnsi" w:eastAsia="Helvetica Neue" w:hAnsiTheme="minorHAnsi" w:cstheme="minorHAnsi"/>
        </w:rPr>
      </w:pPr>
      <w:r>
        <w:rPr>
          <w:rFonts w:asciiTheme="minorHAnsi" w:eastAsia="Helvetica Neue" w:hAnsiTheme="minorHAnsi" w:cstheme="minorHAnsi"/>
        </w:rPr>
        <w:t>Dr. Luis Miguel Martínez Cervantes</w:t>
      </w:r>
    </w:p>
    <w:p w14:paraId="065FD33C" w14:textId="77777777" w:rsidR="005F56C5" w:rsidRDefault="005F56C5" w:rsidP="005F56C5">
      <w:pPr>
        <w:pStyle w:val="BodyA"/>
        <w:spacing w:line="360" w:lineRule="auto"/>
        <w:ind w:left="786"/>
        <w:jc w:val="center"/>
        <w:rPr>
          <w:rFonts w:asciiTheme="minorHAnsi" w:eastAsia="Helvetica Neue" w:hAnsiTheme="minorHAnsi" w:cstheme="minorHAnsi"/>
        </w:rPr>
      </w:pPr>
      <w:r>
        <w:rPr>
          <w:rFonts w:asciiTheme="minorHAnsi" w:eastAsia="Helvetica Neue" w:hAnsiTheme="minorHAnsi" w:cstheme="minorHAnsi"/>
        </w:rPr>
        <w:t>Presidente</w:t>
      </w:r>
    </w:p>
    <w:p w14:paraId="253747DE" w14:textId="77777777" w:rsidR="005F56C5" w:rsidRDefault="005F56C5" w:rsidP="005F56C5">
      <w:pPr>
        <w:pStyle w:val="BodyA"/>
        <w:spacing w:line="360" w:lineRule="auto"/>
        <w:ind w:left="786"/>
        <w:jc w:val="center"/>
        <w:rPr>
          <w:rFonts w:asciiTheme="minorHAnsi" w:eastAsia="Helvetica Neue" w:hAnsiTheme="minorHAnsi" w:cstheme="minorHAnsi"/>
        </w:rPr>
      </w:pPr>
    </w:p>
    <w:p w14:paraId="54CCC36C" w14:textId="77777777" w:rsidR="005F56C5" w:rsidRDefault="005F56C5" w:rsidP="005F56C5">
      <w:pPr>
        <w:pStyle w:val="BodyA"/>
        <w:spacing w:line="360" w:lineRule="auto"/>
        <w:ind w:left="786"/>
        <w:jc w:val="center"/>
        <w:rPr>
          <w:rFonts w:asciiTheme="minorHAnsi" w:eastAsia="Helvetica Neue" w:hAnsiTheme="minorHAnsi" w:cstheme="minorHAnsi"/>
        </w:rPr>
      </w:pPr>
    </w:p>
    <w:p w14:paraId="4E71F3C7" w14:textId="77777777" w:rsidR="005F56C5" w:rsidRDefault="005F56C5" w:rsidP="005F56C5">
      <w:pPr>
        <w:pStyle w:val="BodyA"/>
        <w:spacing w:line="360" w:lineRule="auto"/>
        <w:ind w:left="786"/>
        <w:jc w:val="center"/>
        <w:rPr>
          <w:rFonts w:asciiTheme="minorHAnsi" w:eastAsia="Helvetica Neue" w:hAnsiTheme="minorHAnsi" w:cstheme="minorHAnsi"/>
        </w:rPr>
      </w:pPr>
    </w:p>
    <w:p w14:paraId="04A20891" w14:textId="77777777" w:rsidR="005F56C5" w:rsidRDefault="005F56C5" w:rsidP="005F56C5">
      <w:pPr>
        <w:pStyle w:val="BodyA"/>
        <w:spacing w:line="360" w:lineRule="auto"/>
        <w:ind w:left="786"/>
        <w:jc w:val="center"/>
        <w:rPr>
          <w:rFonts w:asciiTheme="minorHAnsi" w:eastAsia="Helvetica Neue" w:hAnsiTheme="minorHAnsi" w:cstheme="minorHAnsi"/>
        </w:rPr>
      </w:pPr>
      <w:r>
        <w:rPr>
          <w:rFonts w:asciiTheme="minorHAnsi" w:eastAsia="Helvetica Neue" w:hAnsiTheme="minorHAnsi" w:cstheme="minorHAnsi"/>
        </w:rPr>
        <w:t>Mtra. Rebeca Escobar Briones</w:t>
      </w:r>
    </w:p>
    <w:p w14:paraId="572F4C09" w14:textId="77777777" w:rsidR="005F56C5" w:rsidRDefault="005F56C5" w:rsidP="005F56C5">
      <w:pPr>
        <w:pStyle w:val="BodyA"/>
        <w:spacing w:line="360" w:lineRule="auto"/>
        <w:ind w:left="786"/>
        <w:jc w:val="center"/>
        <w:rPr>
          <w:rFonts w:asciiTheme="minorHAnsi" w:eastAsia="Helvetica Neue" w:hAnsiTheme="minorHAnsi" w:cstheme="minorHAnsi"/>
        </w:rPr>
      </w:pPr>
      <w:r>
        <w:rPr>
          <w:rFonts w:asciiTheme="minorHAnsi" w:eastAsia="Helvetica Neue" w:hAnsiTheme="minorHAnsi" w:cstheme="minorHAnsi"/>
        </w:rPr>
        <w:t>Secretaria del Consejo Consultivo</w:t>
      </w:r>
    </w:p>
    <w:p w14:paraId="4C84D94C" w14:textId="77777777" w:rsidR="005F56C5" w:rsidRDefault="005F56C5" w:rsidP="005F56C5">
      <w:pPr>
        <w:pStyle w:val="NormalWeb"/>
        <w:spacing w:before="0" w:beforeAutospacing="0" w:after="0" w:afterAutospacing="0"/>
        <w:ind w:left="786"/>
        <w:jc w:val="both"/>
        <w:rPr>
          <w:rFonts w:asciiTheme="minorHAnsi" w:hAnsiTheme="minorHAnsi" w:cstheme="minorHAnsi"/>
          <w:sz w:val="20"/>
          <w:szCs w:val="20"/>
        </w:rPr>
      </w:pPr>
    </w:p>
    <w:p w14:paraId="1F912542" w14:textId="77777777" w:rsidR="005F56C5" w:rsidRDefault="005F56C5" w:rsidP="005F56C5">
      <w:pPr>
        <w:pStyle w:val="NormalWeb"/>
        <w:spacing w:before="0" w:beforeAutospacing="0" w:after="0" w:afterAutospacing="0"/>
        <w:ind w:left="786"/>
        <w:jc w:val="both"/>
        <w:rPr>
          <w:rFonts w:asciiTheme="minorHAnsi" w:hAnsiTheme="minorHAnsi" w:cstheme="minorHAnsi"/>
          <w:sz w:val="20"/>
          <w:szCs w:val="20"/>
        </w:rPr>
      </w:pPr>
    </w:p>
    <w:p w14:paraId="1E4F16FE" w14:textId="77777777" w:rsidR="005F56C5" w:rsidRPr="001538D1" w:rsidRDefault="005F56C5" w:rsidP="005F56C5">
      <w:pPr>
        <w:pStyle w:val="NormalWeb"/>
        <w:spacing w:before="0" w:beforeAutospacing="0" w:after="0" w:afterAutospacing="0"/>
        <w:ind w:left="786"/>
        <w:jc w:val="both"/>
        <w:rPr>
          <w:rFonts w:asciiTheme="minorHAnsi" w:hAnsiTheme="minorHAnsi" w:cstheme="minorHAnsi"/>
          <w:sz w:val="20"/>
          <w:szCs w:val="20"/>
        </w:rPr>
      </w:pPr>
      <w:r>
        <w:rPr>
          <w:rFonts w:asciiTheme="minorHAnsi" w:hAnsiTheme="minorHAnsi" w:cstheme="minorHAnsi"/>
          <w:sz w:val="20"/>
          <w:szCs w:val="20"/>
        </w:rPr>
        <w:t xml:space="preserve">La Recomendación fue aprobada por el VI Consejo Consultivo del Instituto Federal de Telecomunicaciones por unanimidad de </w:t>
      </w:r>
      <w:r w:rsidRPr="001538D1">
        <w:rPr>
          <w:rFonts w:asciiTheme="minorHAnsi" w:hAnsiTheme="minorHAnsi" w:cstheme="minorHAnsi"/>
          <w:sz w:val="20"/>
          <w:szCs w:val="20"/>
        </w:rPr>
        <w:t>votos de los consejeros: Alejandro Ildefonso Castañeda Sabido, Sara Gabriela Castellanos Pascacio, Ernesto M. Flores-Roux, Gerardo Francisco González Abarca, Erik Huesca Morales, Salma Leticia Jalife Villalón, Luis Miguel Martínez Cervantes, Lucia Ojeda Cárdenas, Eurídice Palma Salas</w:t>
      </w:r>
      <w:r>
        <w:rPr>
          <w:rFonts w:asciiTheme="minorHAnsi" w:hAnsiTheme="minorHAnsi" w:cstheme="minorHAnsi"/>
          <w:sz w:val="20"/>
          <w:szCs w:val="20"/>
        </w:rPr>
        <w:t xml:space="preserve"> y</w:t>
      </w:r>
      <w:r w:rsidRPr="001538D1">
        <w:rPr>
          <w:rFonts w:asciiTheme="minorHAnsi" w:hAnsiTheme="minorHAnsi" w:cstheme="minorHAnsi"/>
          <w:sz w:val="20"/>
          <w:szCs w:val="20"/>
        </w:rPr>
        <w:t xml:space="preserve"> Víctor Rangel Licea, y en términos del artículo 17 último párrafo, </w:t>
      </w:r>
      <w:r>
        <w:rPr>
          <w:rFonts w:asciiTheme="minorHAnsi" w:hAnsiTheme="minorHAnsi" w:cstheme="minorHAnsi"/>
          <w:sz w:val="20"/>
          <w:szCs w:val="20"/>
        </w:rPr>
        <w:t>de la consejera Sofía Trejo Abad</w:t>
      </w:r>
      <w:r w:rsidRPr="001538D1">
        <w:rPr>
          <w:rFonts w:asciiTheme="minorHAnsi" w:hAnsiTheme="minorHAnsi" w:cstheme="minorHAnsi"/>
          <w:sz w:val="20"/>
          <w:szCs w:val="20"/>
        </w:rPr>
        <w:t>,</w:t>
      </w:r>
      <w:r>
        <w:rPr>
          <w:rFonts w:asciiTheme="minorHAnsi" w:hAnsiTheme="minorHAnsi" w:cstheme="minorHAnsi"/>
          <w:sz w:val="20"/>
          <w:szCs w:val="20"/>
        </w:rPr>
        <w:t xml:space="preserve"> en la VII Sesión Ordinaria celebrada el 23 de junio de 2022, mediante acuerdo</w:t>
      </w:r>
      <w:r w:rsidRPr="001538D1">
        <w:rPr>
          <w:rFonts w:asciiTheme="minorHAnsi" w:hAnsiTheme="minorHAnsi" w:cstheme="minorHAnsi"/>
          <w:sz w:val="20"/>
          <w:szCs w:val="20"/>
        </w:rPr>
        <w:t xml:space="preserve"> CC/IFT/</w:t>
      </w:r>
      <w:r>
        <w:rPr>
          <w:rFonts w:asciiTheme="minorHAnsi" w:hAnsiTheme="minorHAnsi" w:cstheme="minorHAnsi"/>
          <w:sz w:val="20"/>
          <w:szCs w:val="20"/>
        </w:rPr>
        <w:t>23</w:t>
      </w:r>
      <w:r w:rsidRPr="001538D1">
        <w:rPr>
          <w:rFonts w:asciiTheme="minorHAnsi" w:hAnsiTheme="minorHAnsi" w:cstheme="minorHAnsi"/>
          <w:sz w:val="20"/>
          <w:szCs w:val="20"/>
        </w:rPr>
        <w:t>0622/</w:t>
      </w:r>
      <w:r>
        <w:rPr>
          <w:rFonts w:asciiTheme="minorHAnsi" w:hAnsiTheme="minorHAnsi" w:cstheme="minorHAnsi"/>
          <w:sz w:val="20"/>
          <w:szCs w:val="20"/>
        </w:rPr>
        <w:t>29.</w:t>
      </w:r>
    </w:p>
    <w:p w14:paraId="5B31C2B9" w14:textId="77777777" w:rsidR="005F56C5" w:rsidRPr="005F56C5" w:rsidRDefault="005F56C5" w:rsidP="005F56C5">
      <w:pPr>
        <w:spacing w:line="276" w:lineRule="auto"/>
        <w:ind w:left="786"/>
        <w:rPr>
          <w:rFonts w:cstheme="minorHAnsi"/>
          <w:sz w:val="22"/>
          <w:szCs w:val="22"/>
        </w:rPr>
      </w:pPr>
    </w:p>
    <w:p w14:paraId="08415E15" w14:textId="0AC433D7" w:rsidR="00094B90" w:rsidRDefault="00094B90" w:rsidP="001E19CA">
      <w:pPr>
        <w:spacing w:line="360" w:lineRule="auto"/>
        <w:rPr>
          <w:rFonts w:eastAsia="ITC Avant Garde" w:cstheme="minorHAnsi"/>
        </w:rPr>
      </w:pPr>
    </w:p>
    <w:p w14:paraId="24056B17" w14:textId="7EEA1CBB" w:rsidR="007E35C2" w:rsidRDefault="007E35C2" w:rsidP="001E19CA">
      <w:pPr>
        <w:spacing w:line="360" w:lineRule="auto"/>
        <w:rPr>
          <w:rFonts w:eastAsia="ITC Avant Garde" w:cstheme="minorHAnsi"/>
        </w:rPr>
      </w:pPr>
    </w:p>
    <w:p w14:paraId="765D27CB" w14:textId="6ECC8C4E" w:rsidR="007E35C2" w:rsidRDefault="007E35C2" w:rsidP="001E19CA">
      <w:pPr>
        <w:spacing w:line="360" w:lineRule="auto"/>
        <w:rPr>
          <w:rFonts w:eastAsia="ITC Avant Garde" w:cstheme="minorHAnsi"/>
        </w:rPr>
      </w:pPr>
    </w:p>
    <w:p w14:paraId="382F8C64" w14:textId="13299C24" w:rsidR="007E35C2" w:rsidRDefault="007E35C2" w:rsidP="001E19CA">
      <w:pPr>
        <w:spacing w:line="360" w:lineRule="auto"/>
        <w:rPr>
          <w:rFonts w:eastAsia="ITC Avant Garde" w:cstheme="minorHAnsi"/>
        </w:rPr>
      </w:pPr>
    </w:p>
    <w:p w14:paraId="3E57D351" w14:textId="4A5293C8" w:rsidR="007E35C2" w:rsidRDefault="007E35C2" w:rsidP="001E19CA">
      <w:pPr>
        <w:spacing w:line="360" w:lineRule="auto"/>
        <w:rPr>
          <w:rFonts w:eastAsia="ITC Avant Garde" w:cstheme="minorHAnsi"/>
        </w:rPr>
      </w:pPr>
    </w:p>
    <w:p w14:paraId="5CFC32D3" w14:textId="5236BA51" w:rsidR="007E35C2" w:rsidRDefault="007E35C2" w:rsidP="001E19CA">
      <w:pPr>
        <w:spacing w:line="360" w:lineRule="auto"/>
        <w:rPr>
          <w:rFonts w:eastAsia="ITC Avant Garde" w:cstheme="minorHAnsi"/>
        </w:rPr>
      </w:pPr>
    </w:p>
    <w:p w14:paraId="1896A453" w14:textId="662AB108" w:rsidR="007E35C2" w:rsidRDefault="007E35C2" w:rsidP="001E19CA">
      <w:pPr>
        <w:spacing w:line="360" w:lineRule="auto"/>
        <w:rPr>
          <w:rFonts w:eastAsia="ITC Avant Garde" w:cstheme="minorHAnsi"/>
        </w:rPr>
      </w:pPr>
    </w:p>
    <w:p w14:paraId="0ED6788B" w14:textId="54DB30E8" w:rsidR="007E35C2" w:rsidRDefault="007E35C2" w:rsidP="001E19CA">
      <w:pPr>
        <w:spacing w:line="360" w:lineRule="auto"/>
        <w:rPr>
          <w:rFonts w:eastAsia="ITC Avant Garde" w:cstheme="minorHAnsi"/>
        </w:rPr>
      </w:pPr>
    </w:p>
    <w:p w14:paraId="16BF23D3" w14:textId="77777777" w:rsidR="007E35C2" w:rsidRPr="005F56C5" w:rsidRDefault="007E35C2" w:rsidP="001E19CA">
      <w:pPr>
        <w:spacing w:line="360" w:lineRule="auto"/>
        <w:rPr>
          <w:rFonts w:eastAsia="ITC Avant Garde" w:cstheme="minorHAnsi"/>
        </w:rPr>
      </w:pPr>
    </w:p>
    <w:p w14:paraId="4EC3083F" w14:textId="77777777" w:rsidR="00094B90" w:rsidRPr="00094B90" w:rsidRDefault="00094B90" w:rsidP="00094B90">
      <w:pPr>
        <w:pStyle w:val="Prrafodelista"/>
        <w:spacing w:line="360" w:lineRule="auto"/>
        <w:ind w:left="426"/>
        <w:jc w:val="center"/>
        <w:rPr>
          <w:rFonts w:eastAsia="ITC Avant Garde" w:cstheme="minorHAnsi"/>
          <w:b/>
          <w:lang w:val="es-ES"/>
        </w:rPr>
      </w:pPr>
      <w:r w:rsidRPr="00094B90">
        <w:rPr>
          <w:rFonts w:eastAsia="ITC Avant Garde" w:cstheme="minorHAnsi"/>
          <w:b/>
          <w:lang w:val="es-ES"/>
        </w:rPr>
        <w:lastRenderedPageBreak/>
        <w:t>ANEXO</w:t>
      </w:r>
    </w:p>
    <w:p w14:paraId="2B2030B4" w14:textId="77777777" w:rsidR="00094B90" w:rsidRPr="00094B90" w:rsidRDefault="00094B90" w:rsidP="00094B90">
      <w:pPr>
        <w:pStyle w:val="Prrafodelista"/>
        <w:spacing w:line="360" w:lineRule="auto"/>
        <w:ind w:left="426"/>
        <w:jc w:val="both"/>
        <w:rPr>
          <w:rFonts w:eastAsia="ITC Avant Garde" w:cstheme="minorHAnsi"/>
          <w:lang w:val="es-ES"/>
        </w:rPr>
      </w:pPr>
    </w:p>
    <w:p w14:paraId="0CF93EBD" w14:textId="77777777" w:rsidR="00094B90" w:rsidRPr="00094B90" w:rsidRDefault="00094B90" w:rsidP="00094B90">
      <w:pPr>
        <w:pStyle w:val="Prrafodelista"/>
        <w:spacing w:line="360" w:lineRule="auto"/>
        <w:ind w:left="426"/>
        <w:jc w:val="center"/>
        <w:rPr>
          <w:rFonts w:eastAsia="ITC Avant Garde" w:cstheme="minorHAnsi"/>
          <w:b/>
          <w:lang w:val="es-ES"/>
        </w:rPr>
      </w:pPr>
      <w:r w:rsidRPr="00094B90">
        <w:rPr>
          <w:rFonts w:eastAsia="ITC Avant Garde" w:cstheme="minorHAnsi"/>
          <w:b/>
          <w:lang w:val="es-ES"/>
        </w:rPr>
        <w:t>Listado de regulaciones, propuestas regulatorias e instrumentos programáticos</w:t>
      </w:r>
    </w:p>
    <w:p w14:paraId="50E887DD" w14:textId="77777777" w:rsidR="00094B90" w:rsidRPr="00094B90" w:rsidRDefault="00094B90" w:rsidP="00094B90">
      <w:pPr>
        <w:pStyle w:val="Prrafodelista"/>
        <w:spacing w:line="360" w:lineRule="auto"/>
        <w:ind w:left="426"/>
        <w:jc w:val="center"/>
        <w:rPr>
          <w:rFonts w:eastAsia="ITC Avant Garde" w:cstheme="minorHAnsi"/>
          <w:b/>
          <w:lang w:val="es-ES"/>
        </w:rPr>
      </w:pPr>
      <w:r w:rsidRPr="00094B90">
        <w:rPr>
          <w:rFonts w:eastAsia="ITC Avant Garde" w:cstheme="minorHAnsi"/>
          <w:b/>
          <w:lang w:val="es-ES"/>
        </w:rPr>
        <w:t>emitidos por el Instituto Federal de Telecomunicaciones que pudieran generar un impacto favorable en los pequeños operadores de los sectores de las telecomunicaciones y radiodifusión</w:t>
      </w:r>
    </w:p>
    <w:p w14:paraId="03B113C3" w14:textId="77777777" w:rsidR="00094B90" w:rsidRPr="00094B90" w:rsidRDefault="00094B90" w:rsidP="00094B90">
      <w:pPr>
        <w:pStyle w:val="Prrafodelista"/>
        <w:spacing w:line="360" w:lineRule="auto"/>
        <w:ind w:left="426"/>
        <w:jc w:val="center"/>
        <w:rPr>
          <w:rFonts w:eastAsia="ITC Avant Garde" w:cstheme="minorHAnsi"/>
          <w:lang w:val="es-ES"/>
        </w:rPr>
      </w:pPr>
    </w:p>
    <w:p w14:paraId="3B4FD796" w14:textId="77777777" w:rsidR="00094B90" w:rsidRPr="005A2C6F" w:rsidRDefault="00094B90" w:rsidP="00094B90">
      <w:pPr>
        <w:pStyle w:val="Prrafodelista"/>
        <w:spacing w:line="360" w:lineRule="auto"/>
        <w:ind w:left="426"/>
        <w:jc w:val="center"/>
        <w:rPr>
          <w:rFonts w:eastAsia="ITC Avant Garde" w:cstheme="minorHAnsi"/>
          <w:color w:val="000000" w:themeColor="text1"/>
          <w:lang w:val="es-ES"/>
        </w:rPr>
      </w:pPr>
      <w:r w:rsidRPr="005A2C6F">
        <w:rPr>
          <w:rFonts w:eastAsia="ITC Avant Garde" w:cstheme="minorHAnsi"/>
          <w:color w:val="000000" w:themeColor="text1"/>
          <w:lang w:val="es-ES"/>
        </w:rPr>
        <w:t>Archivo elaborado por el IFT</w:t>
      </w:r>
    </w:p>
    <w:p w14:paraId="010E74BB" w14:textId="36ED0D0B" w:rsidR="00094B90" w:rsidRDefault="00094B90" w:rsidP="00094B90">
      <w:pPr>
        <w:pStyle w:val="Prrafodelista"/>
        <w:spacing w:line="360" w:lineRule="auto"/>
        <w:ind w:left="426"/>
        <w:jc w:val="center"/>
        <w:rPr>
          <w:rFonts w:eastAsia="ITC Avant Garde" w:cstheme="minorHAnsi"/>
          <w:color w:val="000000" w:themeColor="text1"/>
          <w:lang w:val="es-ES"/>
        </w:rPr>
      </w:pPr>
      <w:r w:rsidRPr="005A2C6F">
        <w:rPr>
          <w:rFonts w:eastAsia="ITC Avant Garde" w:cstheme="minorHAnsi"/>
          <w:color w:val="000000" w:themeColor="text1"/>
          <w:lang w:val="es-ES"/>
        </w:rPr>
        <w:t>105 registros</w:t>
      </w:r>
    </w:p>
    <w:p w14:paraId="6871248A" w14:textId="77777777" w:rsidR="00A91032" w:rsidRDefault="00A91032" w:rsidP="00A91032"/>
    <w:tbl>
      <w:tblPr>
        <w:tblStyle w:val="Tablaconcuadrcula"/>
        <w:tblW w:w="9918" w:type="dxa"/>
        <w:tblLook w:val="04A0" w:firstRow="1" w:lastRow="0" w:firstColumn="1" w:lastColumn="0" w:noHBand="0" w:noVBand="1"/>
      </w:tblPr>
      <w:tblGrid>
        <w:gridCol w:w="562"/>
        <w:gridCol w:w="9356"/>
      </w:tblGrid>
      <w:tr w:rsidR="00A91032" w:rsidRPr="000C3CAC" w14:paraId="0B8F4812" w14:textId="77777777" w:rsidTr="000C3CAC">
        <w:tc>
          <w:tcPr>
            <w:tcW w:w="562" w:type="dxa"/>
            <w:shd w:val="clear" w:color="auto" w:fill="FBE4D5" w:themeFill="accent2" w:themeFillTint="33"/>
          </w:tcPr>
          <w:p w14:paraId="5793A1AA" w14:textId="77777777" w:rsidR="00A91032" w:rsidRPr="000C3CAC" w:rsidRDefault="00A91032" w:rsidP="000C3CAC">
            <w:pPr>
              <w:spacing w:before="120" w:after="120" w:line="276" w:lineRule="auto"/>
              <w:jc w:val="center"/>
              <w:rPr>
                <w:rFonts w:cstheme="minorHAnsi"/>
                <w:b/>
                <w:bCs/>
                <w:color w:val="000000" w:themeColor="text1"/>
              </w:rPr>
            </w:pPr>
            <w:r w:rsidRPr="000C3CAC">
              <w:rPr>
                <w:rFonts w:cstheme="minorHAnsi"/>
                <w:b/>
                <w:bCs/>
                <w:color w:val="000000" w:themeColor="text1"/>
              </w:rPr>
              <w:t>No.</w:t>
            </w:r>
          </w:p>
        </w:tc>
        <w:tc>
          <w:tcPr>
            <w:tcW w:w="9356" w:type="dxa"/>
            <w:shd w:val="clear" w:color="auto" w:fill="FBE4D5" w:themeFill="accent2" w:themeFillTint="33"/>
          </w:tcPr>
          <w:p w14:paraId="55ADE74D" w14:textId="77777777" w:rsidR="00A91032" w:rsidRPr="000C3CAC" w:rsidRDefault="00A91032" w:rsidP="000C3CAC">
            <w:pPr>
              <w:spacing w:before="120" w:after="120" w:line="276" w:lineRule="auto"/>
              <w:jc w:val="center"/>
              <w:rPr>
                <w:rFonts w:cstheme="minorHAnsi"/>
                <w:b/>
                <w:bCs/>
                <w:color w:val="000000" w:themeColor="text1"/>
              </w:rPr>
            </w:pPr>
            <w:r w:rsidRPr="000C3CAC">
              <w:rPr>
                <w:rFonts w:cstheme="minorHAnsi"/>
                <w:b/>
                <w:bCs/>
                <w:color w:val="000000" w:themeColor="text1"/>
              </w:rPr>
              <w:t>Nombre de la regulación</w:t>
            </w:r>
          </w:p>
        </w:tc>
      </w:tr>
      <w:tr w:rsidR="00A91032" w:rsidRPr="000C3CAC" w14:paraId="1228136B" w14:textId="77777777" w:rsidTr="000C3CAC">
        <w:tc>
          <w:tcPr>
            <w:tcW w:w="562" w:type="dxa"/>
            <w:vAlign w:val="center"/>
          </w:tcPr>
          <w:p w14:paraId="12CC9EE0" w14:textId="77777777" w:rsidR="00A91032" w:rsidRPr="000C3CAC" w:rsidRDefault="00A91032" w:rsidP="000C3CAC">
            <w:pPr>
              <w:spacing w:before="120" w:after="120" w:line="276" w:lineRule="auto"/>
              <w:rPr>
                <w:rFonts w:cstheme="minorHAnsi"/>
              </w:rPr>
            </w:pPr>
            <w:r w:rsidRPr="000C3CAC">
              <w:rPr>
                <w:rFonts w:eastAsia="Times New Roman" w:cstheme="minorHAnsi"/>
                <w:b/>
                <w:bCs/>
              </w:rPr>
              <w:t>1</w:t>
            </w:r>
          </w:p>
        </w:tc>
        <w:tc>
          <w:tcPr>
            <w:tcW w:w="9356" w:type="dxa"/>
            <w:vAlign w:val="center"/>
          </w:tcPr>
          <w:p w14:paraId="4EF7C407" w14:textId="77777777" w:rsidR="00A91032" w:rsidRPr="000C3CAC" w:rsidRDefault="00A91032" w:rsidP="000C3CAC">
            <w:pPr>
              <w:spacing w:before="120" w:after="120" w:line="276" w:lineRule="auto"/>
              <w:jc w:val="both"/>
              <w:rPr>
                <w:rFonts w:cstheme="minorHAnsi"/>
              </w:rPr>
            </w:pPr>
            <w:r w:rsidRPr="000C3CAC">
              <w:rPr>
                <w:rFonts w:eastAsia="Times New Roman" w:cstheme="minorHAnsi"/>
              </w:rPr>
              <w:t>Plan Técnico Fundamental de Numeración (Publicación en el Diario Oficial de la Federación el 21 de junio de 1996; y sus modificaciones publicadas el 12 de noviembre de 2014 y el 23 de junio de 2015)</w:t>
            </w:r>
          </w:p>
        </w:tc>
      </w:tr>
      <w:tr w:rsidR="00A91032" w:rsidRPr="000C3CAC" w14:paraId="299F2CA9" w14:textId="77777777" w:rsidTr="000C3CAC">
        <w:tc>
          <w:tcPr>
            <w:tcW w:w="562" w:type="dxa"/>
            <w:vAlign w:val="center"/>
          </w:tcPr>
          <w:p w14:paraId="267D9F4D"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w:t>
            </w:r>
          </w:p>
        </w:tc>
        <w:tc>
          <w:tcPr>
            <w:tcW w:w="9356" w:type="dxa"/>
            <w:vAlign w:val="center"/>
          </w:tcPr>
          <w:p w14:paraId="3C5525FD"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Reglas del Servicio Local. (Publicación en el Diario Oficial de la Federación el 23 de octubre de 1997).</w:t>
            </w:r>
          </w:p>
        </w:tc>
      </w:tr>
      <w:tr w:rsidR="00A91032" w:rsidRPr="000C3CAC" w14:paraId="1D8D6D74" w14:textId="77777777" w:rsidTr="000C3CAC">
        <w:tc>
          <w:tcPr>
            <w:tcW w:w="562" w:type="dxa"/>
            <w:vAlign w:val="center"/>
          </w:tcPr>
          <w:p w14:paraId="5A810963"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w:t>
            </w:r>
          </w:p>
        </w:tc>
        <w:tc>
          <w:tcPr>
            <w:tcW w:w="9356" w:type="dxa"/>
            <w:vAlign w:val="center"/>
          </w:tcPr>
          <w:p w14:paraId="23520B6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por el que se atribuyen frecuencias del espectro radioeléctrico para prestar servicios auxiliares a la radiodifusión, y se establece el procedimiento para autorizar el uso de </w:t>
            </w:r>
            <w:proofErr w:type="gramStart"/>
            <w:r w:rsidRPr="000C3CAC">
              <w:rPr>
                <w:rFonts w:eastAsia="Times New Roman" w:cstheme="minorHAnsi"/>
              </w:rPr>
              <w:t>las mismas</w:t>
            </w:r>
            <w:proofErr w:type="gramEnd"/>
            <w:r w:rsidRPr="000C3CAC">
              <w:rPr>
                <w:rFonts w:eastAsia="Times New Roman" w:cstheme="minorHAnsi"/>
              </w:rPr>
              <w:t>. (Publicación en el Diario Oficial de la Federación del 7 de mayo de 1999 emitido por la SCT; y su modificación del 19 de noviembre de 2015).</w:t>
            </w:r>
          </w:p>
        </w:tc>
      </w:tr>
      <w:tr w:rsidR="00A91032" w:rsidRPr="000C3CAC" w14:paraId="123A1E51" w14:textId="77777777" w:rsidTr="000C3CAC">
        <w:tc>
          <w:tcPr>
            <w:tcW w:w="562" w:type="dxa"/>
            <w:vAlign w:val="center"/>
          </w:tcPr>
          <w:p w14:paraId="55ACC39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w:t>
            </w:r>
          </w:p>
        </w:tc>
        <w:tc>
          <w:tcPr>
            <w:tcW w:w="9356" w:type="dxa"/>
            <w:vAlign w:val="center"/>
          </w:tcPr>
          <w:p w14:paraId="5FD890DB"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por el que se adopta el estándar tecnológico de televisión digital terrestre y se establece la política para la transición a la televisión digital terrestre en México. (Publicación en el Diario Oficial de la Federación el 2 de julio de 2004; y sus modificaciones de fechas 4 de mayo de 2012, 4 de abril de 2013, 1 de junio de 2013, 31 de julio de 2013 y 11 de septiembre de 2014).</w:t>
            </w:r>
          </w:p>
        </w:tc>
      </w:tr>
      <w:tr w:rsidR="00A91032" w:rsidRPr="000C3CAC" w14:paraId="7BB2D314" w14:textId="77777777" w:rsidTr="000C3CAC">
        <w:tc>
          <w:tcPr>
            <w:tcW w:w="562" w:type="dxa"/>
            <w:vAlign w:val="center"/>
          </w:tcPr>
          <w:p w14:paraId="5AA9CD76"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w:t>
            </w:r>
          </w:p>
        </w:tc>
        <w:tc>
          <w:tcPr>
            <w:tcW w:w="9356" w:type="dxa"/>
            <w:vAlign w:val="center"/>
          </w:tcPr>
          <w:p w14:paraId="3F3BFF02"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Condiciones técnicas de operación de la banda 5 725 a 5 850 MHz, para su utilización como banda de uso libre. (Publicación en el Diario Oficial de la Federación el 14 de abril de 2006)</w:t>
            </w:r>
          </w:p>
        </w:tc>
      </w:tr>
      <w:tr w:rsidR="00A91032" w:rsidRPr="000C3CAC" w14:paraId="7F861D0D" w14:textId="77777777" w:rsidTr="000C3CAC">
        <w:tc>
          <w:tcPr>
            <w:tcW w:w="562" w:type="dxa"/>
            <w:vAlign w:val="center"/>
          </w:tcPr>
          <w:p w14:paraId="1658A0ED"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w:t>
            </w:r>
          </w:p>
        </w:tc>
        <w:tc>
          <w:tcPr>
            <w:tcW w:w="9356" w:type="dxa"/>
            <w:vAlign w:val="center"/>
          </w:tcPr>
          <w:p w14:paraId="612264E9"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Reglas para implantar la portabilidad de números geográficos y no geográficos (Publicación en el Diario Oficial de la Federación el 12 de junio de 2007; y su modificación del 16 de febrero de 2011)</w:t>
            </w:r>
          </w:p>
        </w:tc>
      </w:tr>
      <w:tr w:rsidR="00A91032" w:rsidRPr="000C3CAC" w14:paraId="5E529243" w14:textId="77777777" w:rsidTr="000C3CAC">
        <w:tc>
          <w:tcPr>
            <w:tcW w:w="562" w:type="dxa"/>
            <w:vAlign w:val="center"/>
          </w:tcPr>
          <w:p w14:paraId="571576D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w:t>
            </w:r>
          </w:p>
        </w:tc>
        <w:tc>
          <w:tcPr>
            <w:tcW w:w="9356" w:type="dxa"/>
            <w:vAlign w:val="center"/>
          </w:tcPr>
          <w:p w14:paraId="6D7C8DA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Especificaciones técnicas para la implantación de portabilidad de números geográficos y no geográficos (Publicación en el Diario Oficial de la Federación el 28 de noviembre de 2007)</w:t>
            </w:r>
          </w:p>
        </w:tc>
      </w:tr>
      <w:tr w:rsidR="00A91032" w:rsidRPr="000C3CAC" w14:paraId="535BA0ED" w14:textId="77777777" w:rsidTr="000C3CAC">
        <w:tc>
          <w:tcPr>
            <w:tcW w:w="562" w:type="dxa"/>
            <w:vAlign w:val="center"/>
          </w:tcPr>
          <w:p w14:paraId="20C1EB7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8</w:t>
            </w:r>
          </w:p>
        </w:tc>
        <w:tc>
          <w:tcPr>
            <w:tcW w:w="9356" w:type="dxa"/>
            <w:vAlign w:val="center"/>
          </w:tcPr>
          <w:p w14:paraId="4A73B10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Especificaciones operativas para la implantación de portabilidad de números geográficos y no geográficos (Publicación en el Diario Oficial de la Federación el 21 de enero de 2008; y su modificación del 12 de noviembre de 2014)</w:t>
            </w:r>
          </w:p>
        </w:tc>
      </w:tr>
      <w:tr w:rsidR="00A91032" w:rsidRPr="000C3CAC" w14:paraId="7EB1D508" w14:textId="77777777" w:rsidTr="000C3CAC">
        <w:tc>
          <w:tcPr>
            <w:tcW w:w="562" w:type="dxa"/>
            <w:vAlign w:val="center"/>
          </w:tcPr>
          <w:p w14:paraId="7D398B3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w:t>
            </w:r>
          </w:p>
        </w:tc>
        <w:tc>
          <w:tcPr>
            <w:tcW w:w="9356" w:type="dxa"/>
            <w:vAlign w:val="center"/>
          </w:tcPr>
          <w:p w14:paraId="239DFAF9"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Requisitos para llevar a cabo el cambio de frecuencias autorizadas para prestar el servicio de radio y que operan en la banda de Amplitud Modulada, a fin de optimizar el uso, aprovechamiento y explotación de un bien del dominio público en transición a la radio digital. (Publicación en el Diario Oficial de la Federación el 15 de septiembre de 2008).</w:t>
            </w:r>
          </w:p>
        </w:tc>
      </w:tr>
      <w:tr w:rsidR="00A91032" w:rsidRPr="000C3CAC" w14:paraId="1F381E94" w14:textId="77777777" w:rsidTr="000C3CAC">
        <w:tc>
          <w:tcPr>
            <w:tcW w:w="562" w:type="dxa"/>
            <w:vAlign w:val="center"/>
          </w:tcPr>
          <w:p w14:paraId="0746850D"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10</w:t>
            </w:r>
          </w:p>
        </w:tc>
        <w:tc>
          <w:tcPr>
            <w:tcW w:w="9356" w:type="dxa"/>
            <w:vAlign w:val="center"/>
          </w:tcPr>
          <w:p w14:paraId="376B01FD"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Plan Técnico Fundamental de Interconexión e Interoperabilidad (Publicación en el Diario Oficial de la Federación el 10 de febrero de 2009; y su modificación del 25 de febrero de 2013) </w:t>
            </w:r>
          </w:p>
        </w:tc>
      </w:tr>
      <w:tr w:rsidR="00A91032" w:rsidRPr="000C3CAC" w14:paraId="6A76C978" w14:textId="77777777" w:rsidTr="000C3CAC">
        <w:tc>
          <w:tcPr>
            <w:tcW w:w="562" w:type="dxa"/>
            <w:vAlign w:val="center"/>
          </w:tcPr>
          <w:p w14:paraId="46F9DB2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11</w:t>
            </w:r>
          </w:p>
        </w:tc>
        <w:tc>
          <w:tcPr>
            <w:tcW w:w="9356" w:type="dxa"/>
            <w:vAlign w:val="center"/>
          </w:tcPr>
          <w:p w14:paraId="7A5A04CB"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 (Publicación en el Diario Oficial de la Federación el 12 de abril de 2011)</w:t>
            </w:r>
          </w:p>
        </w:tc>
      </w:tr>
      <w:tr w:rsidR="00A91032" w:rsidRPr="000C3CAC" w14:paraId="5396E068" w14:textId="77777777" w:rsidTr="000C3CAC">
        <w:tc>
          <w:tcPr>
            <w:tcW w:w="562" w:type="dxa"/>
            <w:vAlign w:val="center"/>
          </w:tcPr>
          <w:p w14:paraId="6A1BE5D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12</w:t>
            </w:r>
          </w:p>
        </w:tc>
        <w:tc>
          <w:tcPr>
            <w:tcW w:w="9356" w:type="dxa"/>
            <w:vAlign w:val="center"/>
          </w:tcPr>
          <w:p w14:paraId="4B4C9257"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las variables relevantes que serán aplicables al modelo de costos de interconexión móvil para el periodo 2012-2014, ordena la revisión de la política regulatoria en materia de tarifas de interconexión, y modifica el artículo décimo primero de la Resolución mediante la cual el Pleno de la Comisión Federal de Telecomunicaciones emite los Lineamientos para desarrollar los modelos de costos que aplicará para resolver, en términos del artículo 42 de la Ley Federal de Telecomunicaciones, desacuerdos en materia de tarifas aplicables a la prestación de los servicios de interconexión entre concesionarios de redes públicas de telecomunicaciones, publicada el 12 de abril de 2011. (Publicación en el Diario Oficial de la Federación el 30 de diciembre de 2013)</w:t>
            </w:r>
          </w:p>
        </w:tc>
      </w:tr>
      <w:tr w:rsidR="00A91032" w:rsidRPr="000C3CAC" w14:paraId="30B86B8C" w14:textId="77777777" w:rsidTr="000C3CAC">
        <w:tc>
          <w:tcPr>
            <w:tcW w:w="562" w:type="dxa"/>
            <w:vAlign w:val="center"/>
          </w:tcPr>
          <w:p w14:paraId="5E2BD696"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13</w:t>
            </w:r>
          </w:p>
        </w:tc>
        <w:tc>
          <w:tcPr>
            <w:tcW w:w="9356" w:type="dxa"/>
            <w:vAlign w:val="center"/>
          </w:tcPr>
          <w:p w14:paraId="52D42C68"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(Publicación en el Diario Oficial de la Federación el 27 de febrero de 2014; y sus modificaciones del 6 de febrero de 2015 y 21 de diciembre de 2016)</w:t>
            </w:r>
          </w:p>
        </w:tc>
      </w:tr>
      <w:tr w:rsidR="00A91032" w:rsidRPr="000C3CAC" w14:paraId="029C3D82" w14:textId="77777777" w:rsidTr="000C3CAC">
        <w:tc>
          <w:tcPr>
            <w:tcW w:w="562" w:type="dxa"/>
            <w:vAlign w:val="center"/>
          </w:tcPr>
          <w:p w14:paraId="2E02A490"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14</w:t>
            </w:r>
          </w:p>
        </w:tc>
        <w:tc>
          <w:tcPr>
            <w:tcW w:w="9356" w:type="dxa"/>
            <w:vAlign w:val="center"/>
          </w:tcPr>
          <w:p w14:paraId="367005D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0C3CAC">
              <w:rPr>
                <w:rFonts w:eastAsia="Times New Roman" w:cstheme="minorHAnsi"/>
                <w:color w:val="000000"/>
              </w:rPr>
              <w:t>Radiomóvil</w:t>
            </w:r>
            <w:proofErr w:type="spellEnd"/>
            <w:r w:rsidRPr="000C3CAC">
              <w:rPr>
                <w:rFonts w:eastAsia="Times New Roman" w:cstheme="minorHAnsi"/>
                <w:color w:val="000000"/>
              </w:rPr>
              <w:t xml:space="preserve"> Dipsa, S.A.B. de C.V., Grupo Carso, S.A.B. de C.V., y Grupo Financiero Inbursa, S.A.B. de C.V., como agente económico preponderante en el sector de telecomunicaciones y le impone las medidas necesarias para evitar que se afecte la competencia y la libre concurrencia. (Resolución del Pleno del Instituto Federal de Telecomunicaciones del 6 de marzo de 2014).</w:t>
            </w:r>
          </w:p>
        </w:tc>
      </w:tr>
      <w:tr w:rsidR="00A91032" w:rsidRPr="000C3CAC" w14:paraId="67CD119F" w14:textId="77777777" w:rsidTr="000C3CAC">
        <w:tc>
          <w:tcPr>
            <w:tcW w:w="562" w:type="dxa"/>
            <w:vAlign w:val="center"/>
          </w:tcPr>
          <w:p w14:paraId="3EF04D23"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15</w:t>
            </w:r>
          </w:p>
        </w:tc>
        <w:tc>
          <w:tcPr>
            <w:tcW w:w="9356" w:type="dxa"/>
            <w:vAlign w:val="center"/>
          </w:tcPr>
          <w:p w14:paraId="23CC184D"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 xml:space="preserve">Resolución mediante la cual el Pleno del Instituto Federal de Telecomunicaciones determina al grupo de interés económico del que forman parte grupo Televisa S.A. B., Canales de Televisión Populares, S.A. de C.V., Radio Televisión, S.A. de C.V., </w:t>
            </w:r>
            <w:proofErr w:type="spellStart"/>
            <w:r w:rsidRPr="000C3CAC">
              <w:rPr>
                <w:rFonts w:eastAsia="Times New Roman" w:cstheme="minorHAnsi"/>
                <w:color w:val="000000"/>
              </w:rPr>
              <w:t>Radiotelevisora</w:t>
            </w:r>
            <w:proofErr w:type="spellEnd"/>
            <w:r w:rsidRPr="000C3CAC">
              <w:rPr>
                <w:rFonts w:eastAsia="Times New Roman" w:cstheme="minorHAnsi"/>
                <w:color w:val="000000"/>
              </w:rPr>
              <w:t xml:space="preserve"> de México Norte S.A. de C.V., T.V. de los Mochis, S.A. de C.V., </w:t>
            </w:r>
            <w:proofErr w:type="spellStart"/>
            <w:r w:rsidRPr="000C3CAC">
              <w:rPr>
                <w:rFonts w:eastAsia="Times New Roman" w:cstheme="minorHAnsi"/>
                <w:color w:val="000000"/>
              </w:rPr>
              <w:t>Teleimagen</w:t>
            </w:r>
            <w:proofErr w:type="spellEnd"/>
            <w:r w:rsidRPr="000C3CAC">
              <w:rPr>
                <w:rFonts w:eastAsia="Times New Roman" w:cstheme="minorHAnsi"/>
                <w:color w:val="000000"/>
              </w:rPr>
              <w:t xml:space="preserve"> del Noroeste, S.A. de C.V., </w:t>
            </w:r>
            <w:proofErr w:type="spellStart"/>
            <w:r w:rsidRPr="000C3CAC">
              <w:rPr>
                <w:rFonts w:eastAsia="Times New Roman" w:cstheme="minorHAnsi"/>
                <w:color w:val="000000"/>
              </w:rPr>
              <w:t>Televimex</w:t>
            </w:r>
            <w:proofErr w:type="spellEnd"/>
            <w:r w:rsidRPr="000C3CAC">
              <w:rPr>
                <w:rFonts w:eastAsia="Times New Roman" w:cstheme="minorHAnsi"/>
                <w:color w:val="000000"/>
              </w:rPr>
              <w:t xml:space="preserve">, S.A. de C.V., Televisión de Puebla, S.A. de C.V., Televisora de Mexicali, S.A. de C.V., Televisora de Navojoa, S.A., Televisora de Occidente, S.A. de C.V., Televisora Peninsular, S.A. de C.V., Mario Enrique </w:t>
            </w:r>
            <w:proofErr w:type="spellStart"/>
            <w:r w:rsidRPr="000C3CAC">
              <w:rPr>
                <w:rFonts w:eastAsia="Times New Roman" w:cstheme="minorHAnsi"/>
                <w:color w:val="000000"/>
              </w:rPr>
              <w:t>Mayans</w:t>
            </w:r>
            <w:proofErr w:type="spellEnd"/>
            <w:r w:rsidRPr="000C3CAC">
              <w:rPr>
                <w:rFonts w:eastAsia="Times New Roman" w:cstheme="minorHAnsi"/>
                <w:color w:val="000000"/>
              </w:rPr>
              <w:t xml:space="preserve"> Concha, Televisión La Paz, S.A., Televisión de la Frontera. S.A., Pedro Luis </w:t>
            </w:r>
            <w:proofErr w:type="spellStart"/>
            <w:r w:rsidRPr="000C3CAC">
              <w:rPr>
                <w:rFonts w:eastAsia="Times New Roman" w:cstheme="minorHAnsi"/>
                <w:color w:val="000000"/>
              </w:rPr>
              <w:t>Fitzmaurice</w:t>
            </w:r>
            <w:proofErr w:type="spellEnd"/>
            <w:r w:rsidRPr="000C3CAC">
              <w:rPr>
                <w:rFonts w:eastAsia="Times New Roman" w:cstheme="minorHAnsi"/>
                <w:color w:val="000000"/>
              </w:rPr>
              <w:t xml:space="preserve"> Meneses, </w:t>
            </w:r>
            <w:proofErr w:type="spellStart"/>
            <w:r w:rsidRPr="000C3CAC">
              <w:rPr>
                <w:rFonts w:eastAsia="Times New Roman" w:cstheme="minorHAnsi"/>
                <w:color w:val="000000"/>
              </w:rPr>
              <w:t>Telemisión</w:t>
            </w:r>
            <w:proofErr w:type="spellEnd"/>
            <w:r w:rsidRPr="000C3CAC">
              <w:rPr>
                <w:rFonts w:eastAsia="Times New Roman" w:cstheme="minorHAnsi"/>
                <w:color w:val="000000"/>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0C3CAC">
              <w:rPr>
                <w:rFonts w:eastAsia="Times New Roman" w:cstheme="minorHAnsi"/>
                <w:color w:val="000000"/>
              </w:rPr>
              <w:t>Loucille</w:t>
            </w:r>
            <w:proofErr w:type="spellEnd"/>
            <w:r w:rsidRPr="000C3CAC">
              <w:rPr>
                <w:rFonts w:eastAsia="Times New Roman" w:cstheme="minorHAnsi"/>
                <w:color w:val="000000"/>
              </w:rPr>
              <w:t>,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 (Resolución del Pleno del Instituto Federal de Telecomunicaciones del 6 de marzo de 2014)</w:t>
            </w:r>
          </w:p>
        </w:tc>
      </w:tr>
      <w:tr w:rsidR="00A91032" w:rsidRPr="000C3CAC" w14:paraId="06CEAB17" w14:textId="77777777" w:rsidTr="000C3CAC">
        <w:tc>
          <w:tcPr>
            <w:tcW w:w="562" w:type="dxa"/>
            <w:vAlign w:val="center"/>
          </w:tcPr>
          <w:p w14:paraId="4129DDD3"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16</w:t>
            </w:r>
          </w:p>
        </w:tc>
        <w:tc>
          <w:tcPr>
            <w:tcW w:w="9356" w:type="dxa"/>
            <w:vAlign w:val="center"/>
          </w:tcPr>
          <w:p w14:paraId="7E2FB20D"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Listado y características técnicas de las señales radiodifundidas de las instituciones públicas federales que se consideran disponibles para su retransmisión de conformidad con el artículo 12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publicado el 27 de febrero de 2014 . (Publicación en el Diario Oficial de la Federación el 6 de mayo de 2014; y sus actualizaciones de fechas:  6 de febrero de 2015; 5 de diciembre de 2016; 2 de junio de 2017; 13 de diciembre de 2017; 9 de marzo de 2018.; 20 de abril de 2018, 3 de diciembre de 2019, y 17 de junio de 2021).</w:t>
            </w:r>
          </w:p>
        </w:tc>
      </w:tr>
      <w:tr w:rsidR="00A91032" w:rsidRPr="000C3CAC" w14:paraId="457DAA8D" w14:textId="77777777" w:rsidTr="000C3CAC">
        <w:tc>
          <w:tcPr>
            <w:tcW w:w="562" w:type="dxa"/>
            <w:vAlign w:val="center"/>
          </w:tcPr>
          <w:p w14:paraId="4186495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17</w:t>
            </w:r>
          </w:p>
        </w:tc>
        <w:tc>
          <w:tcPr>
            <w:tcW w:w="9356" w:type="dxa"/>
            <w:vAlign w:val="center"/>
          </w:tcPr>
          <w:p w14:paraId="57B7E94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Política para la Transición a la Televisión Digital Terrestre. (Publicación en el Diario Oficial de la Federación el 11 de septiembre de 2014).</w:t>
            </w:r>
          </w:p>
        </w:tc>
      </w:tr>
      <w:tr w:rsidR="00A91032" w:rsidRPr="000C3CAC" w14:paraId="76F3C895" w14:textId="77777777" w:rsidTr="000C3CAC">
        <w:tc>
          <w:tcPr>
            <w:tcW w:w="562" w:type="dxa"/>
            <w:vAlign w:val="center"/>
          </w:tcPr>
          <w:p w14:paraId="0104C7E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18</w:t>
            </w:r>
          </w:p>
        </w:tc>
        <w:tc>
          <w:tcPr>
            <w:tcW w:w="9356" w:type="dxa"/>
            <w:vAlign w:val="center"/>
          </w:tcPr>
          <w:p w14:paraId="2F76ADBC"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"El Plan Técnico Fundamental de Numeración, el Plan Técnico Fundamental de Señalización y la modificación a las Reglas de Portabilidad Numérica. (Publicación en el Diario Oficial de la Federación el 12 de noviembre de 2014)</w:t>
            </w:r>
          </w:p>
        </w:tc>
      </w:tr>
      <w:tr w:rsidR="00A91032" w:rsidRPr="000C3CAC" w14:paraId="7B9F7046" w14:textId="77777777" w:rsidTr="000C3CAC">
        <w:tc>
          <w:tcPr>
            <w:tcW w:w="562" w:type="dxa"/>
            <w:vAlign w:val="center"/>
          </w:tcPr>
          <w:p w14:paraId="0162E5D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19</w:t>
            </w:r>
          </w:p>
        </w:tc>
        <w:tc>
          <w:tcPr>
            <w:tcW w:w="9356" w:type="dxa"/>
            <w:vAlign w:val="center"/>
          </w:tcPr>
          <w:p w14:paraId="4A175186"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Reglas de Portabilidad Numérica (Publicación en el Diario Oficial de la Federación el 12 de noviembre de 2014; y sus modificaciones del 23 de junio de 2015, el 11 de mayo de 2018; el 20 de marzo de 2019, el 17 de julio de 2019 y 08 de noviembre de 2021).</w:t>
            </w:r>
          </w:p>
        </w:tc>
      </w:tr>
      <w:tr w:rsidR="00A91032" w:rsidRPr="000C3CAC" w14:paraId="6410FEA2" w14:textId="77777777" w:rsidTr="000C3CAC">
        <w:tc>
          <w:tcPr>
            <w:tcW w:w="562" w:type="dxa"/>
            <w:vAlign w:val="center"/>
          </w:tcPr>
          <w:p w14:paraId="2EA316A1"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20</w:t>
            </w:r>
          </w:p>
        </w:tc>
        <w:tc>
          <w:tcPr>
            <w:tcW w:w="9356" w:type="dxa"/>
            <w:vAlign w:val="center"/>
          </w:tcPr>
          <w:p w14:paraId="41A7F93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w:t>
            </w:r>
            <w:r w:rsidRPr="000C3CAC">
              <w:rPr>
                <w:rFonts w:eastAsia="Times New Roman" w:cstheme="minorHAnsi"/>
              </w:rPr>
              <w:lastRenderedPageBreak/>
              <w:t>discriminatorio, compartido y continuo y emite el Programa de Trabajo para Reorganizar el Espectro Radioeléctrico a Estaciones de Radio y Televisión (Aprobado por el Pleno del Instituto Federal de Telecomunicaciones el 16 de diciembre de 2014; y su modificación de fecha 17 de agosto de 2016)</w:t>
            </w:r>
          </w:p>
        </w:tc>
      </w:tr>
      <w:tr w:rsidR="00A91032" w:rsidRPr="000C3CAC" w14:paraId="3369EFB4" w14:textId="77777777" w:rsidTr="000C3CAC">
        <w:tc>
          <w:tcPr>
            <w:tcW w:w="562" w:type="dxa"/>
            <w:vAlign w:val="center"/>
          </w:tcPr>
          <w:p w14:paraId="7B058183"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21</w:t>
            </w:r>
          </w:p>
        </w:tc>
        <w:tc>
          <w:tcPr>
            <w:tcW w:w="9356" w:type="dxa"/>
            <w:vAlign w:val="center"/>
          </w:tcPr>
          <w:p w14:paraId="1D4677AD"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mediante el cual el Pleno del Instituto Federal de Telecomunicaciones emite la Metodología para el cálculo de costos de interconexión de conformidad con la Ley Federal de Telecomunicaciones y Radiodifusión. (Publicación en el Diario Oficial de la Federación el 18 de diciembre de 2014). </w:t>
            </w:r>
          </w:p>
        </w:tc>
      </w:tr>
      <w:tr w:rsidR="00A91032" w:rsidRPr="000C3CAC" w14:paraId="35159361" w14:textId="77777777" w:rsidTr="000C3CAC">
        <w:tc>
          <w:tcPr>
            <w:tcW w:w="562" w:type="dxa"/>
            <w:vAlign w:val="center"/>
          </w:tcPr>
          <w:p w14:paraId="021DADA7"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22</w:t>
            </w:r>
          </w:p>
        </w:tc>
        <w:tc>
          <w:tcPr>
            <w:tcW w:w="9356" w:type="dxa"/>
            <w:vAlign w:val="center"/>
          </w:tcPr>
          <w:p w14:paraId="479B8A4D"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establece el Sistema Electrónico de Solicitudes de Interconexión. (Publicación en el Diario Oficial de la Federación el 29 de diciembre de 2014).</w:t>
            </w:r>
          </w:p>
        </w:tc>
      </w:tr>
      <w:tr w:rsidR="00A91032" w:rsidRPr="000C3CAC" w14:paraId="4DF909CC" w14:textId="77777777" w:rsidTr="000C3CAC">
        <w:tc>
          <w:tcPr>
            <w:tcW w:w="562" w:type="dxa"/>
            <w:vAlign w:val="center"/>
          </w:tcPr>
          <w:p w14:paraId="17C3ADD5"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23</w:t>
            </w:r>
          </w:p>
        </w:tc>
        <w:tc>
          <w:tcPr>
            <w:tcW w:w="9356" w:type="dxa"/>
            <w:vAlign w:val="center"/>
          </w:tcPr>
          <w:p w14:paraId="48F083B1"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Disposiciones Regulatorias de la Ley Federal de Competencia Económica para los sectores de telecomunicaciones y radiodifusión. (Publicación en el Diario Oficial de la Federación el 12 de enero de 2015; y su modificación del 1 de febrero de 2019).</w:t>
            </w:r>
          </w:p>
        </w:tc>
      </w:tr>
      <w:tr w:rsidR="00A91032" w:rsidRPr="000C3CAC" w14:paraId="750431CA" w14:textId="77777777" w:rsidTr="000C3CAC">
        <w:tc>
          <w:tcPr>
            <w:tcW w:w="562" w:type="dxa"/>
            <w:vAlign w:val="center"/>
          </w:tcPr>
          <w:p w14:paraId="65F9B18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24</w:t>
            </w:r>
          </w:p>
        </w:tc>
        <w:tc>
          <w:tcPr>
            <w:tcW w:w="9356" w:type="dxa"/>
            <w:vAlign w:val="center"/>
          </w:tcPr>
          <w:p w14:paraId="371D2AE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Generales para el acceso a la Multiprogramación. (Publicación en el Diario Oficial de la Federación el 17 de febrero de 2015)</w:t>
            </w:r>
          </w:p>
        </w:tc>
      </w:tr>
      <w:tr w:rsidR="00A91032" w:rsidRPr="000C3CAC" w14:paraId="5ED35138" w14:textId="77777777" w:rsidTr="000C3CAC">
        <w:tc>
          <w:tcPr>
            <w:tcW w:w="562" w:type="dxa"/>
            <w:vAlign w:val="center"/>
          </w:tcPr>
          <w:p w14:paraId="3CF709F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25</w:t>
            </w:r>
          </w:p>
        </w:tc>
        <w:tc>
          <w:tcPr>
            <w:tcW w:w="9356" w:type="dxa"/>
            <w:vAlign w:val="center"/>
          </w:tcPr>
          <w:p w14:paraId="6C464509"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Pleno del Instituto Federal de Telecomunicaciones define los puntos de interconexión a la red pública de telecomunicaciones del Agente Económico Preponderante. (Publicado en el Diario Oficial de la Federación el 17 de febrero de 2015)</w:t>
            </w:r>
          </w:p>
        </w:tc>
      </w:tr>
      <w:tr w:rsidR="00A91032" w:rsidRPr="000C3CAC" w14:paraId="4E4F1790" w14:textId="77777777" w:rsidTr="000C3CAC">
        <w:tc>
          <w:tcPr>
            <w:tcW w:w="562" w:type="dxa"/>
            <w:vAlign w:val="center"/>
          </w:tcPr>
          <w:p w14:paraId="6BDFC15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26</w:t>
            </w:r>
          </w:p>
        </w:tc>
        <w:tc>
          <w:tcPr>
            <w:tcW w:w="9356" w:type="dxa"/>
            <w:vAlign w:val="center"/>
          </w:tcPr>
          <w:p w14:paraId="0209D578"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generales para el otorgamiento de las concesiones a que se refiere el título cuarto de la Ley Federal de Telecomunicaciones y Radiodifusión. (Publicación en el Diario Oficial de la Federación el 24 de julio de 2015; y sus modificaciones del 13 de febrero de 2019, el 26 de mayo de 2017 y el 23 de abril de 2021).</w:t>
            </w:r>
          </w:p>
        </w:tc>
      </w:tr>
      <w:tr w:rsidR="00A91032" w:rsidRPr="000C3CAC" w14:paraId="065E6887" w14:textId="77777777" w:rsidTr="000C3CAC">
        <w:tc>
          <w:tcPr>
            <w:tcW w:w="562" w:type="dxa"/>
            <w:vAlign w:val="center"/>
          </w:tcPr>
          <w:p w14:paraId="4B47C74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27</w:t>
            </w:r>
          </w:p>
        </w:tc>
        <w:tc>
          <w:tcPr>
            <w:tcW w:w="9356" w:type="dxa"/>
            <w:vAlign w:val="center"/>
          </w:tcPr>
          <w:p w14:paraId="1BB4E914"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Reglas de carácter general que establecen los plazos y requisitos para el otorgamiento de autorizaciones en materia de telecomunicaciones establecidas en la Ley Federal de Telecomunicaciones y Radiodifusión. (Publicación en el Diario Oficial de la Federación el 24 de julio de 2015; y su modificación del 7 de junio de 2018).</w:t>
            </w:r>
          </w:p>
        </w:tc>
      </w:tr>
      <w:tr w:rsidR="00A91032" w:rsidRPr="000C3CAC" w14:paraId="46F18FCE" w14:textId="77777777" w:rsidTr="000C3CAC">
        <w:tc>
          <w:tcPr>
            <w:tcW w:w="562" w:type="dxa"/>
            <w:vAlign w:val="center"/>
          </w:tcPr>
          <w:p w14:paraId="6EDCC8B9"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28</w:t>
            </w:r>
          </w:p>
        </w:tc>
        <w:tc>
          <w:tcPr>
            <w:tcW w:w="9356" w:type="dxa"/>
            <w:vAlign w:val="center"/>
          </w:tcPr>
          <w:p w14:paraId="270D5E90"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Disposición Técnica IFT-009-2015- Telecomunicaciones-Interfaz-Parte de usuario servicios integrados del Sistema de Señalización por Canal Común. (Publicación en el Diario Oficial de la Federación el 21 de septiembre de 2015).</w:t>
            </w:r>
          </w:p>
        </w:tc>
      </w:tr>
      <w:tr w:rsidR="00A91032" w:rsidRPr="000C3CAC" w14:paraId="257E6C9A" w14:textId="77777777" w:rsidTr="000C3CAC">
        <w:tc>
          <w:tcPr>
            <w:tcW w:w="562" w:type="dxa"/>
            <w:vAlign w:val="center"/>
          </w:tcPr>
          <w:p w14:paraId="3C26B557"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29</w:t>
            </w:r>
          </w:p>
        </w:tc>
        <w:tc>
          <w:tcPr>
            <w:tcW w:w="9356" w:type="dxa"/>
            <w:vAlign w:val="center"/>
          </w:tcPr>
          <w:p w14:paraId="3407ACD6"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Cuadro Nacional de Atribución de Frecuencias. (Publicación en el Diario Oficial de la Federación el 20 de octubre de 2015). Modificación al CNAF (Acuerdo P/IFT/100217/80). Actualización al CNAF (Acuerdo P/IFT/050918/539). Actualización del CNAF publicado en el Diario Oficial de la Federación el 1 de octubre de 2018.</w:t>
            </w:r>
          </w:p>
        </w:tc>
      </w:tr>
      <w:tr w:rsidR="00A91032" w:rsidRPr="000C3CAC" w14:paraId="0B59A719" w14:textId="77777777" w:rsidTr="000C3CAC">
        <w:tc>
          <w:tcPr>
            <w:tcW w:w="562" w:type="dxa"/>
            <w:vAlign w:val="center"/>
          </w:tcPr>
          <w:p w14:paraId="7E19282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30</w:t>
            </w:r>
          </w:p>
        </w:tc>
        <w:tc>
          <w:tcPr>
            <w:tcW w:w="9356" w:type="dxa"/>
            <w:vAlign w:val="center"/>
          </w:tcPr>
          <w:p w14:paraId="2625988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Condiciones técnicas mínimas para la interconexión entre concesionarios que operen redes públicas de telecomunicaciones. (Publicación en el Diario Oficial de la Federación el 5 noviembre de 2015).</w:t>
            </w:r>
          </w:p>
        </w:tc>
      </w:tr>
      <w:tr w:rsidR="00A91032" w:rsidRPr="000C3CAC" w14:paraId="4C2B8025" w14:textId="77777777" w:rsidTr="000C3CAC">
        <w:tc>
          <w:tcPr>
            <w:tcW w:w="562" w:type="dxa"/>
            <w:vAlign w:val="center"/>
          </w:tcPr>
          <w:p w14:paraId="096C301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31</w:t>
            </w:r>
          </w:p>
        </w:tc>
        <w:tc>
          <w:tcPr>
            <w:tcW w:w="9356" w:type="dxa"/>
            <w:vAlign w:val="center"/>
          </w:tcPr>
          <w:p w14:paraId="167CC8AE"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expide los Lineamientos de Colaboración en Materia de Seguridad y Justicia y modifica el plan técnico fundamental de numeración, publicado el 21 de junio de 1996. (Publicación en el Diario Oficial de la Federación el 2 de diciembre de 2015; y sus modificaciones del 28 de diciembre de 2017 y 2 de abril de 2018).</w:t>
            </w:r>
          </w:p>
        </w:tc>
      </w:tr>
      <w:tr w:rsidR="00A91032" w:rsidRPr="000C3CAC" w14:paraId="3D04E448" w14:textId="77777777" w:rsidTr="000C3CAC">
        <w:tc>
          <w:tcPr>
            <w:tcW w:w="562" w:type="dxa"/>
            <w:vAlign w:val="center"/>
          </w:tcPr>
          <w:p w14:paraId="3BDFE97A"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32</w:t>
            </w:r>
          </w:p>
        </w:tc>
        <w:tc>
          <w:tcPr>
            <w:tcW w:w="9356" w:type="dxa"/>
            <w:vAlign w:val="center"/>
          </w:tcPr>
          <w:p w14:paraId="180CC597"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(Publicación en el Diario Oficial de la Federación el 31 de diciembre de 2015)</w:t>
            </w:r>
          </w:p>
        </w:tc>
      </w:tr>
      <w:tr w:rsidR="00A91032" w:rsidRPr="000C3CAC" w14:paraId="2D52BB7F" w14:textId="77777777" w:rsidTr="000C3CAC">
        <w:tc>
          <w:tcPr>
            <w:tcW w:w="562" w:type="dxa"/>
            <w:vAlign w:val="center"/>
          </w:tcPr>
          <w:p w14:paraId="7FB6815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33</w:t>
            </w:r>
          </w:p>
        </w:tc>
        <w:tc>
          <w:tcPr>
            <w:tcW w:w="9356" w:type="dxa"/>
            <w:vAlign w:val="center"/>
          </w:tcPr>
          <w:p w14:paraId="178D9325"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Disposición Técnica IFT-005-2016 (Que derogó la diversa IFT-005-2014): Interfaz digital a redes públicas (Interfaz digital a 2 048 kbit/s y a 34 368 kbit/s). (Publicación en el Diario Oficial de la Federación el 21 de enero de 2016)</w:t>
            </w:r>
          </w:p>
        </w:tc>
      </w:tr>
      <w:tr w:rsidR="00A91032" w:rsidRPr="000C3CAC" w14:paraId="44F54B96" w14:textId="77777777" w:rsidTr="000C3CAC">
        <w:tc>
          <w:tcPr>
            <w:tcW w:w="562" w:type="dxa"/>
            <w:vAlign w:val="center"/>
          </w:tcPr>
          <w:p w14:paraId="59EFD4C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34</w:t>
            </w:r>
          </w:p>
        </w:tc>
        <w:tc>
          <w:tcPr>
            <w:tcW w:w="9356" w:type="dxa"/>
            <w:vAlign w:val="center"/>
          </w:tcPr>
          <w:p w14:paraId="60C371E5"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para la comercialización de servicios móviles por parte de operadores móviles virtuales. (Publicación en el Diario Oficial de la Federación el 9 de marzo de 2016)</w:t>
            </w:r>
          </w:p>
        </w:tc>
      </w:tr>
      <w:tr w:rsidR="00A91032" w:rsidRPr="000C3CAC" w14:paraId="2E2358AE" w14:textId="77777777" w:rsidTr="000C3CAC">
        <w:tc>
          <w:tcPr>
            <w:tcW w:w="562" w:type="dxa"/>
            <w:vAlign w:val="center"/>
          </w:tcPr>
          <w:p w14:paraId="11619AD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35</w:t>
            </w:r>
          </w:p>
        </w:tc>
        <w:tc>
          <w:tcPr>
            <w:tcW w:w="9356" w:type="dxa"/>
            <w:vAlign w:val="center"/>
          </w:tcPr>
          <w:p w14:paraId="687D689E"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Disposición Técnica IFT-006-2016 (Que derogó la diversa IFT-006-2015): Telecomunicaciones-Interfaz-Parte de transferencia de mensaje del Sistema de Señalización por Canal Común. (Publicación en el Diario Oficial de la Federación el 30 de marzo de 2016)</w:t>
            </w:r>
          </w:p>
        </w:tc>
      </w:tr>
      <w:tr w:rsidR="00A91032" w:rsidRPr="000C3CAC" w14:paraId="1D9BE958" w14:textId="77777777" w:rsidTr="000C3CAC">
        <w:tc>
          <w:tcPr>
            <w:tcW w:w="562" w:type="dxa"/>
            <w:vAlign w:val="center"/>
          </w:tcPr>
          <w:p w14:paraId="1D0DD88A"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36</w:t>
            </w:r>
          </w:p>
        </w:tc>
        <w:tc>
          <w:tcPr>
            <w:tcW w:w="9356" w:type="dxa"/>
            <w:vAlign w:val="center"/>
          </w:tcPr>
          <w:p w14:paraId="3738EAFE"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generales sobre la autorización de arrendamiento de espectro radioeléctrico. (Publicación en el Diario Oficial de la Federación el 30 de marzo de 2016).</w:t>
            </w:r>
          </w:p>
        </w:tc>
      </w:tr>
      <w:tr w:rsidR="00A91032" w:rsidRPr="000C3CAC" w14:paraId="388EE8AB" w14:textId="77777777" w:rsidTr="000C3CAC">
        <w:tc>
          <w:tcPr>
            <w:tcW w:w="562" w:type="dxa"/>
            <w:vAlign w:val="center"/>
          </w:tcPr>
          <w:p w14:paraId="01538AFF"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37</w:t>
            </w:r>
          </w:p>
        </w:tc>
        <w:tc>
          <w:tcPr>
            <w:tcW w:w="9356" w:type="dxa"/>
            <w:vAlign w:val="center"/>
          </w:tcPr>
          <w:p w14:paraId="7D080AA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(Publicación en el Diario Oficial de la Federación el 20 de junio de 2016)</w:t>
            </w:r>
          </w:p>
        </w:tc>
      </w:tr>
      <w:tr w:rsidR="00A91032" w:rsidRPr="000C3CAC" w14:paraId="0197FE6B" w14:textId="77777777" w:rsidTr="000C3CAC">
        <w:tc>
          <w:tcPr>
            <w:tcW w:w="562" w:type="dxa"/>
            <w:vAlign w:val="center"/>
          </w:tcPr>
          <w:p w14:paraId="5D80A855"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38</w:t>
            </w:r>
          </w:p>
        </w:tc>
        <w:tc>
          <w:tcPr>
            <w:tcW w:w="9356" w:type="dxa"/>
            <w:vAlign w:val="center"/>
          </w:tcPr>
          <w:p w14:paraId="2BC6B845"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Lineamientos generales para la asignación de canales virtuales de televisión radiodifundida. (Publicación en el Diario Oficial de la Federación el 27 de junio de 2016).</w:t>
            </w:r>
          </w:p>
        </w:tc>
      </w:tr>
      <w:tr w:rsidR="00A91032" w:rsidRPr="000C3CAC" w14:paraId="0E96D736" w14:textId="77777777" w:rsidTr="000C3CAC">
        <w:tc>
          <w:tcPr>
            <w:tcW w:w="562" w:type="dxa"/>
            <w:vAlign w:val="center"/>
          </w:tcPr>
          <w:p w14:paraId="3F08100F"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39</w:t>
            </w:r>
          </w:p>
        </w:tc>
        <w:tc>
          <w:tcPr>
            <w:tcW w:w="9356" w:type="dxa"/>
            <w:vAlign w:val="center"/>
          </w:tcPr>
          <w:p w14:paraId="335CEA57"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w:t>
            </w:r>
            <w:r w:rsidRPr="000C3CAC">
              <w:rPr>
                <w:rFonts w:eastAsia="Times New Roman" w:cstheme="minorHAnsi"/>
              </w:rPr>
              <w:lastRenderedPageBreak/>
              <w:t>de la Banda de Frecuencias 806-824/851-869 MHz. (Publicación en el Diario Oficial de la Federación el 13 de septiembre de 2016).</w:t>
            </w:r>
          </w:p>
        </w:tc>
      </w:tr>
      <w:tr w:rsidR="00A91032" w:rsidRPr="000C3CAC" w14:paraId="04B3404E" w14:textId="77777777" w:rsidTr="000C3CAC">
        <w:tc>
          <w:tcPr>
            <w:tcW w:w="562" w:type="dxa"/>
            <w:vAlign w:val="center"/>
          </w:tcPr>
          <w:p w14:paraId="4BCAF0A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40</w:t>
            </w:r>
          </w:p>
        </w:tc>
        <w:tc>
          <w:tcPr>
            <w:tcW w:w="9356" w:type="dxa"/>
            <w:vAlign w:val="center"/>
          </w:tcPr>
          <w:p w14:paraId="437F4628"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la banda de amplitud modulada a frecuencia modulada. (Publicación en el Diario Oficial de la Federación el 24 de noviembre de 2016).</w:t>
            </w:r>
          </w:p>
        </w:tc>
      </w:tr>
      <w:tr w:rsidR="00A91032" w:rsidRPr="000C3CAC" w14:paraId="65CF7308" w14:textId="77777777" w:rsidTr="000C3CAC">
        <w:tc>
          <w:tcPr>
            <w:tcW w:w="562" w:type="dxa"/>
            <w:vAlign w:val="center"/>
          </w:tcPr>
          <w:p w14:paraId="6BB6A6A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41</w:t>
            </w:r>
          </w:p>
        </w:tc>
        <w:tc>
          <w:tcPr>
            <w:tcW w:w="9356" w:type="dxa"/>
            <w:vAlign w:val="center"/>
          </w:tcPr>
          <w:p w14:paraId="59246F52"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Licitación Pública para concesionar el uso, aprovechamiento y explotación comercial de 148 canales de transmisión para la prestación del servicio público de televisión radiodifundida digital (Licitación no. IFT-6). (Publicación en el Diario Oficial de la Federación el 25 de noviembre de 2016)</w:t>
            </w:r>
          </w:p>
        </w:tc>
      </w:tr>
      <w:tr w:rsidR="00A91032" w:rsidRPr="000C3CAC" w14:paraId="1C4C4B04" w14:textId="77777777" w:rsidTr="000C3CAC">
        <w:tc>
          <w:tcPr>
            <w:tcW w:w="562" w:type="dxa"/>
            <w:vAlign w:val="center"/>
          </w:tcPr>
          <w:p w14:paraId="627CD65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42</w:t>
            </w:r>
          </w:p>
        </w:tc>
        <w:tc>
          <w:tcPr>
            <w:tcW w:w="9356" w:type="dxa"/>
            <w:vAlign w:val="center"/>
          </w:tcPr>
          <w:p w14:paraId="6A38B388"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Guía del Programa de Inmunidad y Reducción de Sanciones para los sectores de Telecomunicaciones y Radiodifusión. (Publicación en el Diario Oficial de la Federación el 9 de enero de 2017).</w:t>
            </w:r>
          </w:p>
        </w:tc>
      </w:tr>
      <w:tr w:rsidR="00A91032" w:rsidRPr="000C3CAC" w14:paraId="0739668F" w14:textId="77777777" w:rsidTr="000C3CAC">
        <w:tc>
          <w:tcPr>
            <w:tcW w:w="562" w:type="dxa"/>
            <w:vAlign w:val="center"/>
          </w:tcPr>
          <w:p w14:paraId="35E68D6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43</w:t>
            </w:r>
          </w:p>
        </w:tc>
        <w:tc>
          <w:tcPr>
            <w:tcW w:w="9356" w:type="dxa"/>
            <w:vAlign w:val="center"/>
          </w:tcPr>
          <w:p w14:paraId="68CC788B"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Resolución mediante la cual el pleno del Instituto Federal de Telecomunicaciones suprime, modifica y adiciona las medidas impuestas al agente económico preponderante en el sector de radiodifusión mediante resolución de fecha 6 de marzo de 2014. (Resolución del Pleno del Instituto Federal de Telecomunicaciones aprobada el 27 de febrero de 2017)</w:t>
            </w:r>
          </w:p>
        </w:tc>
      </w:tr>
      <w:tr w:rsidR="00A91032" w:rsidRPr="000C3CAC" w14:paraId="444F8278" w14:textId="77777777" w:rsidTr="000C3CAC">
        <w:tc>
          <w:tcPr>
            <w:tcW w:w="562" w:type="dxa"/>
            <w:vAlign w:val="center"/>
          </w:tcPr>
          <w:p w14:paraId="40202B4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44</w:t>
            </w:r>
          </w:p>
        </w:tc>
        <w:tc>
          <w:tcPr>
            <w:tcW w:w="9356" w:type="dxa"/>
            <w:vAlign w:val="center"/>
          </w:tcPr>
          <w:p w14:paraId="2D2A2162"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 (Publicación en el Diario Oficial de la Federación el 27 de abril de 2017).</w:t>
            </w:r>
          </w:p>
        </w:tc>
      </w:tr>
      <w:tr w:rsidR="00A91032" w:rsidRPr="000C3CAC" w14:paraId="39198910" w14:textId="77777777" w:rsidTr="000C3CAC">
        <w:tc>
          <w:tcPr>
            <w:tcW w:w="562" w:type="dxa"/>
            <w:vAlign w:val="center"/>
          </w:tcPr>
          <w:p w14:paraId="394D159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45</w:t>
            </w:r>
          </w:p>
        </w:tc>
        <w:tc>
          <w:tcPr>
            <w:tcW w:w="9356" w:type="dxa"/>
            <w:vAlign w:val="center"/>
          </w:tcPr>
          <w:p w14:paraId="5D419C64"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clasifica la banda de frecuencias de 57-64 GHz como espectro libre y expide las condiciones técnicas de operación. (Publicación en el Diario Oficial de la Federación el 9 de mayo de 2017).</w:t>
            </w:r>
          </w:p>
        </w:tc>
      </w:tr>
      <w:tr w:rsidR="00A91032" w:rsidRPr="000C3CAC" w14:paraId="5E3C3118" w14:textId="77777777" w:rsidTr="000C3CAC">
        <w:tc>
          <w:tcPr>
            <w:tcW w:w="562" w:type="dxa"/>
            <w:vAlign w:val="center"/>
          </w:tcPr>
          <w:p w14:paraId="23ABF166"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46</w:t>
            </w:r>
          </w:p>
        </w:tc>
        <w:tc>
          <w:tcPr>
            <w:tcW w:w="9356" w:type="dxa"/>
            <w:vAlign w:val="center"/>
          </w:tcPr>
          <w:p w14:paraId="16588D94"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LOS INDICADORES CLAVE DE DESEMPEÑO A QUE SE REFIEREN LAS MEDIDAS SEPTUAGÉSIMA OCTAVA Y TRANSITORIA QUINTA DEL ANEXO 1 DE LA RESOLUCIÓN DE FECHA 27 DE FEBRERO DE 2017 APROBADA MEDIANTE ACUERDO P/IFT/EXT/270217/119 Y TÉRMINOS, FORMATOS Y PLAZOS PARA LA PRESENTACIÓN Y SEGUIMIENTO DE LOS REPORTES DE DESEMPEÑO. (Acuerdo del Pleno del Instituto Federal de Telecomunicaciones aprobado el 15 de junio del 2017)</w:t>
            </w:r>
          </w:p>
        </w:tc>
      </w:tr>
      <w:tr w:rsidR="00A91032" w:rsidRPr="000C3CAC" w14:paraId="18DFBCA8" w14:textId="77777777" w:rsidTr="000C3CAC">
        <w:tc>
          <w:tcPr>
            <w:tcW w:w="562" w:type="dxa"/>
            <w:vAlign w:val="center"/>
          </w:tcPr>
          <w:p w14:paraId="463446C0"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47</w:t>
            </w:r>
          </w:p>
        </w:tc>
        <w:tc>
          <w:tcPr>
            <w:tcW w:w="9356" w:type="dxa"/>
            <w:vAlign w:val="center"/>
          </w:tcPr>
          <w:p w14:paraId="5E8B1634"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MEDIANTE EL CUAL EL PLENO DEL INSTITUTO FEDERAL DE TELECOMUNICACIONES EMITE LOS INDICADORES CLAVE DE DESEMPEÑO A QUE SE REFIEREN LAS MEDIDAS TRIGÉSIMA QUINTA Y </w:t>
            </w:r>
            <w:r w:rsidRPr="000C3CAC">
              <w:rPr>
                <w:rFonts w:eastAsia="Times New Roman" w:cstheme="minorHAnsi"/>
              </w:rPr>
              <w:lastRenderedPageBreak/>
              <w:t>TRANSITORIA SEXTA DEL ANEXO 2, ASÍ COMO QUINCUAGÉSIMA Y TRANSITORIA SEXTA DEL ANEXO 3 DE LA RESOLUCIÓN DE FECHA 27 DE FEBRERO DE 2017 APROBADA MEDIANTE ACUERDO P/IFT/EXT/270217/119, Y TÉRMINOS, FORMATOS Y PLAZOS PARA LA PRESENTACIÓN Y SEGUIMIENTO DE LOS REPORTES DE DESEMPEÑO. (Acuerdo del Pleno del Instituto Federal de Telecomunicaciones aprobado el 15 de junio del 2017)</w:t>
            </w:r>
          </w:p>
        </w:tc>
      </w:tr>
      <w:tr w:rsidR="00A91032" w:rsidRPr="000C3CAC" w14:paraId="62F2E768" w14:textId="77777777" w:rsidTr="000C3CAC">
        <w:tc>
          <w:tcPr>
            <w:tcW w:w="562" w:type="dxa"/>
            <w:vAlign w:val="center"/>
          </w:tcPr>
          <w:p w14:paraId="5A5544DB"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48</w:t>
            </w:r>
          </w:p>
        </w:tc>
        <w:tc>
          <w:tcPr>
            <w:tcW w:w="9356" w:type="dxa"/>
            <w:vAlign w:val="center"/>
          </w:tcPr>
          <w:p w14:paraId="143F7ED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 (Publicación en el Diario Oficial de la Federación el 20 de julio de 2017).</w:t>
            </w:r>
          </w:p>
        </w:tc>
      </w:tr>
      <w:tr w:rsidR="00A91032" w:rsidRPr="000C3CAC" w14:paraId="371491F3" w14:textId="77777777" w:rsidTr="000C3CAC">
        <w:tc>
          <w:tcPr>
            <w:tcW w:w="562" w:type="dxa"/>
            <w:vAlign w:val="center"/>
          </w:tcPr>
          <w:p w14:paraId="1BA47C0A"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49</w:t>
            </w:r>
          </w:p>
        </w:tc>
        <w:tc>
          <w:tcPr>
            <w:tcW w:w="9356" w:type="dxa"/>
            <w:vAlign w:val="center"/>
          </w:tcPr>
          <w:p w14:paraId="10375DC2"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Acuerdo mediante el cual el Pleno del Instituto Federal de Telecomunicaciones expide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 (Publicado en el Diario Oficial de la Federación el 24 de julio de 2017; y su modificación del 24 de enero de 2020).</w:t>
            </w:r>
          </w:p>
        </w:tc>
      </w:tr>
      <w:tr w:rsidR="00A91032" w:rsidRPr="000C3CAC" w14:paraId="404B2E7A" w14:textId="77777777" w:rsidTr="000C3CAC">
        <w:tc>
          <w:tcPr>
            <w:tcW w:w="562" w:type="dxa"/>
            <w:vAlign w:val="center"/>
          </w:tcPr>
          <w:p w14:paraId="2B2FF32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50</w:t>
            </w:r>
          </w:p>
        </w:tc>
        <w:tc>
          <w:tcPr>
            <w:tcW w:w="9356" w:type="dxa"/>
            <w:vAlign w:val="center"/>
          </w:tcPr>
          <w:p w14:paraId="698F7A14"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Acuerdo mediante el cual el Pleno del Instituto Federal de Telecomunicaciones aprueba el Plan para la Banda 470-608 MHz. (Publicación en el Diario Oficial de la Federación el 1 de septiembre de 2017).</w:t>
            </w:r>
          </w:p>
        </w:tc>
      </w:tr>
      <w:tr w:rsidR="00A91032" w:rsidRPr="000C3CAC" w14:paraId="30FD4441" w14:textId="77777777" w:rsidTr="000C3CAC">
        <w:tc>
          <w:tcPr>
            <w:tcW w:w="562" w:type="dxa"/>
            <w:vAlign w:val="center"/>
          </w:tcPr>
          <w:p w14:paraId="1F42D6AA"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51</w:t>
            </w:r>
          </w:p>
        </w:tc>
        <w:tc>
          <w:tcPr>
            <w:tcW w:w="9356" w:type="dxa"/>
            <w:vAlign w:val="center"/>
          </w:tcPr>
          <w:p w14:paraId="6231F127"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la metodología, términos y condiciones para llevar a cabo la prueba de Replicabilidad Económica aplicable a los servicios del Agente Económico Preponderante en Telecomunicaciones a que se refiere la medida Sexagésima Cuarta del Anexo 1 de la Resolución de fecha 27 de febrero de 2017 aprobada mediante Acuerdo P/IFT/EXT/270217/119 (Aprobado por el Pleno del Instituto Federal de Telecomunicaciones el 12 de septiembre de 2017)</w:t>
            </w:r>
          </w:p>
        </w:tc>
      </w:tr>
      <w:tr w:rsidR="00A91032" w:rsidRPr="000C3CAC" w14:paraId="11DCF4E9" w14:textId="77777777" w:rsidTr="000C3CAC">
        <w:tc>
          <w:tcPr>
            <w:tcW w:w="562" w:type="dxa"/>
            <w:vAlign w:val="center"/>
          </w:tcPr>
          <w:p w14:paraId="7F30385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52</w:t>
            </w:r>
          </w:p>
        </w:tc>
        <w:tc>
          <w:tcPr>
            <w:tcW w:w="9356" w:type="dxa"/>
            <w:vAlign w:val="center"/>
          </w:tcPr>
          <w:p w14:paraId="77EE73C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la metodología, términos y condiciones para llevar a cabo las pruebas de Replicabilidad Económica aplicables a los servicios del Agente Económico Preponderante en Telecomunicaciones a que se refieren las medidas Sexagésima Séptima del Anexo 2 y Cuadragésima Novena del Anexo 3 de la Resolución de fecha 27 de febrero de 2017 aprobada mediante Acuerdo P/IFT/EXT/270217/119 (aprobado por el Pleno del Instituto Federal de Telecomunicaciones el 12 de septiembre de 2017)</w:t>
            </w:r>
          </w:p>
        </w:tc>
      </w:tr>
      <w:tr w:rsidR="00A91032" w:rsidRPr="000C3CAC" w14:paraId="25091459" w14:textId="77777777" w:rsidTr="000C3CAC">
        <w:tc>
          <w:tcPr>
            <w:tcW w:w="562" w:type="dxa"/>
            <w:vAlign w:val="center"/>
          </w:tcPr>
          <w:p w14:paraId="64AC511B"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53</w:t>
            </w:r>
          </w:p>
        </w:tc>
        <w:tc>
          <w:tcPr>
            <w:tcW w:w="9356" w:type="dxa"/>
            <w:vAlign w:val="center"/>
          </w:tcPr>
          <w:p w14:paraId="41B05712"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mediante el cual el Pleno del Instituto Federal de Telecomunicaciones emite los elementos a analizar para corroborar la replicabilidad técnica de las ofertas minoristas del agente económico preponderante en el sector de telecomunicaciones a que refieren las medidas Septuagésima Séptima del Anexo 1, Sexagésima Sexta del Anexo 2 y Cuadragésima Octava del Anexo 3 de la resolución de </w:t>
            </w:r>
            <w:r w:rsidRPr="000C3CAC">
              <w:rPr>
                <w:rFonts w:eastAsia="Times New Roman" w:cstheme="minorHAnsi"/>
              </w:rPr>
              <w:lastRenderedPageBreak/>
              <w:t>fecha 27 de febrero de 2017 aprobada mediante Acuerdo P/IFT/EXT/270217/119. (Aprobada por el Pleno en su XXXVII Sesión Ordinaria, celebrada el 12 de septiembre de 2017, mediante Acuerdo P/IFT/120917/550)</w:t>
            </w:r>
          </w:p>
        </w:tc>
      </w:tr>
      <w:tr w:rsidR="00A91032" w:rsidRPr="000C3CAC" w14:paraId="715A34FD" w14:textId="77777777" w:rsidTr="000C3CAC">
        <w:tc>
          <w:tcPr>
            <w:tcW w:w="562" w:type="dxa"/>
            <w:vAlign w:val="center"/>
          </w:tcPr>
          <w:p w14:paraId="685E66C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54</w:t>
            </w:r>
          </w:p>
        </w:tc>
        <w:tc>
          <w:tcPr>
            <w:tcW w:w="9356" w:type="dxa"/>
            <w:vAlign w:val="center"/>
          </w:tcPr>
          <w:p w14:paraId="089904C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los Lineamientos de Consulta Pública y Análisis de Impacto Regulatorio del Instituto Federal de Telecomunicaciones (Publicación en el Diario Oficial de la Federación el 8 de noviembre de 2017).</w:t>
            </w:r>
          </w:p>
        </w:tc>
      </w:tr>
      <w:tr w:rsidR="00A91032" w:rsidRPr="000C3CAC" w14:paraId="5C87E95B" w14:textId="77777777" w:rsidTr="000C3CAC">
        <w:tc>
          <w:tcPr>
            <w:tcW w:w="562" w:type="dxa"/>
            <w:vAlign w:val="center"/>
          </w:tcPr>
          <w:p w14:paraId="2CAFCC2A"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55</w:t>
            </w:r>
          </w:p>
        </w:tc>
        <w:tc>
          <w:tcPr>
            <w:tcW w:w="9356" w:type="dxa"/>
            <w:vAlign w:val="center"/>
          </w:tcPr>
          <w:p w14:paraId="6F3843A4"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expide la metodología de separación contable aplicable a los agentes económicos preponderantes, agentes declarados con poder sustancial de mercado y redes compartidas mayoristas. (Publicación en el Diario Oficial de la Federación el 29 de diciembre de 2017; y sus modificaciones del 29 de octubre de 2018, 19 de diciembre de 2018 y 7 de julio de 2020).</w:t>
            </w:r>
          </w:p>
        </w:tc>
      </w:tr>
      <w:tr w:rsidR="00A91032" w:rsidRPr="000C3CAC" w14:paraId="786F1DA7" w14:textId="77777777" w:rsidTr="000C3CAC">
        <w:tc>
          <w:tcPr>
            <w:tcW w:w="562" w:type="dxa"/>
            <w:vAlign w:val="center"/>
          </w:tcPr>
          <w:p w14:paraId="65102EC9"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56</w:t>
            </w:r>
          </w:p>
        </w:tc>
        <w:tc>
          <w:tcPr>
            <w:tcW w:w="9356" w:type="dxa"/>
            <w:vAlign w:val="center"/>
          </w:tcPr>
          <w:p w14:paraId="38DFAFFC"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(Publicación en el Diario Oficial de la Federación el 17 de enero de 2018).</w:t>
            </w:r>
          </w:p>
        </w:tc>
      </w:tr>
      <w:tr w:rsidR="00A91032" w:rsidRPr="000C3CAC" w14:paraId="5B3932D7" w14:textId="77777777" w:rsidTr="000C3CAC">
        <w:tc>
          <w:tcPr>
            <w:tcW w:w="562" w:type="dxa"/>
            <w:vAlign w:val="center"/>
          </w:tcPr>
          <w:p w14:paraId="59D177F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57</w:t>
            </w:r>
          </w:p>
        </w:tc>
        <w:tc>
          <w:tcPr>
            <w:tcW w:w="9356" w:type="dxa"/>
            <w:vAlign w:val="center"/>
          </w:tcPr>
          <w:p w14:paraId="53F438F0"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Licitación Pública para concesionar el uso, aprovechamiento y explotación comercial de 120 MHz de espectro radioeléctrico disponibles en la banda de frecuencias 2500-2690 MHz (Licitación No. IFT-7) (Publicación en el Diario Oficial de la Federación el 13 de febrero de 2018)</w:t>
            </w:r>
          </w:p>
        </w:tc>
      </w:tr>
      <w:tr w:rsidR="00A91032" w:rsidRPr="000C3CAC" w14:paraId="1B2A8B4D" w14:textId="77777777" w:rsidTr="000C3CAC">
        <w:tc>
          <w:tcPr>
            <w:tcW w:w="562" w:type="dxa"/>
            <w:vAlign w:val="center"/>
          </w:tcPr>
          <w:p w14:paraId="3C605246"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58</w:t>
            </w:r>
          </w:p>
        </w:tc>
        <w:tc>
          <w:tcPr>
            <w:tcW w:w="9356" w:type="dxa"/>
            <w:vAlign w:val="center"/>
          </w:tcPr>
          <w:p w14:paraId="56411E0C"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de la Resolución Bienal. (Aprobada por el Pleno del Instituto Federal de Telecomunicaciones en su VII Sesión Ordinaria, celebrada el 27 de febrero de 2018, mediante Acuerdo P/IFT/270218/130)</w:t>
            </w:r>
          </w:p>
        </w:tc>
      </w:tr>
      <w:tr w:rsidR="00A91032" w:rsidRPr="000C3CAC" w14:paraId="65FF0E29" w14:textId="77777777" w:rsidTr="000C3CAC">
        <w:tc>
          <w:tcPr>
            <w:tcW w:w="562" w:type="dxa"/>
            <w:vAlign w:val="center"/>
          </w:tcPr>
          <w:p w14:paraId="4A2ED3C0"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59</w:t>
            </w:r>
          </w:p>
        </w:tc>
        <w:tc>
          <w:tcPr>
            <w:tcW w:w="9356" w:type="dxa"/>
            <w:vAlign w:val="center"/>
          </w:tcPr>
          <w:p w14:paraId="017E513C"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los Lineamientos para el otorgamiento de la Constancia de Autorización, para el uso y aprovechamiento de bandas de frecuencias del espectro radioeléctrico para uso secundario.</w:t>
            </w:r>
            <w:r w:rsidRPr="000C3CAC">
              <w:rPr>
                <w:rFonts w:eastAsia="PMingLiU" w:cstheme="minorHAnsi"/>
              </w:rPr>
              <w:br/>
            </w:r>
            <w:r w:rsidRPr="000C3CAC">
              <w:rPr>
                <w:rFonts w:eastAsia="Times New Roman" w:cstheme="minorHAnsi"/>
              </w:rPr>
              <w:t>(Publicación en el Diario Oficial de la Federación el 23 de abril de 2018; y su modificación del 20 de noviembre de 2020).</w:t>
            </w:r>
          </w:p>
        </w:tc>
      </w:tr>
      <w:tr w:rsidR="00A91032" w:rsidRPr="000C3CAC" w14:paraId="1C21F397" w14:textId="77777777" w:rsidTr="000C3CAC">
        <w:tc>
          <w:tcPr>
            <w:tcW w:w="562" w:type="dxa"/>
            <w:vAlign w:val="center"/>
          </w:tcPr>
          <w:p w14:paraId="04CF30E9"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60</w:t>
            </w:r>
          </w:p>
        </w:tc>
        <w:tc>
          <w:tcPr>
            <w:tcW w:w="9356" w:type="dxa"/>
            <w:vAlign w:val="center"/>
          </w:tcPr>
          <w:p w14:paraId="1B941CC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Lineamientos para la presentación de denuncias de prácticas monopólicas y concentraciones ilícitas en los sectores de telecomunicaciones y radiodifusión, ante la Autoridad Investigadora del Instituto </w:t>
            </w:r>
            <w:r w:rsidRPr="000C3CAC">
              <w:rPr>
                <w:rFonts w:eastAsia="Times New Roman" w:cstheme="minorHAnsi"/>
              </w:rPr>
              <w:lastRenderedPageBreak/>
              <w:t>Federal de Telecomunicaciones, a través de medios electrónicos. (Publicación en el Diario Oficial de la Federación el 10 de diciembre de 2018; y su modificación del 22 de noviembre de 2019)</w:t>
            </w:r>
          </w:p>
        </w:tc>
      </w:tr>
      <w:tr w:rsidR="00A91032" w:rsidRPr="000C3CAC" w14:paraId="04673355" w14:textId="77777777" w:rsidTr="000C3CAC">
        <w:tc>
          <w:tcPr>
            <w:tcW w:w="562" w:type="dxa"/>
            <w:vAlign w:val="center"/>
          </w:tcPr>
          <w:p w14:paraId="5D8A98C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61</w:t>
            </w:r>
          </w:p>
        </w:tc>
        <w:tc>
          <w:tcPr>
            <w:tcW w:w="9356" w:type="dxa"/>
            <w:vAlign w:val="center"/>
          </w:tcPr>
          <w:p w14:paraId="291421F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Guía para la presentación de denuncias de prácticas monopólicas y concentraciones ilícitas en los sectores de telecomunicaciones y radiodifusión, ante la Autoridad Investigadora del Instituto Federal de Telecomunicaciones. (Publicación en el Diario Oficial de la Federación el 10 de diciembre de 2018).</w:t>
            </w:r>
          </w:p>
        </w:tc>
      </w:tr>
      <w:tr w:rsidR="00A91032" w:rsidRPr="000C3CAC" w14:paraId="4BF14BE0" w14:textId="77777777" w:rsidTr="000C3CAC">
        <w:tc>
          <w:tcPr>
            <w:tcW w:w="562" w:type="dxa"/>
            <w:vAlign w:val="center"/>
          </w:tcPr>
          <w:p w14:paraId="0629055F"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62</w:t>
            </w:r>
          </w:p>
        </w:tc>
        <w:tc>
          <w:tcPr>
            <w:tcW w:w="9356" w:type="dxa"/>
            <w:vAlign w:val="center"/>
          </w:tcPr>
          <w:p w14:paraId="6EBFB78B"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Guía para la presentación de las solicitudes de investigación de condiciones de mercado previstas en el artículo 96 de la Ley Federal de Competencia Económica, en los sectores de telecomunicaciones y radiodifusión. (Publicación en el Diario Oficial de la Federación el 1 de febrero de 2019)</w:t>
            </w:r>
          </w:p>
        </w:tc>
      </w:tr>
      <w:tr w:rsidR="00A91032" w:rsidRPr="000C3CAC" w14:paraId="447CA7C2" w14:textId="77777777" w:rsidTr="000C3CAC">
        <w:tc>
          <w:tcPr>
            <w:tcW w:w="562" w:type="dxa"/>
            <w:vAlign w:val="center"/>
          </w:tcPr>
          <w:p w14:paraId="02F8BE4D"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63</w:t>
            </w:r>
          </w:p>
        </w:tc>
        <w:tc>
          <w:tcPr>
            <w:tcW w:w="9356" w:type="dxa"/>
            <w:vAlign w:val="center"/>
          </w:tcPr>
          <w:p w14:paraId="1BA92EFF"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Convocatoria a la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 (Publicación en el Diario Oficial de la Federación el 17 de abril de 2019)</w:t>
            </w:r>
          </w:p>
        </w:tc>
      </w:tr>
      <w:tr w:rsidR="00A91032" w:rsidRPr="000C3CAC" w14:paraId="6C72F56E" w14:textId="77777777" w:rsidTr="000C3CAC">
        <w:tc>
          <w:tcPr>
            <w:tcW w:w="562" w:type="dxa"/>
            <w:vAlign w:val="center"/>
          </w:tcPr>
          <w:p w14:paraId="7D3C940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64</w:t>
            </w:r>
          </w:p>
        </w:tc>
        <w:tc>
          <w:tcPr>
            <w:tcW w:w="9356" w:type="dxa"/>
            <w:vAlign w:val="center"/>
          </w:tcPr>
          <w:p w14:paraId="180755C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actualiza las señales radiodifundidas con cobertura de 50% o más del territorio nacional en términos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(Publicación en el Diario Oficial de la Federación el 5 de julio de 2019).</w:t>
            </w:r>
          </w:p>
        </w:tc>
      </w:tr>
      <w:tr w:rsidR="00A91032" w:rsidRPr="000C3CAC" w14:paraId="4CAC6742" w14:textId="77777777" w:rsidTr="000C3CAC">
        <w:tc>
          <w:tcPr>
            <w:tcW w:w="562" w:type="dxa"/>
            <w:vAlign w:val="center"/>
          </w:tcPr>
          <w:p w14:paraId="113E6F01"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65</w:t>
            </w:r>
          </w:p>
        </w:tc>
        <w:tc>
          <w:tcPr>
            <w:tcW w:w="9356" w:type="dxa"/>
            <w:vAlign w:val="center"/>
          </w:tcPr>
          <w:p w14:paraId="23353E86"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por el que el Pleno del Instituto Federal de Telecomunicaciones aprueba los Elementos a Incluirse en el Programa Nacional de Espectro Radioeléctrico 2019-2024 (Aprobado por el Pleno del Instituto Federal de Telecomunicaciones el 23 de octubre de 2019)</w:t>
            </w:r>
          </w:p>
        </w:tc>
      </w:tr>
      <w:tr w:rsidR="00A91032" w:rsidRPr="000C3CAC" w14:paraId="0E6EF650" w14:textId="77777777" w:rsidTr="000C3CAC">
        <w:tc>
          <w:tcPr>
            <w:tcW w:w="562" w:type="dxa"/>
            <w:vAlign w:val="center"/>
          </w:tcPr>
          <w:p w14:paraId="0D021AE2"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66</w:t>
            </w:r>
          </w:p>
        </w:tc>
        <w:tc>
          <w:tcPr>
            <w:tcW w:w="9356" w:type="dxa"/>
            <w:vAlign w:val="center"/>
          </w:tcPr>
          <w:p w14:paraId="24CE03A7"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los Lineamientos para la entrega, inscripción y consulta de información para la conformación del Sistema Nacional de Información de Infraestructura. (Publicación en el Diario Oficial de la Federación el 28 de octubre de 2019).</w:t>
            </w:r>
          </w:p>
        </w:tc>
      </w:tr>
      <w:tr w:rsidR="00A91032" w:rsidRPr="000C3CAC" w14:paraId="33169DE5" w14:textId="77777777" w:rsidTr="000C3CAC">
        <w:tc>
          <w:tcPr>
            <w:tcW w:w="562" w:type="dxa"/>
            <w:vAlign w:val="center"/>
          </w:tcPr>
          <w:p w14:paraId="51EC09F8"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67</w:t>
            </w:r>
          </w:p>
        </w:tc>
        <w:tc>
          <w:tcPr>
            <w:tcW w:w="9356" w:type="dxa"/>
            <w:vAlign w:val="center"/>
          </w:tcPr>
          <w:p w14:paraId="67473DB1"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los Lineamientos para la sustanciación de los trámites y servicios que se realicen ante el Instituto Federal de Telecomunicaciones, a través de la Ventanilla Electrónica. (Publicación en el Diario Oficial de la Federación el 05 de noviembre de 2019).</w:t>
            </w:r>
          </w:p>
        </w:tc>
      </w:tr>
      <w:tr w:rsidR="00A91032" w:rsidRPr="000C3CAC" w14:paraId="3B00D178" w14:textId="77777777" w:rsidTr="000C3CAC">
        <w:tc>
          <w:tcPr>
            <w:tcW w:w="562" w:type="dxa"/>
            <w:vAlign w:val="center"/>
          </w:tcPr>
          <w:p w14:paraId="05B437E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68</w:t>
            </w:r>
          </w:p>
        </w:tc>
        <w:tc>
          <w:tcPr>
            <w:tcW w:w="9356" w:type="dxa"/>
            <w:vAlign w:val="center"/>
          </w:tcPr>
          <w:p w14:paraId="6DD261D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los formatos que deberán utilizarse para realizar diversos trámites y servicios ante el Instituto Federal de Telecomunicaciones. (Publicación en el Diario Oficial de la Federación el 11 de noviembre de 2019).</w:t>
            </w:r>
          </w:p>
        </w:tc>
      </w:tr>
      <w:tr w:rsidR="00A91032" w:rsidRPr="000C3CAC" w14:paraId="03E20171" w14:textId="77777777" w:rsidTr="000C3CAC">
        <w:tc>
          <w:tcPr>
            <w:tcW w:w="562" w:type="dxa"/>
            <w:vAlign w:val="center"/>
          </w:tcPr>
          <w:p w14:paraId="2970CA60"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69</w:t>
            </w:r>
          </w:p>
        </w:tc>
        <w:tc>
          <w:tcPr>
            <w:tcW w:w="9356" w:type="dxa"/>
            <w:vAlign w:val="center"/>
          </w:tcPr>
          <w:p w14:paraId="6710A049"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los Lineamientos para el Despliegue, Acceso y Uso Compartido de Infraestructura de Telecomunicaciones y Radiodifusión. (Publicación en el Diario Oficial de la Federación el 15 de enero de 2020).</w:t>
            </w:r>
          </w:p>
        </w:tc>
      </w:tr>
      <w:tr w:rsidR="00A91032" w:rsidRPr="000C3CAC" w14:paraId="5A532DD9" w14:textId="77777777" w:rsidTr="000C3CAC">
        <w:tc>
          <w:tcPr>
            <w:tcW w:w="562" w:type="dxa"/>
            <w:vAlign w:val="center"/>
          </w:tcPr>
          <w:p w14:paraId="105DF54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70</w:t>
            </w:r>
          </w:p>
        </w:tc>
        <w:tc>
          <w:tcPr>
            <w:tcW w:w="9356" w:type="dxa"/>
            <w:vAlign w:val="center"/>
          </w:tcPr>
          <w:p w14:paraId="7F96E16E"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aprueba y emite los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(Publicación en el Diario Oficial de la Federación el 24 de enero de 2020; y su modificación del 7 de julio de 2020 y aclaración del 18 de noviembre de 2020).</w:t>
            </w:r>
          </w:p>
        </w:tc>
      </w:tr>
      <w:tr w:rsidR="00A91032" w:rsidRPr="000C3CAC" w14:paraId="4210DACE" w14:textId="77777777" w:rsidTr="000C3CAC">
        <w:tc>
          <w:tcPr>
            <w:tcW w:w="562" w:type="dxa"/>
            <w:vAlign w:val="center"/>
          </w:tcPr>
          <w:p w14:paraId="4412C575"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71</w:t>
            </w:r>
          </w:p>
        </w:tc>
        <w:tc>
          <w:tcPr>
            <w:tcW w:w="9356" w:type="dxa"/>
            <w:vAlign w:val="center"/>
          </w:tcPr>
          <w:p w14:paraId="1F2DFB5D"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deroga, extingue, abroga, deja sin efectos y modifica diversas disposiciones relacionadas con los trámites a su cargo y que por diversas circunstancias han perdido su utilidad. (Publicación en el Diario Oficial de la Federación el 24 de enero de 2020).</w:t>
            </w:r>
          </w:p>
        </w:tc>
      </w:tr>
      <w:tr w:rsidR="00A91032" w:rsidRPr="000C3CAC" w14:paraId="2DFA6607" w14:textId="77777777" w:rsidTr="000C3CAC">
        <w:tc>
          <w:tcPr>
            <w:tcW w:w="562" w:type="dxa"/>
            <w:vAlign w:val="center"/>
          </w:tcPr>
          <w:p w14:paraId="1BA6D745"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72</w:t>
            </w:r>
          </w:p>
        </w:tc>
        <w:tc>
          <w:tcPr>
            <w:tcW w:w="9356" w:type="dxa"/>
            <w:vAlign w:val="center"/>
          </w:tcPr>
          <w:p w14:paraId="6A9D420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los Lineamientos que fijan los índices y parámetros de calidad a que deberán sujetarse los prestadores del servicio fijo. (Publicación en el Diario Oficial de la Federación el 25 de febrero de 2020; y su modificación del 27 de mayo de 2020).</w:t>
            </w:r>
          </w:p>
        </w:tc>
      </w:tr>
      <w:tr w:rsidR="00A91032" w:rsidRPr="000C3CAC" w14:paraId="3A5A9266" w14:textId="77777777" w:rsidTr="000C3CAC">
        <w:tc>
          <w:tcPr>
            <w:tcW w:w="562" w:type="dxa"/>
            <w:vAlign w:val="center"/>
          </w:tcPr>
          <w:p w14:paraId="7A28D476"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73</w:t>
            </w:r>
          </w:p>
        </w:tc>
        <w:tc>
          <w:tcPr>
            <w:tcW w:w="9356" w:type="dxa"/>
            <w:vAlign w:val="center"/>
          </w:tcPr>
          <w:p w14:paraId="0B6B9C5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Resolución mediante la cual el Pleno del Instituto Federal de Telecomunicaciones emite pronunciamiento respecto de la solicitud de Tele-Emisoras del Sureste, S.A. de C.V. para dejar de ser considerado como parte del grupo de interés económico declarado como agente económico preponderante en el sector de radiodifusión y le dejen de aplicar las medidas de regulación asimétrica. (Aprobada por el Pleno del Instituto Federal de Telecomunicaciones en su VI Sesión Ordinaria, celebrada el 4 de marzo de 2020, mediante Resolución P/IFT/040320/77)</w:t>
            </w:r>
          </w:p>
        </w:tc>
      </w:tr>
      <w:tr w:rsidR="00A91032" w:rsidRPr="000C3CAC" w14:paraId="0B2ED597" w14:textId="77777777" w:rsidTr="000C3CAC">
        <w:tc>
          <w:tcPr>
            <w:tcW w:w="562" w:type="dxa"/>
            <w:vAlign w:val="center"/>
          </w:tcPr>
          <w:p w14:paraId="3FAF1B23"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74</w:t>
            </w:r>
          </w:p>
        </w:tc>
        <w:tc>
          <w:tcPr>
            <w:tcW w:w="9356" w:type="dxa"/>
            <w:vAlign w:val="center"/>
          </w:tcPr>
          <w:p w14:paraId="3BB0DD84"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por causa de fuerza mayor, con motivo de las medidas de contingencia de la pandemia de Coronavirus COVID-19, determina el acceso a la multiprogramación de ciertos concesionarios de radiodifusión de manera temporal para un canal de programación cuyo contenido audiovisual incluya las sesiones escolares de la Secretaría de Educación Pública. 29 de abril de 2020. (Publicación en el Diario Oficial de la Federación el 29 de abril de 2020).</w:t>
            </w:r>
          </w:p>
        </w:tc>
      </w:tr>
      <w:tr w:rsidR="00A91032" w:rsidRPr="000C3CAC" w14:paraId="197AC02F" w14:textId="77777777" w:rsidTr="000C3CAC">
        <w:tc>
          <w:tcPr>
            <w:tcW w:w="562" w:type="dxa"/>
            <w:vAlign w:val="center"/>
          </w:tcPr>
          <w:p w14:paraId="1EC4C405"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75</w:t>
            </w:r>
          </w:p>
        </w:tc>
        <w:tc>
          <w:tcPr>
            <w:tcW w:w="9356" w:type="dxa"/>
            <w:vAlign w:val="center"/>
          </w:tcPr>
          <w:p w14:paraId="7DA0B63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amplía el plazo previsto en la condición relativa a la presentación del informe sobre las labores de investigación y desarrollo de los títulos de concesión vigentes otorgados al amparo de la Ley Federal de Radio y Televisión. (Publicación en el Diario Oficial de la Federación el 7 de julio de 2020).</w:t>
            </w:r>
          </w:p>
        </w:tc>
      </w:tr>
      <w:tr w:rsidR="00A91032" w:rsidRPr="000C3CAC" w14:paraId="7FF9E43F" w14:textId="77777777" w:rsidTr="000C3CAC">
        <w:tc>
          <w:tcPr>
            <w:tcW w:w="562" w:type="dxa"/>
            <w:vAlign w:val="center"/>
          </w:tcPr>
          <w:p w14:paraId="152B9615"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76</w:t>
            </w:r>
          </w:p>
        </w:tc>
        <w:tc>
          <w:tcPr>
            <w:tcW w:w="9356" w:type="dxa"/>
            <w:vAlign w:val="center"/>
          </w:tcPr>
          <w:p w14:paraId="44295049"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Aviso por el que se hace del conocimiento de los concesionarios interesados que no tengan el carácter de agentes económicos preponderantes, que </w:t>
            </w:r>
            <w:proofErr w:type="gramStart"/>
            <w:r w:rsidRPr="000C3CAC">
              <w:rPr>
                <w:rFonts w:eastAsia="Times New Roman" w:cstheme="minorHAnsi"/>
              </w:rPr>
              <w:t>en relación a</w:t>
            </w:r>
            <w:proofErr w:type="gramEnd"/>
            <w:r w:rsidRPr="000C3CAC">
              <w:rPr>
                <w:rFonts w:eastAsia="Times New Roman" w:cstheme="minorHAnsi"/>
              </w:rPr>
              <w:t xml:space="preserve"> la contratación del auditor externo que </w:t>
            </w:r>
            <w:r w:rsidRPr="000C3CAC">
              <w:rPr>
                <w:rFonts w:eastAsia="Times New Roman" w:cstheme="minorHAnsi"/>
              </w:rPr>
              <w:lastRenderedPageBreak/>
              <w:t>auxiliará al Instituto Federal de Telecomunicaciones en la verificación del cumplimiento de las medidas impuestas a los agentes económicos preponderantes, podrán opinar y en su caso proponer despachos de auditores. (Publicación en el Diario Oficial de la Federación el 7 de agosto de 2020)</w:t>
            </w:r>
          </w:p>
        </w:tc>
      </w:tr>
      <w:tr w:rsidR="00A91032" w:rsidRPr="000C3CAC" w14:paraId="05D979E8" w14:textId="77777777" w:rsidTr="000C3CAC">
        <w:tc>
          <w:tcPr>
            <w:tcW w:w="562" w:type="dxa"/>
            <w:vAlign w:val="center"/>
          </w:tcPr>
          <w:p w14:paraId="30B63C06"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77</w:t>
            </w:r>
          </w:p>
        </w:tc>
        <w:tc>
          <w:tcPr>
            <w:tcW w:w="9356" w:type="dxa"/>
            <w:vAlign w:val="center"/>
          </w:tcPr>
          <w:p w14:paraId="5A2984D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establece el uso de la Firma Electrónica Avanzada para los actos que emitan los servidores públicos que se indican. (Publicación en el Diario Oficial de la Federación el 11 de noviembre de 2020).</w:t>
            </w:r>
          </w:p>
        </w:tc>
      </w:tr>
      <w:tr w:rsidR="00A91032" w:rsidRPr="000C3CAC" w14:paraId="7264DE5B" w14:textId="77777777" w:rsidTr="000C3CAC">
        <w:tc>
          <w:tcPr>
            <w:tcW w:w="562" w:type="dxa"/>
            <w:vAlign w:val="center"/>
          </w:tcPr>
          <w:p w14:paraId="0326784D"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78</w:t>
            </w:r>
          </w:p>
        </w:tc>
        <w:tc>
          <w:tcPr>
            <w:tcW w:w="9356" w:type="dxa"/>
            <w:vAlign w:val="center"/>
          </w:tcPr>
          <w:p w14:paraId="75E1CC3B"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 xml:space="preserve">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2021. (Publicación en el Diario Oficial de la Federación el 17 de noviembre de 2020) </w:t>
            </w:r>
          </w:p>
        </w:tc>
      </w:tr>
      <w:tr w:rsidR="00A91032" w:rsidRPr="000C3CAC" w14:paraId="79A13880" w14:textId="77777777" w:rsidTr="000C3CAC">
        <w:tc>
          <w:tcPr>
            <w:tcW w:w="562" w:type="dxa"/>
            <w:vAlign w:val="center"/>
          </w:tcPr>
          <w:p w14:paraId="22B3419F"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79</w:t>
            </w:r>
          </w:p>
        </w:tc>
        <w:tc>
          <w:tcPr>
            <w:tcW w:w="9356" w:type="dxa"/>
            <w:vAlign w:val="center"/>
          </w:tcPr>
          <w:p w14:paraId="51E92E47"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Resolución mediante la cual el Pleno del Instituto Federal de Telecomunicaciones resuelve sobre el Dictamen Preliminar emitido por la Autoridad Investigadora en el Expediente AI/DC-002-2019 que declaró la existencia de un grupo de interés económico con poder sustancial en treinta y cinco mercados relevantes correspondientes a la provisión del servicio de televisión y audio restringido a través de la tecnología satelital, cable e IPTV, ofrecido de manera individual o empaquetada con otros servicios de telecomunicaciones fijos. (Resolución del Pleno del Instituto Federal de Telecomunicaciones, aprobada el 18 de noviembre de 2020)</w:t>
            </w:r>
          </w:p>
        </w:tc>
      </w:tr>
      <w:tr w:rsidR="00A91032" w:rsidRPr="000C3CAC" w14:paraId="23930AD1" w14:textId="77777777" w:rsidTr="000C3CAC">
        <w:tc>
          <w:tcPr>
            <w:tcW w:w="562" w:type="dxa"/>
            <w:vAlign w:val="center"/>
          </w:tcPr>
          <w:p w14:paraId="3901771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80</w:t>
            </w:r>
          </w:p>
        </w:tc>
        <w:tc>
          <w:tcPr>
            <w:tcW w:w="9356" w:type="dxa"/>
            <w:vAlign w:val="center"/>
          </w:tcPr>
          <w:p w14:paraId="0843940A"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Resolución mediante la cual el Pleno del Instituto Federal de Telecomunicaciones emite pronunciamiento respecto de la solicitud de Comunicación del Sureste, S.A. de C.V. para dejar de ser considerado como parte del grupo de interés económico declarado como agente económico preponderante en el sector de radiodifusión y le dejen de aplicar las medidas de regulación asimétrica. (Aprobada por el Pleno del Instituto Federal de Telecomunicaciones en su XXIII Sesión Ordinaria, celebrada el 25 de noviembre de 2020, mediante Resolución P/IFT/251120/483)</w:t>
            </w:r>
          </w:p>
        </w:tc>
      </w:tr>
      <w:tr w:rsidR="00A91032" w:rsidRPr="000C3CAC" w14:paraId="3894547A" w14:textId="77777777" w:rsidTr="000C3CAC">
        <w:tc>
          <w:tcPr>
            <w:tcW w:w="562" w:type="dxa"/>
            <w:vAlign w:val="center"/>
          </w:tcPr>
          <w:p w14:paraId="5B12BCD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81</w:t>
            </w:r>
          </w:p>
        </w:tc>
        <w:tc>
          <w:tcPr>
            <w:tcW w:w="9356" w:type="dxa"/>
            <w:vAlign w:val="center"/>
          </w:tcPr>
          <w:p w14:paraId="78E30719"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Resolución mediante la cual el Pleno del Instituto Federal de Telecomunicaciones suprime, modifica y adiciona las medidas impuestas al agente económico preponderante en el sector de telecomunicaciones mediante Acuerdos P/IFT/EXT/060314/76 y P/IFT/EXT/270217/119. (Resolución del Pleno del Instituto Federal de Telecomunicaciones, aprobada el 2 de diciembre de 2020)</w:t>
            </w:r>
          </w:p>
        </w:tc>
      </w:tr>
      <w:tr w:rsidR="00A91032" w:rsidRPr="000C3CAC" w14:paraId="2017BC7F" w14:textId="77777777" w:rsidTr="000C3CAC">
        <w:tc>
          <w:tcPr>
            <w:tcW w:w="562" w:type="dxa"/>
            <w:vAlign w:val="center"/>
          </w:tcPr>
          <w:p w14:paraId="2D7992A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82</w:t>
            </w:r>
          </w:p>
        </w:tc>
        <w:tc>
          <w:tcPr>
            <w:tcW w:w="9356" w:type="dxa"/>
            <w:vAlign w:val="center"/>
          </w:tcPr>
          <w:p w14:paraId="2BFCE631"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 (Publicación en el Diario Oficial de la Federación el 30 de diciembre de 2020; y su Nota Aclaratoria publicada en el Diario Oficial de la Federación el 6 de enero de 2021).</w:t>
            </w:r>
          </w:p>
        </w:tc>
      </w:tr>
      <w:tr w:rsidR="00A91032" w:rsidRPr="000C3CAC" w14:paraId="1E02F14A" w14:textId="77777777" w:rsidTr="000C3CAC">
        <w:tc>
          <w:tcPr>
            <w:tcW w:w="562" w:type="dxa"/>
            <w:vAlign w:val="center"/>
          </w:tcPr>
          <w:p w14:paraId="49A70DA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83</w:t>
            </w:r>
          </w:p>
        </w:tc>
        <w:tc>
          <w:tcPr>
            <w:tcW w:w="9356" w:type="dxa"/>
            <w:vAlign w:val="center"/>
          </w:tcPr>
          <w:p w14:paraId="28C4B93C"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Acuerdo mediante el cual el Pleno del Instituto Federal de Telecomunicaciones establece las nuevas condiciones técnicas de operación de la banda de frecuencias 2400 - 2483.5 MHz, clasificada como espectro libre. (Publicación en el Diario Oficial de la Federación el 4 de enero de 2021).</w:t>
            </w:r>
          </w:p>
        </w:tc>
      </w:tr>
      <w:tr w:rsidR="00A91032" w:rsidRPr="000C3CAC" w14:paraId="28A678C7" w14:textId="77777777" w:rsidTr="000C3CAC">
        <w:tc>
          <w:tcPr>
            <w:tcW w:w="562" w:type="dxa"/>
            <w:vAlign w:val="center"/>
          </w:tcPr>
          <w:p w14:paraId="71EF6A17"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84</w:t>
            </w:r>
          </w:p>
        </w:tc>
        <w:tc>
          <w:tcPr>
            <w:tcW w:w="9356" w:type="dxa"/>
            <w:vAlign w:val="center"/>
          </w:tcPr>
          <w:p w14:paraId="08C5D5C4"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Acuerdo mediante el cual el Pleno del Instituto Federal de Telecomunicaciones aprueba y emite los Lineamientos Generales sobre las Guías Electrónicas de Programación del Servicio de Televisión Restringida. (Publicación en el Diario Oficial de la Federación el 2 de febrero de 2021).</w:t>
            </w:r>
          </w:p>
        </w:tc>
      </w:tr>
      <w:tr w:rsidR="00A91032" w:rsidRPr="000C3CAC" w14:paraId="0C7CBBCA" w14:textId="77777777" w:rsidTr="000C3CAC">
        <w:tc>
          <w:tcPr>
            <w:tcW w:w="562" w:type="dxa"/>
            <w:vAlign w:val="center"/>
          </w:tcPr>
          <w:p w14:paraId="15742317"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85</w:t>
            </w:r>
          </w:p>
        </w:tc>
        <w:tc>
          <w:tcPr>
            <w:tcW w:w="9356" w:type="dxa"/>
            <w:vAlign w:val="center"/>
          </w:tcPr>
          <w:p w14:paraId="2372F70F"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 (Publicación en el Diario Oficial de la Federación el 2 de febrero de 2021)</w:t>
            </w:r>
          </w:p>
        </w:tc>
      </w:tr>
      <w:tr w:rsidR="00A91032" w:rsidRPr="000C3CAC" w14:paraId="54FABEBD" w14:textId="77777777" w:rsidTr="000C3CAC">
        <w:tc>
          <w:tcPr>
            <w:tcW w:w="562" w:type="dxa"/>
            <w:vAlign w:val="center"/>
          </w:tcPr>
          <w:p w14:paraId="283CF6D9"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86</w:t>
            </w:r>
          </w:p>
        </w:tc>
        <w:tc>
          <w:tcPr>
            <w:tcW w:w="9356" w:type="dxa"/>
            <w:vAlign w:val="center"/>
          </w:tcPr>
          <w:p w14:paraId="45D69ABA"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 (Publicación en el Diario Oficial de la Federación el 9 de febrero de 2021).</w:t>
            </w:r>
          </w:p>
        </w:tc>
      </w:tr>
      <w:tr w:rsidR="00A91032" w:rsidRPr="000C3CAC" w14:paraId="5B7070F7" w14:textId="77777777" w:rsidTr="000C3CAC">
        <w:tc>
          <w:tcPr>
            <w:tcW w:w="562" w:type="dxa"/>
            <w:vAlign w:val="center"/>
          </w:tcPr>
          <w:p w14:paraId="32744B74"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87</w:t>
            </w:r>
          </w:p>
        </w:tc>
        <w:tc>
          <w:tcPr>
            <w:tcW w:w="9356" w:type="dxa"/>
            <w:vAlign w:val="center"/>
          </w:tcPr>
          <w:p w14:paraId="327F5F1C"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Resolución mediante la cual el Pleno del Instituto Federal de Telecomunicaciones emite pronunciamiento respecto de la solicitud de TV de Culiacán, S.A. de C.V. para dejar de ser considerado como parte del grupo de interés económico declarado como agente económico preponderante en el sector de radiodifusión y le dejen de aplicar las medidas de regulación asimétrica. (Aprobada por el Pleno del Instituto Federal de Telecomunicaciones en su IV Sesión Ordinaria, celebrada el 17 de febrero de 2021, mediante Resolución P/IFT/170221/93)</w:t>
            </w:r>
          </w:p>
        </w:tc>
      </w:tr>
      <w:tr w:rsidR="00A91032" w:rsidRPr="000C3CAC" w14:paraId="6809BD59" w14:textId="77777777" w:rsidTr="000C3CAC">
        <w:tc>
          <w:tcPr>
            <w:tcW w:w="562" w:type="dxa"/>
            <w:vAlign w:val="center"/>
          </w:tcPr>
          <w:p w14:paraId="03AA8BA0"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88</w:t>
            </w:r>
          </w:p>
        </w:tc>
        <w:tc>
          <w:tcPr>
            <w:tcW w:w="9356" w:type="dxa"/>
            <w:vAlign w:val="center"/>
          </w:tcPr>
          <w:p w14:paraId="40BB2F13"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Resolución mediante la cual el Pleno del Instituto Federal de Telecomunicaciones emite pronunciamiento respecto de la solicitud de Televisión del Pacífico, S.A. de C.V. para dejar de ser considerado como parte del grupo de interés económico declarado como agente económico preponderante en el sector de radiodifusión y le dejen de aplicar las medidas de regulación asimétrica. (Aprobada por el Pleno del Instituto Federal de Telecomunicaciones en su V Sesión Ordinaria, celebrada el 10 de marzo de 2021, mediante Resolución P/IFT/100321/100)</w:t>
            </w:r>
          </w:p>
        </w:tc>
      </w:tr>
      <w:tr w:rsidR="00A91032" w:rsidRPr="000C3CAC" w14:paraId="73117199" w14:textId="77777777" w:rsidTr="000C3CAC">
        <w:tc>
          <w:tcPr>
            <w:tcW w:w="562" w:type="dxa"/>
            <w:vAlign w:val="center"/>
          </w:tcPr>
          <w:p w14:paraId="58B1EA2E"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89</w:t>
            </w:r>
          </w:p>
        </w:tc>
        <w:tc>
          <w:tcPr>
            <w:tcW w:w="9356" w:type="dxa"/>
            <w:vAlign w:val="center"/>
          </w:tcPr>
          <w:p w14:paraId="3C71C14D"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rPr>
              <w:t>Acuerdo mediante el cual el Pleno del Instituto Federal de Telecomunicaciones aprueba y emite los Lineamientos para la solicitud y sustanciación del procedimiento de resolución de desacuerdos de interconexión entre concesionarios que operen redes públicas de telecomunicaciones de conformidad con el procedimiento previsto en el artículo 129 de la Ley Federal de Telecomunicaciones y Radiodifusión, mediante el uso optativo de medios electrónicos a través de la Ventanilla Electrónica del Instituto Federal de Telecomunicaciones. (Publicación en el Diario Oficial de la Federación el 4 de junio de 2021).</w:t>
            </w:r>
          </w:p>
        </w:tc>
      </w:tr>
      <w:tr w:rsidR="00A91032" w:rsidRPr="000C3CAC" w14:paraId="10168673" w14:textId="77777777" w:rsidTr="000C3CAC">
        <w:tc>
          <w:tcPr>
            <w:tcW w:w="562" w:type="dxa"/>
            <w:vAlign w:val="center"/>
          </w:tcPr>
          <w:p w14:paraId="7F3FF77C"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lastRenderedPageBreak/>
              <w:t>90</w:t>
            </w:r>
          </w:p>
        </w:tc>
        <w:tc>
          <w:tcPr>
            <w:tcW w:w="9356" w:type="dxa"/>
            <w:vAlign w:val="center"/>
          </w:tcPr>
          <w:p w14:paraId="54064875"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Acuerdo mediante el cual el Pleno del Instituto Federal de Telecomunicaciones expide los Lineamientos para la gestión de tráfico y administración de red a que deberán sujetarse los concesionarios y autorizados que presten el servicio de acceso a Internet. (Publicación en el Diario Oficial de la Federación el 05 de julio de 2021).</w:t>
            </w:r>
          </w:p>
        </w:tc>
      </w:tr>
      <w:tr w:rsidR="00A91032" w:rsidRPr="000C3CAC" w14:paraId="3DBA64C7" w14:textId="77777777" w:rsidTr="000C3CAC">
        <w:tc>
          <w:tcPr>
            <w:tcW w:w="562" w:type="dxa"/>
            <w:vAlign w:val="center"/>
          </w:tcPr>
          <w:p w14:paraId="4B30AA5D"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91</w:t>
            </w:r>
          </w:p>
        </w:tc>
        <w:tc>
          <w:tcPr>
            <w:tcW w:w="9356" w:type="dxa"/>
            <w:vAlign w:val="center"/>
          </w:tcPr>
          <w:p w14:paraId="2504A1A8"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rPr>
              <w:t>Licitación Pública para concesionar el uso, aprovechamiento y explotación comercial de 234 Frecuencias en el segmento de 88 a 106 MHz de la banda de Frecuencia Modulada y de 85 Frecuencias en el segmento de 535 a 1605 kHz de la banda de Amplitud Modulada para la prestación del Servicio Público de Radiodifusión Sonora (Licitación No. IFT-8) (Publicación en el Diario Oficial de la Federación el 20 de agosto de 2021)</w:t>
            </w:r>
          </w:p>
        </w:tc>
      </w:tr>
      <w:tr w:rsidR="00A91032" w:rsidRPr="000C3CAC" w14:paraId="0DEF02D0" w14:textId="77777777" w:rsidTr="000C3CAC">
        <w:tc>
          <w:tcPr>
            <w:tcW w:w="562" w:type="dxa"/>
            <w:vAlign w:val="center"/>
          </w:tcPr>
          <w:p w14:paraId="32B8E95B"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92</w:t>
            </w:r>
          </w:p>
        </w:tc>
        <w:tc>
          <w:tcPr>
            <w:tcW w:w="9356" w:type="dxa"/>
            <w:vAlign w:val="center"/>
          </w:tcPr>
          <w:p w14:paraId="7ADD1156" w14:textId="77777777" w:rsidR="00A91032" w:rsidRPr="000C3CAC" w:rsidRDefault="00A91032" w:rsidP="000C3CAC">
            <w:pPr>
              <w:spacing w:before="120" w:after="120" w:line="276" w:lineRule="auto"/>
              <w:jc w:val="both"/>
              <w:rPr>
                <w:rFonts w:eastAsia="Times New Roman" w:cstheme="minorHAnsi"/>
              </w:rPr>
            </w:pPr>
            <w:r w:rsidRPr="000C3CAC">
              <w:rPr>
                <w:rFonts w:eastAsia="Times New Roman" w:cstheme="minorHAnsi"/>
                <w:color w:val="000000"/>
              </w:rPr>
              <w:t>Resolución mediante la cual el Pleno del Instituto Federal de Telecomunicaciones emite pronunciamiento respecto de la solicitud presentada por Televisora de Durango, S.A. de C.V., para dejar de ser considerada como parte del grupo de interés económico declarado como agente económico preponderante en el sector de radiodifusión y le dejen de aplicar las medidas de regulación asimétrica. (Aprobada por el Pleno del Instituto Federal de Telecomunicaciones en su XXIII Sesión Ordinaria, celebrada el 17 de noviembre de 2021, mediante Resolución P/IFT/171121/607)</w:t>
            </w:r>
          </w:p>
        </w:tc>
      </w:tr>
      <w:tr w:rsidR="00A91032" w:rsidRPr="000C3CAC" w14:paraId="5CAD02D0" w14:textId="77777777" w:rsidTr="000C3CAC">
        <w:tc>
          <w:tcPr>
            <w:tcW w:w="562" w:type="dxa"/>
            <w:vAlign w:val="center"/>
          </w:tcPr>
          <w:p w14:paraId="254B8EB3"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93</w:t>
            </w:r>
          </w:p>
        </w:tc>
        <w:tc>
          <w:tcPr>
            <w:tcW w:w="9356" w:type="dxa"/>
            <w:vAlign w:val="center"/>
          </w:tcPr>
          <w:p w14:paraId="5EAE3826"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Resolución mediante la cual el Pleno del Instituto Federal de Telecomunicaciones emite pronunciamiento respecto de la solicitud presentada por Corporación Tapatía de Televisión, S.A. de C.V., para dejar de ser considerada como parte del grupo de interés económico declarado como agente económico preponderante en el sector de radiodifusión y le dejen de aplicar las medidas de regulación asimétrica. (Aprobada por el Pleno del Instituto Federal de Telecomunicaciones en su XXV Sesión Ordinaria, celebrada el 15 de diciembre de 2021, mediante Resolución P/IFT/151221/745)</w:t>
            </w:r>
          </w:p>
        </w:tc>
      </w:tr>
      <w:tr w:rsidR="00A91032" w:rsidRPr="000C3CAC" w14:paraId="7067EA3F" w14:textId="77777777" w:rsidTr="000C3CAC">
        <w:tc>
          <w:tcPr>
            <w:tcW w:w="562" w:type="dxa"/>
            <w:vAlign w:val="center"/>
          </w:tcPr>
          <w:p w14:paraId="7451CCD0"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94</w:t>
            </w:r>
          </w:p>
        </w:tc>
        <w:tc>
          <w:tcPr>
            <w:tcW w:w="9356" w:type="dxa"/>
            <w:vAlign w:val="center"/>
          </w:tcPr>
          <w:p w14:paraId="012B2CF2"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establece los parámetros de banda ancha (Publicación en el Diario Oficial de la Federación el 27 de diciembre de 2021)</w:t>
            </w:r>
          </w:p>
        </w:tc>
      </w:tr>
      <w:tr w:rsidR="00A91032" w:rsidRPr="000C3CAC" w14:paraId="79238FE5" w14:textId="77777777" w:rsidTr="000C3CAC">
        <w:tc>
          <w:tcPr>
            <w:tcW w:w="562" w:type="dxa"/>
            <w:vAlign w:val="center"/>
          </w:tcPr>
          <w:p w14:paraId="5D9264C7"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95</w:t>
            </w:r>
          </w:p>
        </w:tc>
        <w:tc>
          <w:tcPr>
            <w:tcW w:w="9356" w:type="dxa"/>
            <w:vAlign w:val="center"/>
          </w:tcPr>
          <w:p w14:paraId="54310F44"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Resolución mediante la cual el Pleno del Instituto Federal de Telecomunicaciones emite pronunciamiento respecto de la solicitud presentada por Ramona Esparza González, para dejar de ser considerada como parte del grupo de interés económico declarado como agente económico preponderante en el sector de radiodifusión y le dejen de aplicar las medidas de regulación asimétrica. (Aprobada por el Pleno del Instituto Federal de Telecomunicaciones en su II Sesión Ordinaria, celebrada el 26 de enero de 2022, mediante Resolución P/IFT/260122/17)</w:t>
            </w:r>
          </w:p>
        </w:tc>
      </w:tr>
      <w:tr w:rsidR="00A91032" w:rsidRPr="000C3CAC" w14:paraId="138FE8DE" w14:textId="77777777" w:rsidTr="000C3CAC">
        <w:tc>
          <w:tcPr>
            <w:tcW w:w="562" w:type="dxa"/>
            <w:vAlign w:val="center"/>
          </w:tcPr>
          <w:p w14:paraId="64544F7B" w14:textId="77777777" w:rsidR="00A91032" w:rsidRPr="000C3CAC" w:rsidRDefault="00A91032" w:rsidP="000C3CAC">
            <w:pPr>
              <w:spacing w:before="120" w:after="120" w:line="276" w:lineRule="auto"/>
              <w:rPr>
                <w:rFonts w:eastAsia="Times New Roman" w:cstheme="minorHAnsi"/>
                <w:b/>
                <w:bCs/>
              </w:rPr>
            </w:pPr>
            <w:r w:rsidRPr="000C3CAC">
              <w:rPr>
                <w:rFonts w:eastAsia="Times New Roman" w:cstheme="minorHAnsi"/>
                <w:b/>
                <w:bCs/>
              </w:rPr>
              <w:t>96</w:t>
            </w:r>
          </w:p>
        </w:tc>
        <w:tc>
          <w:tcPr>
            <w:tcW w:w="9356" w:type="dxa"/>
            <w:vAlign w:val="center"/>
          </w:tcPr>
          <w:p w14:paraId="709955F7" w14:textId="77777777" w:rsidR="00A91032"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establece los términos y formato relativos al informe que deberán presentar los concesionarios y autorizados que presten el servicio de acceso a Internet conforme a lo establecido en el Acuerdo P/IFT/EXT/280621/13 (Publicación en el Diario Oficial de la Federación el 30 de marzo de 2022)</w:t>
            </w:r>
          </w:p>
          <w:p w14:paraId="117A154D" w14:textId="2112FDA5" w:rsidR="000C3CAC" w:rsidRPr="000C3CAC" w:rsidRDefault="000C3CAC" w:rsidP="000C3CAC">
            <w:pPr>
              <w:spacing w:before="120" w:after="120" w:line="276" w:lineRule="auto"/>
              <w:jc w:val="both"/>
              <w:rPr>
                <w:rFonts w:eastAsia="Times New Roman" w:cstheme="minorHAnsi"/>
                <w:color w:val="000000"/>
              </w:rPr>
            </w:pPr>
          </w:p>
        </w:tc>
      </w:tr>
      <w:tr w:rsidR="00A91032" w:rsidRPr="000C3CAC" w14:paraId="24FEF808" w14:textId="77777777" w:rsidTr="000C3CAC">
        <w:tc>
          <w:tcPr>
            <w:tcW w:w="562" w:type="dxa"/>
            <w:shd w:val="clear" w:color="auto" w:fill="FBE4D5" w:themeFill="accent2" w:themeFillTint="33"/>
            <w:vAlign w:val="center"/>
          </w:tcPr>
          <w:p w14:paraId="12E5417A" w14:textId="77777777" w:rsidR="00A91032" w:rsidRPr="000C3CAC" w:rsidRDefault="00A91032" w:rsidP="000C3CAC">
            <w:pPr>
              <w:spacing w:before="120" w:after="120" w:line="276" w:lineRule="auto"/>
              <w:jc w:val="center"/>
              <w:rPr>
                <w:rFonts w:cstheme="minorHAnsi"/>
                <w:b/>
                <w:bCs/>
                <w:color w:val="000000" w:themeColor="text1"/>
              </w:rPr>
            </w:pPr>
            <w:r w:rsidRPr="000C3CAC">
              <w:rPr>
                <w:rFonts w:cstheme="minorHAnsi"/>
                <w:b/>
                <w:bCs/>
                <w:color w:val="000000" w:themeColor="text1"/>
              </w:rPr>
              <w:lastRenderedPageBreak/>
              <w:t>No</w:t>
            </w:r>
          </w:p>
        </w:tc>
        <w:tc>
          <w:tcPr>
            <w:tcW w:w="9356" w:type="dxa"/>
            <w:shd w:val="clear" w:color="auto" w:fill="FBE4D5" w:themeFill="accent2" w:themeFillTint="33"/>
            <w:vAlign w:val="center"/>
          </w:tcPr>
          <w:p w14:paraId="000D9AF9" w14:textId="77777777" w:rsidR="00A91032" w:rsidRPr="000C3CAC" w:rsidRDefault="00A91032" w:rsidP="000C3CAC">
            <w:pPr>
              <w:spacing w:before="120" w:after="120" w:line="276" w:lineRule="auto"/>
              <w:jc w:val="both"/>
              <w:rPr>
                <w:rFonts w:cstheme="minorHAnsi"/>
                <w:b/>
                <w:bCs/>
                <w:color w:val="000000" w:themeColor="text1"/>
              </w:rPr>
            </w:pPr>
            <w:r w:rsidRPr="000C3CAC">
              <w:rPr>
                <w:rFonts w:cstheme="minorHAnsi"/>
                <w:b/>
                <w:bCs/>
                <w:color w:val="000000" w:themeColor="text1"/>
              </w:rPr>
              <w:t>Nombre de la propuesta regulatoria</w:t>
            </w:r>
          </w:p>
        </w:tc>
      </w:tr>
      <w:tr w:rsidR="00A91032" w:rsidRPr="000C3CAC" w14:paraId="05ABAF6A" w14:textId="77777777" w:rsidTr="000C3CAC">
        <w:tc>
          <w:tcPr>
            <w:tcW w:w="562" w:type="dxa"/>
            <w:vAlign w:val="center"/>
          </w:tcPr>
          <w:p w14:paraId="647E1FE0"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1</w:t>
            </w:r>
          </w:p>
        </w:tc>
        <w:tc>
          <w:tcPr>
            <w:tcW w:w="9356" w:type="dxa"/>
            <w:vAlign w:val="center"/>
          </w:tcPr>
          <w:p w14:paraId="5599BB1A" w14:textId="7DEFAB13"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Propuesta de reforma a la Ley Federal de Derechos en materia de espectro radioeléctrico (Propuesta suscrita emitida por el Pleno del Instituto Federal de Telecomunicaciones el 26 de octubre de 2021)</w:t>
            </w:r>
          </w:p>
        </w:tc>
      </w:tr>
      <w:tr w:rsidR="00A91032" w:rsidRPr="000C3CAC" w14:paraId="56545E11" w14:textId="77777777" w:rsidTr="000C3CAC">
        <w:tc>
          <w:tcPr>
            <w:tcW w:w="562" w:type="dxa"/>
            <w:shd w:val="clear" w:color="auto" w:fill="FBE4D5" w:themeFill="accent2" w:themeFillTint="33"/>
            <w:vAlign w:val="bottom"/>
          </w:tcPr>
          <w:p w14:paraId="26751641" w14:textId="77777777" w:rsidR="00A91032" w:rsidRPr="000C3CAC" w:rsidRDefault="00A91032" w:rsidP="000C3CAC">
            <w:pPr>
              <w:spacing w:before="120" w:after="120" w:line="276" w:lineRule="auto"/>
              <w:jc w:val="center"/>
              <w:rPr>
                <w:rFonts w:cstheme="minorHAnsi"/>
                <w:b/>
                <w:bCs/>
                <w:color w:val="000000" w:themeColor="text1"/>
              </w:rPr>
            </w:pPr>
            <w:r w:rsidRPr="000C3CAC">
              <w:rPr>
                <w:rFonts w:cstheme="minorHAnsi"/>
                <w:b/>
                <w:bCs/>
                <w:color w:val="000000" w:themeColor="text1"/>
              </w:rPr>
              <w:t>No.</w:t>
            </w:r>
          </w:p>
        </w:tc>
        <w:tc>
          <w:tcPr>
            <w:tcW w:w="9356" w:type="dxa"/>
            <w:shd w:val="clear" w:color="auto" w:fill="FBE4D5" w:themeFill="accent2" w:themeFillTint="33"/>
            <w:vAlign w:val="bottom"/>
          </w:tcPr>
          <w:p w14:paraId="74E37D8C" w14:textId="77777777" w:rsidR="00A91032" w:rsidRPr="000C3CAC" w:rsidRDefault="00A91032" w:rsidP="000C3CAC">
            <w:pPr>
              <w:spacing w:before="120" w:after="120" w:line="276" w:lineRule="auto"/>
              <w:jc w:val="both"/>
              <w:rPr>
                <w:rFonts w:cstheme="minorHAnsi"/>
                <w:b/>
                <w:bCs/>
                <w:color w:val="000000" w:themeColor="text1"/>
              </w:rPr>
            </w:pPr>
            <w:r w:rsidRPr="000C3CAC">
              <w:rPr>
                <w:rFonts w:cstheme="minorHAnsi"/>
                <w:b/>
                <w:bCs/>
                <w:color w:val="000000" w:themeColor="text1"/>
              </w:rPr>
              <w:t>Nombre de los instrumentos programáticos</w:t>
            </w:r>
          </w:p>
        </w:tc>
      </w:tr>
      <w:tr w:rsidR="00A91032" w:rsidRPr="000C3CAC" w14:paraId="139D09BC" w14:textId="77777777" w:rsidTr="000C3CAC">
        <w:tc>
          <w:tcPr>
            <w:tcW w:w="562" w:type="dxa"/>
            <w:vAlign w:val="center"/>
          </w:tcPr>
          <w:p w14:paraId="7DA995E7"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1</w:t>
            </w:r>
          </w:p>
        </w:tc>
        <w:tc>
          <w:tcPr>
            <w:tcW w:w="9356" w:type="dxa"/>
            <w:vAlign w:val="center"/>
          </w:tcPr>
          <w:p w14:paraId="6DE8B60D"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Programa Anual de Uso y Aprovechamiento de bandas de frecuencias 2015 (Publicado en el Diario Oficial de la Federación el 30 de diciembre de 2014; y su modificación el 6 de abril de 2015)</w:t>
            </w:r>
          </w:p>
        </w:tc>
      </w:tr>
      <w:tr w:rsidR="00A91032" w:rsidRPr="000C3CAC" w14:paraId="2E770EA8" w14:textId="77777777" w:rsidTr="000C3CAC">
        <w:tc>
          <w:tcPr>
            <w:tcW w:w="562" w:type="dxa"/>
            <w:vAlign w:val="center"/>
          </w:tcPr>
          <w:p w14:paraId="0A8B3243"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2</w:t>
            </w:r>
          </w:p>
        </w:tc>
        <w:tc>
          <w:tcPr>
            <w:tcW w:w="9356" w:type="dxa"/>
            <w:vAlign w:val="center"/>
          </w:tcPr>
          <w:p w14:paraId="1913FA53"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 y Aprovechamiento de Bandas de Frecuencias 2016 (Publicado en el Diario Oficial de la Federación el 5 de octubre de 2015; y su modificación del 21 de enero de 2016)</w:t>
            </w:r>
          </w:p>
        </w:tc>
      </w:tr>
      <w:tr w:rsidR="00A91032" w:rsidRPr="000C3CAC" w14:paraId="7BA97377" w14:textId="77777777" w:rsidTr="000C3CAC">
        <w:tc>
          <w:tcPr>
            <w:tcW w:w="562" w:type="dxa"/>
            <w:vAlign w:val="center"/>
          </w:tcPr>
          <w:p w14:paraId="287A07F8"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3</w:t>
            </w:r>
          </w:p>
        </w:tc>
        <w:tc>
          <w:tcPr>
            <w:tcW w:w="9356" w:type="dxa"/>
            <w:vAlign w:val="center"/>
          </w:tcPr>
          <w:p w14:paraId="6C906CC3"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 y Aprovechamiento de Bandas de Frecuencias 2017 (Publicado en el Diario Oficial de la Federación el 8 de noviembre de 2016; y su modificación del 3 de marzo de 2017)</w:t>
            </w:r>
          </w:p>
        </w:tc>
      </w:tr>
      <w:tr w:rsidR="00A91032" w:rsidRPr="000C3CAC" w14:paraId="374B3C36" w14:textId="77777777" w:rsidTr="000C3CAC">
        <w:tc>
          <w:tcPr>
            <w:tcW w:w="562" w:type="dxa"/>
            <w:vAlign w:val="center"/>
          </w:tcPr>
          <w:p w14:paraId="2EBF9B89"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4</w:t>
            </w:r>
          </w:p>
        </w:tc>
        <w:tc>
          <w:tcPr>
            <w:tcW w:w="9356" w:type="dxa"/>
            <w:vAlign w:val="center"/>
          </w:tcPr>
          <w:p w14:paraId="07BEA1A0"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w:t>
            </w:r>
            <w:r w:rsidRPr="000C3CAC">
              <w:rPr>
                <w:rFonts w:eastAsia="Times New Roman" w:cstheme="minorHAnsi"/>
                <w:color w:val="000000"/>
              </w:rPr>
              <w:br/>
              <w:t>y Aprovechamiento de Bandas de Frecuencias 2018 (Publicado en el Diario Oficial de la Federación el 13 de diciembre de 2017; y su modificación del 3 de abril de 2018)</w:t>
            </w:r>
          </w:p>
        </w:tc>
      </w:tr>
      <w:tr w:rsidR="00A91032" w:rsidRPr="000C3CAC" w14:paraId="7FE90041" w14:textId="77777777" w:rsidTr="000C3CAC">
        <w:tc>
          <w:tcPr>
            <w:tcW w:w="562" w:type="dxa"/>
            <w:vAlign w:val="center"/>
          </w:tcPr>
          <w:p w14:paraId="5C51A939"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5</w:t>
            </w:r>
          </w:p>
        </w:tc>
        <w:tc>
          <w:tcPr>
            <w:tcW w:w="9356" w:type="dxa"/>
            <w:vAlign w:val="center"/>
          </w:tcPr>
          <w:p w14:paraId="43D5E618"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 y Aprovechamiento de Bandas de Frecuencias 2019 (Publicado en el Diario Oficial de la Federación el 12 de noviembre de 2018; y su modificación del 5 de marzo de 2019)</w:t>
            </w:r>
          </w:p>
        </w:tc>
      </w:tr>
      <w:tr w:rsidR="00A91032" w:rsidRPr="000C3CAC" w14:paraId="7ADB7552" w14:textId="77777777" w:rsidTr="000C3CAC">
        <w:tc>
          <w:tcPr>
            <w:tcW w:w="562" w:type="dxa"/>
            <w:vAlign w:val="center"/>
          </w:tcPr>
          <w:p w14:paraId="28BBC024"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6</w:t>
            </w:r>
          </w:p>
        </w:tc>
        <w:tc>
          <w:tcPr>
            <w:tcW w:w="9356" w:type="dxa"/>
            <w:vAlign w:val="center"/>
          </w:tcPr>
          <w:p w14:paraId="45C6E8BD"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 y Aprovechamiento de Bandas de Frecuencias 2020 (Publicado en el Diario Oficial de la Federación el 20 de septiembre de 2019; y su modificación del 3 de enero de 2020)</w:t>
            </w:r>
          </w:p>
        </w:tc>
      </w:tr>
      <w:tr w:rsidR="00A91032" w:rsidRPr="000C3CAC" w14:paraId="5944D433" w14:textId="77777777" w:rsidTr="000C3CAC">
        <w:tc>
          <w:tcPr>
            <w:tcW w:w="562" w:type="dxa"/>
            <w:vAlign w:val="center"/>
          </w:tcPr>
          <w:p w14:paraId="5030C2C0"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7</w:t>
            </w:r>
          </w:p>
        </w:tc>
        <w:tc>
          <w:tcPr>
            <w:tcW w:w="9356" w:type="dxa"/>
            <w:vAlign w:val="center"/>
          </w:tcPr>
          <w:p w14:paraId="79AC123E"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 y Aprovechamiento de Bandas de Frecuencias 2021. (Publicación en el Diario Oficial de la Federación el 21 de octubre de 2020; y su modificación del 4 de febrero de 2021).</w:t>
            </w:r>
          </w:p>
        </w:tc>
      </w:tr>
      <w:tr w:rsidR="00A91032" w:rsidRPr="000C3CAC" w14:paraId="50EE81D0" w14:textId="77777777" w:rsidTr="000C3CAC">
        <w:tc>
          <w:tcPr>
            <w:tcW w:w="562" w:type="dxa"/>
            <w:vAlign w:val="center"/>
          </w:tcPr>
          <w:p w14:paraId="408D9626" w14:textId="77777777" w:rsidR="00A91032" w:rsidRPr="000C3CAC" w:rsidRDefault="00A91032" w:rsidP="000C3CAC">
            <w:pPr>
              <w:spacing w:before="120" w:after="120" w:line="276" w:lineRule="auto"/>
              <w:rPr>
                <w:rFonts w:eastAsia="Times New Roman" w:cstheme="minorHAnsi"/>
                <w:color w:val="000000"/>
              </w:rPr>
            </w:pPr>
            <w:r w:rsidRPr="000C3CAC">
              <w:rPr>
                <w:rFonts w:eastAsia="Times New Roman" w:cstheme="minorHAnsi"/>
                <w:color w:val="000000"/>
              </w:rPr>
              <w:t>8</w:t>
            </w:r>
          </w:p>
        </w:tc>
        <w:tc>
          <w:tcPr>
            <w:tcW w:w="9356" w:type="dxa"/>
            <w:vAlign w:val="center"/>
          </w:tcPr>
          <w:p w14:paraId="12C5FFAE" w14:textId="77777777" w:rsidR="00A91032" w:rsidRPr="000C3CAC" w:rsidRDefault="00A91032" w:rsidP="000C3CAC">
            <w:pPr>
              <w:spacing w:before="120" w:after="120" w:line="276" w:lineRule="auto"/>
              <w:jc w:val="both"/>
              <w:rPr>
                <w:rFonts w:eastAsia="Times New Roman" w:cstheme="minorHAnsi"/>
                <w:color w:val="000000"/>
              </w:rPr>
            </w:pPr>
            <w:r w:rsidRPr="000C3CAC">
              <w:rPr>
                <w:rFonts w:eastAsia="Times New Roman" w:cstheme="minorHAnsi"/>
                <w:color w:val="000000"/>
              </w:rPr>
              <w:t>Acuerdo mediante el cual el Pleno del Instituto Federal de Telecomunicaciones emite el Programa Anual de Uso y Aprovechamiento de Bandas de Frecuencias 2022. (Publicación en el Diario Oficial de la Federación el 10 de septiembre de 2021; y su modificación del 17 de diciembre de 2021)</w:t>
            </w:r>
          </w:p>
        </w:tc>
      </w:tr>
    </w:tbl>
    <w:p w14:paraId="68F6ECF7" w14:textId="77777777" w:rsidR="00A91032" w:rsidRDefault="00A91032" w:rsidP="00A91032">
      <w:pPr>
        <w:spacing w:line="276" w:lineRule="auto"/>
      </w:pPr>
    </w:p>
    <w:p w14:paraId="63EDA8DA" w14:textId="77777777" w:rsidR="00A91032" w:rsidRDefault="00A91032" w:rsidP="00A91032"/>
    <w:p w14:paraId="22A0D83E" w14:textId="77777777" w:rsidR="00094B90" w:rsidRPr="00094B90" w:rsidRDefault="00094B90" w:rsidP="00094B90">
      <w:pPr>
        <w:spacing w:line="360" w:lineRule="auto"/>
        <w:ind w:left="-1418"/>
        <w:rPr>
          <w:rStyle w:val="Hipervnculo"/>
          <w:rFonts w:asciiTheme="minorHAnsi" w:eastAsia="Times New Roman" w:hAnsiTheme="minorHAnsi" w:cstheme="minorHAnsi"/>
          <w:sz w:val="24"/>
          <w:szCs w:val="24"/>
        </w:rPr>
      </w:pPr>
    </w:p>
    <w:sectPr w:rsidR="00094B90" w:rsidRPr="00094B90" w:rsidSect="0068060B">
      <w:headerReference w:type="even" r:id="rId24"/>
      <w:headerReference w:type="default" r:id="rId25"/>
      <w:footerReference w:type="default" r:id="rId26"/>
      <w:headerReference w:type="first" r:id="rId27"/>
      <w:footerReference w:type="first" r:id="rId28"/>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CCF4" w14:textId="77777777" w:rsidR="00C10966" w:rsidRDefault="00C10966" w:rsidP="0068060B">
      <w:pPr>
        <w:spacing w:after="0" w:line="240" w:lineRule="auto"/>
      </w:pPr>
      <w:r>
        <w:separator/>
      </w:r>
    </w:p>
  </w:endnote>
  <w:endnote w:type="continuationSeparator" w:id="0">
    <w:p w14:paraId="5877DED6" w14:textId="77777777" w:rsidR="00C10966" w:rsidRDefault="00C10966"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829492"/>
      <w:docPartObj>
        <w:docPartGallery w:val="Page Numbers (Bottom of Page)"/>
        <w:docPartUnique/>
      </w:docPartObj>
    </w:sdtPr>
    <w:sdtEndPr/>
    <w:sdtContent>
      <w:sdt>
        <w:sdtPr>
          <w:id w:val="-1201463102"/>
          <w:docPartObj>
            <w:docPartGallery w:val="Page Numbers (Top of Page)"/>
            <w:docPartUnique/>
          </w:docPartObj>
        </w:sdtPr>
        <w:sdtEndPr/>
        <w:sdtContent>
          <w:p w14:paraId="07773B04" w14:textId="53286C39" w:rsidR="00C0503E" w:rsidRDefault="00C0503E">
            <w:pPr>
              <w:pStyle w:val="Piedepgina"/>
              <w:jc w:val="right"/>
            </w:pPr>
            <w:r w:rsidRPr="005F56C5">
              <w:rPr>
                <w:rFonts w:asciiTheme="minorHAnsi" w:hAnsiTheme="minorHAnsi" w:cstheme="minorHAnsi"/>
                <w:lang w:val="es-ES"/>
              </w:rPr>
              <w:t xml:space="preserve">Página </w:t>
            </w:r>
            <w:r w:rsidRPr="005F56C5">
              <w:rPr>
                <w:rFonts w:asciiTheme="minorHAnsi" w:hAnsiTheme="minorHAnsi" w:cstheme="minorHAnsi"/>
                <w:bCs/>
                <w:sz w:val="24"/>
                <w:szCs w:val="24"/>
              </w:rPr>
              <w:fldChar w:fldCharType="begin"/>
            </w:r>
            <w:r w:rsidRPr="005F56C5">
              <w:rPr>
                <w:rFonts w:asciiTheme="minorHAnsi" w:hAnsiTheme="minorHAnsi" w:cstheme="minorHAnsi"/>
                <w:bCs/>
              </w:rPr>
              <w:instrText>PAGE</w:instrText>
            </w:r>
            <w:r w:rsidRPr="005F56C5">
              <w:rPr>
                <w:rFonts w:asciiTheme="minorHAnsi" w:hAnsiTheme="minorHAnsi" w:cstheme="minorHAnsi"/>
                <w:bCs/>
                <w:sz w:val="24"/>
                <w:szCs w:val="24"/>
              </w:rPr>
              <w:fldChar w:fldCharType="separate"/>
            </w:r>
            <w:r w:rsidRPr="005F56C5">
              <w:rPr>
                <w:rFonts w:asciiTheme="minorHAnsi" w:hAnsiTheme="minorHAnsi" w:cstheme="minorHAnsi"/>
                <w:bCs/>
                <w:lang w:val="es-ES"/>
              </w:rPr>
              <w:t>2</w:t>
            </w:r>
            <w:r w:rsidRPr="005F56C5">
              <w:rPr>
                <w:rFonts w:asciiTheme="minorHAnsi" w:hAnsiTheme="minorHAnsi" w:cstheme="minorHAnsi"/>
                <w:bCs/>
                <w:sz w:val="24"/>
                <w:szCs w:val="24"/>
              </w:rPr>
              <w:fldChar w:fldCharType="end"/>
            </w:r>
            <w:r w:rsidRPr="005F56C5">
              <w:rPr>
                <w:rFonts w:asciiTheme="minorHAnsi" w:hAnsiTheme="minorHAnsi" w:cstheme="minorHAnsi"/>
                <w:lang w:val="es-ES"/>
              </w:rPr>
              <w:t xml:space="preserve"> de </w:t>
            </w:r>
            <w:r w:rsidRPr="005F56C5">
              <w:rPr>
                <w:rFonts w:asciiTheme="minorHAnsi" w:hAnsiTheme="minorHAnsi" w:cstheme="minorHAnsi"/>
                <w:bCs/>
                <w:sz w:val="24"/>
                <w:szCs w:val="24"/>
              </w:rPr>
              <w:fldChar w:fldCharType="begin"/>
            </w:r>
            <w:r w:rsidRPr="005F56C5">
              <w:rPr>
                <w:rFonts w:asciiTheme="minorHAnsi" w:hAnsiTheme="minorHAnsi" w:cstheme="minorHAnsi"/>
                <w:bCs/>
              </w:rPr>
              <w:instrText>NUMPAGES</w:instrText>
            </w:r>
            <w:r w:rsidRPr="005F56C5">
              <w:rPr>
                <w:rFonts w:asciiTheme="minorHAnsi" w:hAnsiTheme="minorHAnsi" w:cstheme="minorHAnsi"/>
                <w:bCs/>
                <w:sz w:val="24"/>
                <w:szCs w:val="24"/>
              </w:rPr>
              <w:fldChar w:fldCharType="separate"/>
            </w:r>
            <w:r w:rsidRPr="005F56C5">
              <w:rPr>
                <w:rFonts w:asciiTheme="minorHAnsi" w:hAnsiTheme="minorHAnsi" w:cstheme="minorHAnsi"/>
                <w:bCs/>
                <w:lang w:val="es-ES"/>
              </w:rPr>
              <w:t>2</w:t>
            </w:r>
            <w:r w:rsidRPr="005F56C5">
              <w:rPr>
                <w:rFonts w:asciiTheme="minorHAnsi" w:hAnsiTheme="minorHAnsi" w:cstheme="minorHAnsi"/>
                <w:bCs/>
                <w:sz w:val="24"/>
                <w:szCs w:val="24"/>
              </w:rPr>
              <w:fldChar w:fldCharType="end"/>
            </w:r>
          </w:p>
        </w:sdtContent>
      </w:sdt>
    </w:sdtContent>
  </w:sdt>
  <w:p w14:paraId="5073CA53" w14:textId="77777777" w:rsidR="00C0503E" w:rsidRDefault="00C050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4206"/>
      <w:docPartObj>
        <w:docPartGallery w:val="Page Numbers (Bottom of Page)"/>
        <w:docPartUnique/>
      </w:docPartObj>
    </w:sdtPr>
    <w:sdtEndPr/>
    <w:sdtContent>
      <w:sdt>
        <w:sdtPr>
          <w:id w:val="-1769616900"/>
          <w:docPartObj>
            <w:docPartGallery w:val="Page Numbers (Top of Page)"/>
            <w:docPartUnique/>
          </w:docPartObj>
        </w:sdtPr>
        <w:sdtEndPr/>
        <w:sdtContent>
          <w:p w14:paraId="6824C463" w14:textId="37CE701A" w:rsidR="00C0503E" w:rsidRDefault="00C0503E">
            <w:pPr>
              <w:pStyle w:val="Piedepgina"/>
              <w:jc w:val="right"/>
            </w:pPr>
            <w:r w:rsidRPr="005F56C5">
              <w:rPr>
                <w:rFonts w:asciiTheme="minorHAnsi" w:hAnsiTheme="minorHAnsi" w:cstheme="minorHAnsi"/>
                <w:lang w:val="es-ES"/>
              </w:rPr>
              <w:t xml:space="preserve">Página </w:t>
            </w:r>
            <w:r w:rsidRPr="005F56C5">
              <w:rPr>
                <w:rFonts w:asciiTheme="minorHAnsi" w:hAnsiTheme="minorHAnsi" w:cstheme="minorHAnsi"/>
                <w:bCs/>
                <w:sz w:val="24"/>
                <w:szCs w:val="24"/>
              </w:rPr>
              <w:fldChar w:fldCharType="begin"/>
            </w:r>
            <w:r w:rsidRPr="005F56C5">
              <w:rPr>
                <w:rFonts w:asciiTheme="minorHAnsi" w:hAnsiTheme="minorHAnsi" w:cstheme="minorHAnsi"/>
                <w:bCs/>
              </w:rPr>
              <w:instrText>PAGE</w:instrText>
            </w:r>
            <w:r w:rsidRPr="005F56C5">
              <w:rPr>
                <w:rFonts w:asciiTheme="minorHAnsi" w:hAnsiTheme="minorHAnsi" w:cstheme="minorHAnsi"/>
                <w:bCs/>
                <w:sz w:val="24"/>
                <w:szCs w:val="24"/>
              </w:rPr>
              <w:fldChar w:fldCharType="separate"/>
            </w:r>
            <w:r w:rsidRPr="005F56C5">
              <w:rPr>
                <w:rFonts w:asciiTheme="minorHAnsi" w:hAnsiTheme="minorHAnsi" w:cstheme="minorHAnsi"/>
                <w:bCs/>
                <w:lang w:val="es-ES"/>
              </w:rPr>
              <w:t>2</w:t>
            </w:r>
            <w:r w:rsidRPr="005F56C5">
              <w:rPr>
                <w:rFonts w:asciiTheme="minorHAnsi" w:hAnsiTheme="minorHAnsi" w:cstheme="minorHAnsi"/>
                <w:bCs/>
                <w:sz w:val="24"/>
                <w:szCs w:val="24"/>
              </w:rPr>
              <w:fldChar w:fldCharType="end"/>
            </w:r>
            <w:r w:rsidRPr="005F56C5">
              <w:rPr>
                <w:rFonts w:asciiTheme="minorHAnsi" w:hAnsiTheme="minorHAnsi" w:cstheme="minorHAnsi"/>
                <w:lang w:val="es-ES"/>
              </w:rPr>
              <w:t xml:space="preserve"> de </w:t>
            </w:r>
            <w:r w:rsidRPr="005F56C5">
              <w:rPr>
                <w:rFonts w:asciiTheme="minorHAnsi" w:hAnsiTheme="minorHAnsi" w:cstheme="minorHAnsi"/>
                <w:bCs/>
                <w:sz w:val="24"/>
                <w:szCs w:val="24"/>
              </w:rPr>
              <w:fldChar w:fldCharType="begin"/>
            </w:r>
            <w:r w:rsidRPr="005F56C5">
              <w:rPr>
                <w:rFonts w:asciiTheme="minorHAnsi" w:hAnsiTheme="minorHAnsi" w:cstheme="minorHAnsi"/>
                <w:bCs/>
              </w:rPr>
              <w:instrText>NUMPAGES</w:instrText>
            </w:r>
            <w:r w:rsidRPr="005F56C5">
              <w:rPr>
                <w:rFonts w:asciiTheme="minorHAnsi" w:hAnsiTheme="minorHAnsi" w:cstheme="minorHAnsi"/>
                <w:bCs/>
                <w:sz w:val="24"/>
                <w:szCs w:val="24"/>
              </w:rPr>
              <w:fldChar w:fldCharType="separate"/>
            </w:r>
            <w:r w:rsidRPr="005F56C5">
              <w:rPr>
                <w:rFonts w:asciiTheme="minorHAnsi" w:hAnsiTheme="minorHAnsi" w:cstheme="minorHAnsi"/>
                <w:bCs/>
                <w:lang w:val="es-ES"/>
              </w:rPr>
              <w:t>2</w:t>
            </w:r>
            <w:r w:rsidRPr="005F56C5">
              <w:rPr>
                <w:rFonts w:asciiTheme="minorHAnsi" w:hAnsiTheme="minorHAnsi" w:cstheme="minorHAnsi"/>
                <w:bCs/>
                <w:sz w:val="24"/>
                <w:szCs w:val="24"/>
              </w:rPr>
              <w:fldChar w:fldCharType="end"/>
            </w:r>
          </w:p>
        </w:sdtContent>
      </w:sdt>
    </w:sdtContent>
  </w:sdt>
  <w:p w14:paraId="2E43CFD3" w14:textId="77777777" w:rsidR="00C0503E" w:rsidRDefault="00C050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B3A6" w14:textId="77777777" w:rsidR="00C10966" w:rsidRDefault="00C10966" w:rsidP="0068060B">
      <w:pPr>
        <w:spacing w:after="0" w:line="240" w:lineRule="auto"/>
      </w:pPr>
      <w:r>
        <w:separator/>
      </w:r>
    </w:p>
  </w:footnote>
  <w:footnote w:type="continuationSeparator" w:id="0">
    <w:p w14:paraId="54662200" w14:textId="77777777" w:rsidR="00C10966" w:rsidRDefault="00C10966" w:rsidP="0068060B">
      <w:pPr>
        <w:spacing w:after="0" w:line="240" w:lineRule="auto"/>
      </w:pPr>
      <w:r>
        <w:continuationSeparator/>
      </w:r>
    </w:p>
  </w:footnote>
  <w:footnote w:id="1">
    <w:p w14:paraId="7448DB81" w14:textId="77777777" w:rsidR="00C0503E" w:rsidRPr="000C734D" w:rsidRDefault="00C0503E" w:rsidP="00094B90">
      <w:pPr>
        <w:rPr>
          <w:rFonts w:asciiTheme="minorHAnsi" w:eastAsia="Times New Roman" w:hAnsiTheme="minorHAnsi" w:cstheme="minorHAnsi"/>
          <w:lang w:val="en-US"/>
        </w:rPr>
      </w:pPr>
      <w:r w:rsidRPr="000C734D">
        <w:rPr>
          <w:rStyle w:val="Refdenotaalpie"/>
          <w:rFonts w:asciiTheme="minorHAnsi" w:hAnsiTheme="minorHAnsi" w:cstheme="minorHAnsi"/>
        </w:rPr>
        <w:footnoteRef/>
      </w:r>
      <w:r w:rsidRPr="000C734D">
        <w:rPr>
          <w:rFonts w:asciiTheme="minorHAnsi" w:hAnsiTheme="minorHAnsi" w:cstheme="minorHAnsi"/>
          <w:lang w:val="en-US"/>
        </w:rPr>
        <w:t xml:space="preserve"> (</w:t>
      </w:r>
      <w:r w:rsidRPr="000C734D">
        <w:rPr>
          <w:rFonts w:asciiTheme="minorHAnsi" w:eastAsia="Times New Roman" w:hAnsiTheme="minorHAnsi" w:cstheme="minorHAnsi"/>
          <w:lang w:val="en-US"/>
        </w:rPr>
        <w:t xml:space="preserve">UIT, 2018). World Telecommunication Development Conference (WTDC-17) Final Report. </w:t>
      </w:r>
      <w:hyperlink r:id="rId1" w:history="1">
        <w:r w:rsidRPr="00C0503E">
          <w:rPr>
            <w:rStyle w:val="Hipervnculo"/>
            <w:rFonts w:asciiTheme="minorHAnsi" w:eastAsia="Times New Roman" w:hAnsiTheme="minorHAnsi" w:cstheme="minorHAnsi"/>
            <w:color w:val="000000" w:themeColor="text1"/>
            <w:lang w:val="en-US"/>
          </w:rPr>
          <w:t>https://www.itu.int/en/ITU-D/TIES_Protected/WTDC14/WTDC14-FinalReport-E.pdf</w:t>
        </w:r>
      </w:hyperlink>
      <w:r w:rsidRPr="000C734D">
        <w:rPr>
          <w:rFonts w:asciiTheme="minorHAnsi" w:eastAsia="Times New Roman" w:hAnsiTheme="minorHAnsi" w:cstheme="minorHAnsi"/>
          <w:lang w:val="en-US"/>
        </w:rPr>
        <w:t xml:space="preserve"> pp 537-542</w:t>
      </w:r>
    </w:p>
    <w:p w14:paraId="2A19E8B6" w14:textId="77777777" w:rsidR="00C0503E" w:rsidRPr="0064359E" w:rsidRDefault="00C0503E" w:rsidP="00094B90">
      <w:pPr>
        <w:pStyle w:val="Textonotapie"/>
        <w:rPr>
          <w:rFonts w:ascii="Helvetica" w:hAnsi="Helvetica"/>
          <w:sz w:val="16"/>
          <w:szCs w:val="16"/>
        </w:rPr>
      </w:pPr>
    </w:p>
  </w:footnote>
  <w:footnote w:id="2">
    <w:p w14:paraId="3F0169E8" w14:textId="77777777" w:rsidR="00C0503E" w:rsidRPr="000C734D" w:rsidRDefault="00C0503E" w:rsidP="000C734D">
      <w:pPr>
        <w:spacing w:after="0"/>
        <w:rPr>
          <w:rFonts w:asciiTheme="minorHAnsi" w:eastAsia="Times New Roman" w:hAnsiTheme="minorHAnsi" w:cstheme="minorHAnsi"/>
          <w:lang w:val="en-US"/>
        </w:rPr>
      </w:pPr>
      <w:r w:rsidRPr="000C734D">
        <w:rPr>
          <w:rStyle w:val="Refdenotaalpie"/>
          <w:rFonts w:asciiTheme="minorHAnsi" w:hAnsiTheme="minorHAnsi" w:cstheme="minorHAnsi"/>
        </w:rPr>
        <w:footnoteRef/>
      </w:r>
      <w:r w:rsidRPr="000C734D">
        <w:rPr>
          <w:rFonts w:asciiTheme="minorHAnsi" w:hAnsiTheme="minorHAnsi" w:cstheme="minorHAnsi"/>
          <w:lang w:val="en-US"/>
        </w:rPr>
        <w:t xml:space="preserve"> </w:t>
      </w:r>
      <w:r w:rsidRPr="000C734D">
        <w:rPr>
          <w:rFonts w:asciiTheme="minorHAnsi" w:eastAsia="Times New Roman" w:hAnsiTheme="minorHAnsi" w:cstheme="minorHAnsi"/>
          <w:lang w:val="en-US"/>
        </w:rPr>
        <w:t>UN Secretary-General’s High-level Panel on Digital Cooperation. The Age of Digital Interdependence. https://www.un.org/en/pdfs/DigitalCooperation-report-for%20web .pdf</w:t>
      </w:r>
    </w:p>
    <w:p w14:paraId="3448B050" w14:textId="77777777" w:rsidR="00C0503E" w:rsidRPr="000C734D" w:rsidRDefault="00C0503E" w:rsidP="00E82E45">
      <w:pPr>
        <w:pStyle w:val="Textonotapie"/>
        <w:rPr>
          <w:rFonts w:cstheme="minorHAnsi"/>
        </w:rPr>
      </w:pPr>
    </w:p>
  </w:footnote>
  <w:footnote w:id="3">
    <w:p w14:paraId="63A0CE64" w14:textId="77777777" w:rsidR="00C0503E" w:rsidRPr="00094B90" w:rsidRDefault="00C0503E" w:rsidP="000C734D">
      <w:pPr>
        <w:spacing w:after="0"/>
        <w:rPr>
          <w:lang w:val="en-US"/>
        </w:rPr>
      </w:pPr>
      <w:r w:rsidRPr="000C734D">
        <w:rPr>
          <w:rStyle w:val="Refdenotaalpie"/>
          <w:rFonts w:asciiTheme="minorHAnsi" w:hAnsiTheme="minorHAnsi" w:cstheme="minorHAnsi"/>
        </w:rPr>
        <w:footnoteRef/>
      </w:r>
      <w:r w:rsidRPr="000C734D">
        <w:rPr>
          <w:rFonts w:asciiTheme="minorHAnsi" w:hAnsiTheme="minorHAnsi" w:cstheme="minorHAnsi"/>
          <w:lang w:val="en-US"/>
        </w:rPr>
        <w:t xml:space="preserve"> </w:t>
      </w:r>
      <w:r w:rsidRPr="000C734D">
        <w:rPr>
          <w:rFonts w:asciiTheme="minorHAnsi" w:eastAsia="Times New Roman" w:hAnsiTheme="minorHAnsi" w:cstheme="minorHAnsi"/>
          <w:lang w:val="en-US"/>
        </w:rPr>
        <w:t>ITU-D Study Groups. Broadband development and connectivity solutions for rural and remote areas. https://www.itu.int/dms_pub/itu-d/oth/07/23/D07230000020001PDFE.pdf</w:t>
      </w:r>
    </w:p>
  </w:footnote>
  <w:footnote w:id="4">
    <w:p w14:paraId="2B1AD0A9" w14:textId="77777777" w:rsidR="00C0503E" w:rsidRPr="000C734D" w:rsidRDefault="00C0503E" w:rsidP="000C734D">
      <w:pPr>
        <w:spacing w:after="0"/>
        <w:rPr>
          <w:rFonts w:asciiTheme="minorHAnsi" w:eastAsia="Times New Roman" w:hAnsiTheme="minorHAnsi" w:cstheme="minorHAnsi"/>
          <w:lang w:val="en-US"/>
        </w:rPr>
      </w:pPr>
      <w:r w:rsidRPr="000C734D">
        <w:rPr>
          <w:rStyle w:val="Refdenotaalpie"/>
          <w:rFonts w:asciiTheme="minorHAnsi" w:hAnsiTheme="minorHAnsi" w:cstheme="minorHAnsi"/>
        </w:rPr>
        <w:footnoteRef/>
      </w:r>
      <w:r w:rsidRPr="000C734D">
        <w:rPr>
          <w:rFonts w:asciiTheme="minorHAnsi" w:hAnsiTheme="minorHAnsi" w:cstheme="minorHAnsi"/>
          <w:lang w:val="en-US"/>
        </w:rPr>
        <w:t xml:space="preserve"> </w:t>
      </w:r>
      <w:r w:rsidRPr="000C734D">
        <w:rPr>
          <w:rFonts w:asciiTheme="minorHAnsi" w:eastAsia="Times New Roman" w:hAnsiTheme="minorHAnsi" w:cstheme="minorHAnsi"/>
          <w:lang w:val="en-US"/>
        </w:rPr>
        <w:t xml:space="preserve">Expansion of Brazilian Broadband Network Document presented by the Brazilian Delegation at the 35th Meeting of the PCC-i CITEL 2019 </w:t>
      </w:r>
    </w:p>
  </w:footnote>
  <w:footnote w:id="5">
    <w:p w14:paraId="3EC3A050" w14:textId="77777777" w:rsidR="00C0503E" w:rsidRPr="000C734D" w:rsidRDefault="00C0503E" w:rsidP="000C734D">
      <w:pPr>
        <w:pStyle w:val="Textonotapie"/>
        <w:jc w:val="both"/>
        <w:rPr>
          <w:rFonts w:cstheme="minorHAnsi"/>
          <w:lang w:val="es-ES"/>
        </w:rPr>
      </w:pPr>
      <w:r w:rsidRPr="000C734D">
        <w:rPr>
          <w:rStyle w:val="Refdenotaalpie"/>
          <w:rFonts w:cstheme="minorHAnsi"/>
        </w:rPr>
        <w:footnoteRef/>
      </w:r>
      <w:r w:rsidRPr="000C734D">
        <w:rPr>
          <w:rFonts w:cstheme="minorHAnsi"/>
          <w:lang w:val="es-MX"/>
        </w:rPr>
        <w:t xml:space="preserve"> Se puede encontrar más información en las siguientes dos ligas </w:t>
      </w:r>
      <w:hyperlink r:id="rId2" w:history="1">
        <w:r w:rsidRPr="00D4071C">
          <w:rPr>
            <w:rStyle w:val="Hipervnculo"/>
            <w:rFonts w:asciiTheme="minorHAnsi" w:hAnsiTheme="minorHAnsi" w:cstheme="minorHAnsi"/>
            <w:color w:val="000000" w:themeColor="text1"/>
            <w:lang w:val="es-MX"/>
          </w:rPr>
          <w:t>https://www.gov.br/anatel/pt-br/regulado/prestadoras-de-pequeno-porte/</w:t>
        </w:r>
      </w:hyperlink>
      <w:r w:rsidRPr="000C734D">
        <w:rPr>
          <w:rFonts w:cstheme="minorHAnsi"/>
          <w:lang w:val="es-MX"/>
        </w:rPr>
        <w:t xml:space="preserve">  y  https://www.gov.br/anatel/pt-br/regulado/prestadoras-de-pequeno-porte/cppp</w:t>
      </w:r>
    </w:p>
  </w:footnote>
  <w:footnote w:id="6">
    <w:p w14:paraId="71E9EA63" w14:textId="77777777" w:rsidR="00C0503E" w:rsidRPr="000C734D" w:rsidRDefault="00C0503E" w:rsidP="000C734D">
      <w:pPr>
        <w:pStyle w:val="Textonotapie"/>
        <w:jc w:val="both"/>
        <w:rPr>
          <w:rFonts w:cstheme="minorHAnsi"/>
          <w:lang w:val="es-ES"/>
        </w:rPr>
      </w:pPr>
      <w:r w:rsidRPr="00E82E45">
        <w:rPr>
          <w:rStyle w:val="Refdenotaalpie"/>
          <w:rFonts w:cstheme="minorHAnsi"/>
        </w:rPr>
        <w:footnoteRef/>
      </w:r>
      <w:r w:rsidRPr="00E82E45">
        <w:rPr>
          <w:rFonts w:cstheme="minorHAnsi"/>
          <w:lang w:val="es-MX"/>
        </w:rPr>
        <w:t xml:space="preserve"> </w:t>
      </w:r>
      <w:r w:rsidRPr="00E82E45">
        <w:rPr>
          <w:rFonts w:cstheme="minorHAnsi"/>
          <w:lang w:val="es-ES"/>
        </w:rPr>
        <w:t>Resolución que define que es un prestador de pequeño porte. https://informacoes.anatel.gov.br/legislacao/resolucoes/2018/1151-resolucao-694</w:t>
      </w:r>
    </w:p>
  </w:footnote>
  <w:footnote w:id="7">
    <w:p w14:paraId="35D1C330" w14:textId="344DD890" w:rsidR="00C0503E" w:rsidRPr="0064321F" w:rsidRDefault="00C0503E" w:rsidP="000C734D">
      <w:pPr>
        <w:pStyle w:val="Textonotapie"/>
        <w:jc w:val="both"/>
        <w:rPr>
          <w:lang w:val="es-ES"/>
        </w:rPr>
      </w:pPr>
      <w:r w:rsidRPr="00E82E45">
        <w:rPr>
          <w:rStyle w:val="Refdenotaalpie"/>
          <w:rFonts w:cstheme="minorHAnsi"/>
        </w:rPr>
        <w:footnoteRef/>
      </w:r>
      <w:r w:rsidRPr="00E82E45">
        <w:rPr>
          <w:rFonts w:cstheme="minorHAnsi"/>
          <w:lang w:val="es-MX"/>
        </w:rPr>
        <w:t xml:space="preserve"> </w:t>
      </w:r>
      <w:r w:rsidRPr="00E82E45">
        <w:rPr>
          <w:rFonts w:cstheme="minorHAnsi"/>
          <w:lang w:val="es-ES"/>
        </w:rPr>
        <w:t>Programa de Cobertura Social de la SCT</w:t>
      </w:r>
      <w:r>
        <w:rPr>
          <w:rFonts w:cstheme="minorHAnsi"/>
          <w:lang w:val="es-ES"/>
        </w:rPr>
        <w:t xml:space="preserve"> </w:t>
      </w:r>
      <w:r w:rsidRPr="00E82E45">
        <w:rPr>
          <w:rFonts w:cstheme="minorHAnsi"/>
          <w:lang w:val="es-ES"/>
        </w:rPr>
        <w:t>(Ahora SICT). Publicado en https://www.gob.mx/sct/acciones-y-programas/p</w:t>
      </w:r>
      <w:r w:rsidRPr="000C734D">
        <w:rPr>
          <w:rFonts w:cstheme="minorHAnsi"/>
          <w:lang w:val="es-ES"/>
        </w:rPr>
        <w:t>rograma-de-cobertura-social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C0503E" w:rsidRDefault="00C10966">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C0503E" w:rsidRDefault="00C10966">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55.55pt;margin-top:-98.2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C0503E" w:rsidRDefault="00C10966">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7757F6"/>
    <w:multiLevelType w:val="hybridMultilevel"/>
    <w:tmpl w:val="9CA4C59E"/>
    <w:numStyleLink w:val="ImportedStyle3"/>
  </w:abstractNum>
  <w:abstractNum w:abstractNumId="2"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9A3765"/>
    <w:multiLevelType w:val="hybridMultilevel"/>
    <w:tmpl w:val="84F4FBB6"/>
    <w:lvl w:ilvl="0" w:tplc="38B854EE">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6"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F1677"/>
    <w:multiLevelType w:val="hybridMultilevel"/>
    <w:tmpl w:val="DE0AAAF8"/>
    <w:lvl w:ilvl="0" w:tplc="080A0013">
      <w:start w:val="1"/>
      <w:numFmt w:val="upperRoman"/>
      <w:lvlText w:val="%1."/>
      <w:lvlJc w:val="right"/>
      <w:pPr>
        <w:ind w:left="720" w:hanging="360"/>
      </w:pPr>
      <w:rPr>
        <w:b/>
        <w:bCs/>
        <w:caps w:val="0"/>
        <w:smallCaps w:val="0"/>
        <w:strike w:val="0"/>
        <w:dstrike w:val="0"/>
        <w:outline w:val="0"/>
        <w:emboss w:val="0"/>
        <w:imprint w:val="0"/>
        <w:spacing w:val="0"/>
        <w:w w:val="100"/>
        <w:kern w:val="0"/>
        <w:position w:val="0"/>
        <w:highlight w:val="none"/>
        <w:vertAlign w:val="baseline"/>
      </w:rPr>
    </w:lvl>
    <w:lvl w:ilvl="1" w:tplc="69BA9C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00975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A8AB2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044C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648F00">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7D8E38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2D2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12108C">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1F7AA4"/>
    <w:multiLevelType w:val="multilevel"/>
    <w:tmpl w:val="68726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572928"/>
    <w:multiLevelType w:val="hybridMultilevel"/>
    <w:tmpl w:val="5FA0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D45892"/>
    <w:multiLevelType w:val="hybridMultilevel"/>
    <w:tmpl w:val="24CCFE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BC2954"/>
    <w:multiLevelType w:val="hybridMultilevel"/>
    <w:tmpl w:val="B0786F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4744B70"/>
    <w:multiLevelType w:val="singleLevel"/>
    <w:tmpl w:val="BA3AD48C"/>
    <w:lvl w:ilvl="0">
      <w:start w:val="1"/>
      <w:numFmt w:val="decimal"/>
      <w:lvlText w:val="%1."/>
      <w:lvlJc w:val="left"/>
      <w:pPr>
        <w:ind w:left="1353" w:hanging="360"/>
      </w:pPr>
      <w:rPr>
        <w:rFonts w:hint="default"/>
        <w:b/>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num>
  <w:num w:numId="3">
    <w:abstractNumId w:val="4"/>
  </w:num>
  <w:num w:numId="4">
    <w:abstractNumId w:val="5"/>
  </w:num>
  <w:num w:numId="5">
    <w:abstractNumId w:val="14"/>
  </w:num>
  <w:num w:numId="6">
    <w:abstractNumId w:val="2"/>
  </w:num>
  <w:num w:numId="7">
    <w:abstractNumId w:val="16"/>
  </w:num>
  <w:num w:numId="8">
    <w:abstractNumId w:val="0"/>
  </w:num>
  <w:num w:numId="9">
    <w:abstractNumId w:val="12"/>
  </w:num>
  <w:num w:numId="10">
    <w:abstractNumId w:val="8"/>
  </w:num>
  <w:num w:numId="11">
    <w:abstractNumId w:val="7"/>
  </w:num>
  <w:num w:numId="12">
    <w:abstractNumId w:val="18"/>
  </w:num>
  <w:num w:numId="13">
    <w:abstractNumId w:val="17"/>
  </w:num>
  <w:num w:numId="14">
    <w:abstractNumId w:val="13"/>
  </w:num>
  <w:num w:numId="15">
    <w:abstractNumId w:val="15"/>
  </w:num>
  <w:num w:numId="16">
    <w:abstractNumId w:val="3"/>
  </w:num>
  <w:num w:numId="17">
    <w:abstractNumId w:val="1"/>
    <w:lvlOverride w:ilvl="3">
      <w:lvl w:ilvl="3" w:tplc="0DB89F2A">
        <w:start w:val="1"/>
        <w:numFmt w:val="decimal"/>
        <w:lvlText w:val="%4."/>
        <w:lvlJc w:val="left"/>
        <w:pPr>
          <w:ind w:left="28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20ADC"/>
    <w:rsid w:val="00094B90"/>
    <w:rsid w:val="000B3CB5"/>
    <w:rsid w:val="000C3CAC"/>
    <w:rsid w:val="000C734D"/>
    <w:rsid w:val="00145676"/>
    <w:rsid w:val="00184E34"/>
    <w:rsid w:val="001E19CA"/>
    <w:rsid w:val="0031544B"/>
    <w:rsid w:val="00360705"/>
    <w:rsid w:val="00403FBA"/>
    <w:rsid w:val="004F7ED9"/>
    <w:rsid w:val="00541C28"/>
    <w:rsid w:val="00546841"/>
    <w:rsid w:val="00546FEE"/>
    <w:rsid w:val="005566AE"/>
    <w:rsid w:val="005612AE"/>
    <w:rsid w:val="005A2C6F"/>
    <w:rsid w:val="005F56C5"/>
    <w:rsid w:val="00607E52"/>
    <w:rsid w:val="006254F5"/>
    <w:rsid w:val="0062742B"/>
    <w:rsid w:val="0068060B"/>
    <w:rsid w:val="006A10D3"/>
    <w:rsid w:val="006C157B"/>
    <w:rsid w:val="006E627C"/>
    <w:rsid w:val="006F16DA"/>
    <w:rsid w:val="00731508"/>
    <w:rsid w:val="007439C6"/>
    <w:rsid w:val="007668BE"/>
    <w:rsid w:val="00773D6D"/>
    <w:rsid w:val="00793458"/>
    <w:rsid w:val="007E35C2"/>
    <w:rsid w:val="00806C1E"/>
    <w:rsid w:val="008210E3"/>
    <w:rsid w:val="008934DC"/>
    <w:rsid w:val="00897038"/>
    <w:rsid w:val="008D3EC0"/>
    <w:rsid w:val="009056D3"/>
    <w:rsid w:val="00955049"/>
    <w:rsid w:val="00972B09"/>
    <w:rsid w:val="0097581A"/>
    <w:rsid w:val="009D7917"/>
    <w:rsid w:val="00A31C5A"/>
    <w:rsid w:val="00A547B6"/>
    <w:rsid w:val="00A7377D"/>
    <w:rsid w:val="00A77687"/>
    <w:rsid w:val="00A91032"/>
    <w:rsid w:val="00AC305A"/>
    <w:rsid w:val="00BD1323"/>
    <w:rsid w:val="00C0503E"/>
    <w:rsid w:val="00C10966"/>
    <w:rsid w:val="00C2382B"/>
    <w:rsid w:val="00C831FF"/>
    <w:rsid w:val="00C96C9A"/>
    <w:rsid w:val="00C97647"/>
    <w:rsid w:val="00CD6360"/>
    <w:rsid w:val="00D011C7"/>
    <w:rsid w:val="00D03C60"/>
    <w:rsid w:val="00D4071C"/>
    <w:rsid w:val="00D63D06"/>
    <w:rsid w:val="00D65551"/>
    <w:rsid w:val="00DC6D73"/>
    <w:rsid w:val="00E02FCE"/>
    <w:rsid w:val="00E251CF"/>
    <w:rsid w:val="00E41944"/>
    <w:rsid w:val="00E82E45"/>
    <w:rsid w:val="00E844DF"/>
    <w:rsid w:val="00EA471E"/>
    <w:rsid w:val="00ED12DB"/>
    <w:rsid w:val="00F1005B"/>
    <w:rsid w:val="00F837BC"/>
    <w:rsid w:val="00FD314A"/>
    <w:rsid w:val="00FD6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D40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Hyperlink1">
    <w:name w:val="Hyperlink.1"/>
    <w:basedOn w:val="Link"/>
    <w:rsid w:val="00E844DF"/>
    <w:rPr>
      <w:rFonts w:ascii="Helvetica Neue" w:eastAsia="Helvetica Neue" w:hAnsi="Helvetica Neue" w:cs="Helvetica Neue"/>
      <w:color w:val="0563C1"/>
      <w:u w:val="single" w:color="0563C1"/>
    </w:rPr>
  </w:style>
  <w:style w:type="character" w:customStyle="1" w:styleId="Mencinsinresolver1">
    <w:name w:val="Mención sin resolver1"/>
    <w:basedOn w:val="Fuentedeprrafopredeter"/>
    <w:uiPriority w:val="99"/>
    <w:semiHidden/>
    <w:unhideWhenUsed/>
    <w:rsid w:val="00E844DF"/>
    <w:rPr>
      <w:color w:val="605E5C"/>
      <w:shd w:val="clear" w:color="auto" w:fill="E1DFDD"/>
    </w:rPr>
  </w:style>
  <w:style w:type="paragraph" w:styleId="Revisin">
    <w:name w:val="Revision"/>
    <w:hidden/>
    <w:uiPriority w:val="99"/>
    <w:semiHidden/>
    <w:rsid w:val="00E844DF"/>
    <w:pPr>
      <w:spacing w:after="0" w:line="240" w:lineRule="auto"/>
      <w:jc w:val="left"/>
    </w:pPr>
    <w:rPr>
      <w:rFonts w:ascii="Times New Roman" w:eastAsia="Arial Unicode MS" w:hAnsi="Times New Roman" w:cs="Times New Roman"/>
      <w:sz w:val="24"/>
      <w:szCs w:val="24"/>
      <w:bdr w:val="nil"/>
      <w:lang w:val="en-US"/>
    </w:rPr>
  </w:style>
  <w:style w:type="character" w:styleId="Hipervnculovisitado">
    <w:name w:val="FollowedHyperlink"/>
    <w:basedOn w:val="Fuentedeprrafopredeter"/>
    <w:uiPriority w:val="99"/>
    <w:semiHidden/>
    <w:unhideWhenUsed/>
    <w:rsid w:val="00E844DF"/>
    <w:rPr>
      <w:color w:val="954F72" w:themeColor="followedHyperlink"/>
      <w:u w:val="single"/>
    </w:rPr>
  </w:style>
  <w:style w:type="paragraph" w:styleId="HTMLconformatoprevio">
    <w:name w:val="HTML Preformatted"/>
    <w:basedOn w:val="Normal"/>
    <w:link w:val="HTMLconformatoprevioCar"/>
    <w:uiPriority w:val="99"/>
    <w:semiHidden/>
    <w:unhideWhenUsed/>
    <w:rsid w:val="00E8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US"/>
    </w:rPr>
  </w:style>
  <w:style w:type="character" w:customStyle="1" w:styleId="HTMLconformatoprevioCar">
    <w:name w:val="HTML con formato previo Car"/>
    <w:basedOn w:val="Fuentedeprrafopredeter"/>
    <w:link w:val="HTMLconformatoprevio"/>
    <w:uiPriority w:val="99"/>
    <w:semiHidden/>
    <w:rsid w:val="00E844DF"/>
    <w:rPr>
      <w:rFonts w:ascii="Courier New" w:hAnsi="Courier New" w:cs="Courier New"/>
      <w:lang w:val="en-US"/>
    </w:rPr>
  </w:style>
  <w:style w:type="character" w:customStyle="1" w:styleId="y2iqfc">
    <w:name w:val="y2iqfc"/>
    <w:basedOn w:val="Fuentedeprrafopredeter"/>
    <w:rsid w:val="00E844DF"/>
  </w:style>
  <w:style w:type="table" w:styleId="Tablaconcuadrcula1clara-nfasis6">
    <w:name w:val="Grid Table 1 Light Accent 6"/>
    <w:basedOn w:val="Tablanormal"/>
    <w:uiPriority w:val="46"/>
    <w:rsid w:val="008970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BodyA">
    <w:name w:val="Body A"/>
    <w:rsid w:val="009D7917"/>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 w:type="character" w:customStyle="1" w:styleId="Ttulo1Car">
    <w:name w:val="Título 1 Car"/>
    <w:basedOn w:val="Fuentedeprrafopredeter"/>
    <w:link w:val="Ttulo1"/>
    <w:uiPriority w:val="9"/>
    <w:rsid w:val="00D407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9127">
      <w:bodyDiv w:val="1"/>
      <w:marLeft w:val="0"/>
      <w:marRight w:val="0"/>
      <w:marTop w:val="0"/>
      <w:marBottom w:val="0"/>
      <w:divBdr>
        <w:top w:val="none" w:sz="0" w:space="0" w:color="auto"/>
        <w:left w:val="none" w:sz="0" w:space="0" w:color="auto"/>
        <w:bottom w:val="none" w:sz="0" w:space="0" w:color="auto"/>
        <w:right w:val="none" w:sz="0" w:space="0" w:color="auto"/>
      </w:divBdr>
    </w:div>
    <w:div w:id="8036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joconsultivo.ift.org.mx/docs/recomendaciones/Recomendacion_Permisionarios_que_les_es_aplicable_el_regimen_de_concesion_social_comunitaria_e_indigena.pdf" TargetMode="External"/><Relationship Id="rId13" Type="http://schemas.openxmlformats.org/officeDocument/2006/relationships/hyperlink" Target="http://consejoconsultivo.ift.org.mx/docs/recomendaciones/2018/Recomendacion_Inclusion_Digital_en_Mexico_080218.pdf" TargetMode="External"/><Relationship Id="rId18" Type="http://schemas.openxmlformats.org/officeDocument/2006/relationships/hyperlink" Target="https://informacoes.anatel.gov.br/legislacao/resolucoes/2018/1159-resolucao-69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pc.org/sites/default/files/APC_R1_ExpandingTelecommunication_OK.pdf" TargetMode="External"/><Relationship Id="rId7" Type="http://schemas.openxmlformats.org/officeDocument/2006/relationships/hyperlink" Target="https://rpc.ift.org.mx/vrpc/visor/downloads" TargetMode="External"/><Relationship Id="rId12" Type="http://schemas.openxmlformats.org/officeDocument/2006/relationships/hyperlink" Target="http://consejoconsultivo.ift.org.mx/docs/recomendaciones/2017/Recomendacion_Pago_de_Derechos.pdf" TargetMode="External"/><Relationship Id="rId17" Type="http://schemas.openxmlformats.org/officeDocument/2006/relationships/hyperlink" Target="http://consejoconsultivo.ift.org.mx/docs/recomendaciones/2021/recomendacion_que_emite_el_cc_del_ift_sobre_el_desarrollo_sostenible_de_las_telecomunicaciones_y_radiodifusi&#243;n_de_uso_social.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ejoconsultivo.ift.org.mx/docs/recomendaciones/2020/Recomendacion_sobre_Acceso_Universal_Radiodifusion_Sonora_COVID_19VF.pdf" TargetMode="External"/><Relationship Id="rId20" Type="http://schemas.openxmlformats.org/officeDocument/2006/relationships/hyperlink" Target="https://www.anatel.gov.br/setorregulado/component/content/article/2-uncategorised/528-redes-comunitaria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ejoconsultivo.ift.org.mx/docs/recomendaciones/Recomendacion_Tramites_ante_el_IFT.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sejoconsultivo.ift.org.mx/docs/recomendaciones/2019/iii_9_recomendacion_sobre_el_aprovechamiento_flexible_en_la_banda_de_6ghz_071119_29.pdf" TargetMode="External"/><Relationship Id="rId23" Type="http://schemas.openxmlformats.org/officeDocument/2006/relationships/hyperlink" Target="https://www.itu.int/en/ITU-D/TIES_Protected/WTDC14/WTDC14-FinalReport-E.pdf" TargetMode="External"/><Relationship Id="rId28" Type="http://schemas.openxmlformats.org/officeDocument/2006/relationships/footer" Target="footer2.xml"/><Relationship Id="rId10" Type="http://schemas.openxmlformats.org/officeDocument/2006/relationships/hyperlink" Target="http://consejoconsultivo.ift.org.mx/docs/recomendaciones/2017/Recomendacion_Acceso_a_Pueblos_Indigenas.pdf" TargetMode="External"/><Relationship Id="rId19" Type="http://schemas.openxmlformats.org/officeDocument/2006/relationships/hyperlink" Target="https://informacoes.anatel.gov.br/legislacao/resolucoes/2018/1151-resolucao-694" TargetMode="External"/><Relationship Id="rId4" Type="http://schemas.openxmlformats.org/officeDocument/2006/relationships/webSettings" Target="webSettings.xml"/><Relationship Id="rId9" Type="http://schemas.openxmlformats.org/officeDocument/2006/relationships/hyperlink" Target="http://consejoconsultivo.ift.org.mx/docs/recomendaciones/recomendacion-tramites-ift.pdf" TargetMode="External"/><Relationship Id="rId14" Type="http://schemas.openxmlformats.org/officeDocument/2006/relationships/hyperlink" Target="http://consejoconsultivo.ift.org.mx/docs/recomendaciones/2019/Recomendaci&#243;n%20sobre%20el%20desarrollo%20de%20las%20telecomunicaciones%20y%20radiodifusi&#243;n%20para%20uso%20social%20comu.pdf" TargetMode="External"/><Relationship Id="rId22" Type="http://schemas.openxmlformats.org/officeDocument/2006/relationships/hyperlink" Target="http://www.ift.org.mx/sites/default/files/contenidogeneral/transparencia/pat2022.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anatel/pt-br/regulado/prestadoras-de-pequeno-porte/" TargetMode="External"/><Relationship Id="rId1" Type="http://schemas.openxmlformats.org/officeDocument/2006/relationships/hyperlink" Target="https://www.itu.int/en/ITU-D/TIES_Protected/WTDC14/WTDC14-FinalRepor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10090</Words>
  <Characters>55495</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65455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Violeta Lucia Barragan Delgado</cp:lastModifiedBy>
  <cp:revision>2</cp:revision>
  <cp:lastPrinted>2022-07-05T15:50:00Z</cp:lastPrinted>
  <dcterms:created xsi:type="dcterms:W3CDTF">2022-07-07T19:31:00Z</dcterms:created>
  <dcterms:modified xsi:type="dcterms:W3CDTF">2022-07-07T19:31:00Z</dcterms:modified>
</cp:coreProperties>
</file>