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21EED" w14:textId="14B3FBF2" w:rsidR="00541C28" w:rsidRPr="00541C28" w:rsidRDefault="00541C28" w:rsidP="00541C28">
      <w:pPr>
        <w:spacing w:line="360" w:lineRule="auto"/>
        <w:rPr>
          <w:rFonts w:ascii="Calibri" w:hAnsi="Calibri" w:cs="Calibri"/>
          <w:b/>
          <w:sz w:val="24"/>
          <w:szCs w:val="24"/>
          <w:lang w:val="es-ES"/>
        </w:rPr>
      </w:pPr>
      <w:r w:rsidRPr="00541C28">
        <w:rPr>
          <w:rFonts w:ascii="Calibri" w:hAnsi="Calibri" w:cs="Calibri"/>
          <w:b/>
          <w:sz w:val="24"/>
          <w:szCs w:val="24"/>
          <w:lang w:val="es-ES"/>
        </w:rPr>
        <w:t>RECOMENDACIÓN QUE EMITE EL CONSEJO CONSULTIVO DEL INSTITUTO FEDERAL DE</w:t>
      </w:r>
      <w:r w:rsidR="000E058A">
        <w:rPr>
          <w:rFonts w:ascii="Calibri" w:hAnsi="Calibri" w:cs="Calibri"/>
          <w:b/>
          <w:sz w:val="24"/>
          <w:szCs w:val="24"/>
          <w:lang w:val="es-ES"/>
        </w:rPr>
        <w:t xml:space="preserve"> </w:t>
      </w:r>
      <w:r w:rsidRPr="00541C28">
        <w:rPr>
          <w:rFonts w:ascii="Calibri" w:hAnsi="Calibri" w:cs="Calibri"/>
          <w:b/>
          <w:sz w:val="24"/>
          <w:szCs w:val="24"/>
          <w:lang w:val="es-ES"/>
        </w:rPr>
        <w:t>TELECOMUNICACIONES SOBRE EL IMPACTO DE LA POSIBLE IMPLEMENTACIÓN DE NUEVAS REGLAS TÉCNICAS PARA LA RADIODIFUSIÓN EN AM Y EN FM, EN LA ZONA FRONTERIZA DE LOS ESTADOS UNIDOS DE AMÉRICA CON MÉXICO.</w:t>
      </w:r>
    </w:p>
    <w:p w14:paraId="2E6925BE" w14:textId="77777777" w:rsidR="00541C28" w:rsidRPr="00461895" w:rsidRDefault="00541C28" w:rsidP="00CC058A">
      <w:pPr>
        <w:pStyle w:val="Cpotxt"/>
      </w:pPr>
      <w:r w:rsidRPr="00461895">
        <w:t>PROBLEMÁTICA DEL SECTOR</w:t>
      </w:r>
    </w:p>
    <w:p w14:paraId="12D9B3FB" w14:textId="77777777" w:rsidR="00541C28" w:rsidRPr="00541C28" w:rsidRDefault="00541C28" w:rsidP="00541C28">
      <w:pPr>
        <w:spacing w:line="360" w:lineRule="auto"/>
        <w:rPr>
          <w:rFonts w:ascii="Calibri" w:eastAsia="Times New Roman" w:hAnsi="Calibri" w:cs="Calibri"/>
          <w:sz w:val="24"/>
          <w:szCs w:val="24"/>
          <w:lang w:val="es-ES"/>
        </w:rPr>
      </w:pPr>
      <w:r w:rsidRPr="00541C28">
        <w:rPr>
          <w:rFonts w:ascii="Calibri" w:hAnsi="Calibri" w:cs="Calibri"/>
          <w:sz w:val="24"/>
          <w:szCs w:val="24"/>
          <w:lang w:val="es-ES"/>
        </w:rPr>
        <w:t xml:space="preserve">En junio de 2021, la Federal </w:t>
      </w:r>
      <w:proofErr w:type="spellStart"/>
      <w:r w:rsidRPr="00541C28">
        <w:rPr>
          <w:rFonts w:ascii="Calibri" w:hAnsi="Calibri" w:cs="Calibri"/>
          <w:sz w:val="24"/>
          <w:szCs w:val="24"/>
          <w:lang w:val="es-ES"/>
        </w:rPr>
        <w:t>Communications</w:t>
      </w:r>
      <w:proofErr w:type="spellEnd"/>
      <w:r w:rsidRPr="00541C28">
        <w:rPr>
          <w:rFonts w:ascii="Calibri" w:hAnsi="Calibri" w:cs="Calibri"/>
          <w:sz w:val="24"/>
          <w:szCs w:val="24"/>
          <w:lang w:val="es-ES"/>
        </w:rPr>
        <w:t xml:space="preserve"> </w:t>
      </w:r>
      <w:proofErr w:type="spellStart"/>
      <w:r w:rsidRPr="00541C28">
        <w:rPr>
          <w:rFonts w:ascii="Calibri" w:hAnsi="Calibri" w:cs="Calibri"/>
          <w:sz w:val="24"/>
          <w:szCs w:val="24"/>
          <w:lang w:val="es-ES"/>
        </w:rPr>
        <w:t>Commission</w:t>
      </w:r>
      <w:proofErr w:type="spellEnd"/>
      <w:r w:rsidRPr="00541C28">
        <w:rPr>
          <w:rFonts w:ascii="Calibri" w:hAnsi="Calibri" w:cs="Calibri"/>
          <w:sz w:val="24"/>
          <w:szCs w:val="24"/>
          <w:lang w:val="es-ES"/>
        </w:rPr>
        <w:t xml:space="preserve"> (FCC) de los Estados Unidos de América hizo pública la propuesta de actualización de algunas reglas técnicas de la radiodifusión (FCC, </w:t>
      </w:r>
      <w:proofErr w:type="spellStart"/>
      <w:r w:rsidRPr="00541C28">
        <w:rPr>
          <w:rFonts w:ascii="Calibri" w:hAnsi="Calibri" w:cs="Calibri"/>
          <w:sz w:val="24"/>
          <w:szCs w:val="24"/>
          <w:lang w:val="es-ES"/>
        </w:rPr>
        <w:t>Notice</w:t>
      </w:r>
      <w:proofErr w:type="spellEnd"/>
      <w:r w:rsidRPr="00541C28">
        <w:rPr>
          <w:rFonts w:ascii="Calibri" w:hAnsi="Calibri" w:cs="Calibri"/>
          <w:sz w:val="24"/>
          <w:szCs w:val="24"/>
          <w:lang w:val="es-ES"/>
        </w:rPr>
        <w:t xml:space="preserve"> </w:t>
      </w:r>
      <w:proofErr w:type="spellStart"/>
      <w:r w:rsidRPr="00541C28">
        <w:rPr>
          <w:rFonts w:ascii="Calibri" w:hAnsi="Calibri" w:cs="Calibri"/>
          <w:sz w:val="24"/>
          <w:szCs w:val="24"/>
          <w:lang w:val="es-ES"/>
        </w:rPr>
        <w:t>of</w:t>
      </w:r>
      <w:proofErr w:type="spellEnd"/>
      <w:r w:rsidRPr="00541C28">
        <w:rPr>
          <w:rFonts w:ascii="Calibri" w:hAnsi="Calibri" w:cs="Calibri"/>
          <w:sz w:val="24"/>
          <w:szCs w:val="24"/>
          <w:lang w:val="es-ES"/>
        </w:rPr>
        <w:t xml:space="preserve"> </w:t>
      </w:r>
      <w:proofErr w:type="spellStart"/>
      <w:r w:rsidRPr="00541C28">
        <w:rPr>
          <w:rFonts w:ascii="Calibri" w:hAnsi="Calibri" w:cs="Calibri"/>
          <w:sz w:val="24"/>
          <w:szCs w:val="24"/>
          <w:lang w:val="es-ES"/>
        </w:rPr>
        <w:t>Proposed</w:t>
      </w:r>
      <w:proofErr w:type="spellEnd"/>
      <w:r w:rsidRPr="00541C28">
        <w:rPr>
          <w:rFonts w:ascii="Calibri" w:hAnsi="Calibri" w:cs="Calibri"/>
          <w:sz w:val="24"/>
          <w:szCs w:val="24"/>
          <w:lang w:val="es-ES"/>
        </w:rPr>
        <w:t xml:space="preserve"> </w:t>
      </w:r>
      <w:proofErr w:type="spellStart"/>
      <w:r w:rsidRPr="00541C28">
        <w:rPr>
          <w:rFonts w:ascii="Calibri" w:hAnsi="Calibri" w:cs="Calibri"/>
          <w:sz w:val="24"/>
          <w:szCs w:val="24"/>
          <w:lang w:val="es-ES"/>
        </w:rPr>
        <w:t>Rulemaking</w:t>
      </w:r>
      <w:proofErr w:type="spellEnd"/>
      <w:r w:rsidRPr="00541C28">
        <w:rPr>
          <w:rFonts w:ascii="Calibri" w:hAnsi="Calibri" w:cs="Calibri"/>
          <w:sz w:val="24"/>
          <w:szCs w:val="24"/>
          <w:lang w:val="es-ES"/>
        </w:rPr>
        <w:t xml:space="preserve"> – MB </w:t>
      </w:r>
      <w:proofErr w:type="spellStart"/>
      <w:r w:rsidRPr="00541C28">
        <w:rPr>
          <w:rFonts w:ascii="Calibri" w:hAnsi="Calibri" w:cs="Calibri"/>
          <w:sz w:val="24"/>
          <w:szCs w:val="24"/>
          <w:lang w:val="es-ES"/>
        </w:rPr>
        <w:t>Docket</w:t>
      </w:r>
      <w:proofErr w:type="spellEnd"/>
      <w:r w:rsidRPr="00541C28">
        <w:rPr>
          <w:rFonts w:ascii="Calibri" w:hAnsi="Calibri" w:cs="Calibri"/>
          <w:sz w:val="24"/>
          <w:szCs w:val="24"/>
          <w:lang w:val="es-ES"/>
        </w:rPr>
        <w:t xml:space="preserve"> No. 21-263). </w:t>
      </w:r>
      <w:r w:rsidRPr="00541C28">
        <w:rPr>
          <w:rFonts w:ascii="Calibri" w:eastAsia="Times New Roman" w:hAnsi="Calibri" w:cs="Calibri"/>
          <w:sz w:val="24"/>
          <w:szCs w:val="24"/>
          <w:lang w:val="es-ES"/>
        </w:rPr>
        <w:t xml:space="preserve">Dicho aviso de propuesta de regulación plantea actualizar las reglas de radiodifusión para mejorar los requisitos técnicos actuales y eliminar las disposiciones redundantes, desactualizadas o en conflicto para las estaciones de radiodifusión. De acuerdo con la FCC, tal acción asegurará que las reglas de la FCC sean precisas, reduciendo cualquier confusión potencial y aliviando cargas regulatorias innecesarias. Los cuatro comisionados de la FCC votaron unánimemente en julio para adoptar dicho aviso de propuesta de reglamentación que identifica siete reglas técnicas que quieren eliminar o al menos revisar. La votación y la posterior publicación en el Registro Federal de los EE. UU. comenzó con un proceso de comentarios y concluye con la acción regulatoria final. </w:t>
      </w:r>
    </w:p>
    <w:p w14:paraId="44DA6260" w14:textId="77777777" w:rsidR="00541C28" w:rsidRPr="00541C28" w:rsidRDefault="00541C28" w:rsidP="00541C28">
      <w:pPr>
        <w:spacing w:line="360" w:lineRule="auto"/>
        <w:rPr>
          <w:rFonts w:ascii="Calibri" w:eastAsia="Times New Roman" w:hAnsi="Calibri" w:cs="Calibri"/>
          <w:sz w:val="24"/>
          <w:szCs w:val="24"/>
          <w:lang w:val="es-ES"/>
        </w:rPr>
      </w:pPr>
      <w:r w:rsidRPr="00541C28">
        <w:rPr>
          <w:rFonts w:ascii="Calibri" w:eastAsia="Times New Roman" w:hAnsi="Calibri" w:cs="Calibri"/>
          <w:sz w:val="24"/>
          <w:szCs w:val="24"/>
          <w:lang w:val="es-ES"/>
        </w:rPr>
        <w:t xml:space="preserve">La modificación de las condiciones técnicas para la radiodifusión en Estados Unidos de América puede tener un impacto en la disponibilidad de espectro en la frontera con México por lo que será necesario que el Instituto Federal de Telecomunicaciones actualice los dictámenes de suficiencia espectral en la franja fronteriza y considere en la planeación de la administración del espectro la situación actual y futura en dicha franja que resulte de las modificaciones de las condiciones técnicas en el país vecino. </w:t>
      </w:r>
    </w:p>
    <w:p w14:paraId="08FCCD94" w14:textId="77777777" w:rsidR="00541C28" w:rsidRPr="00541C28" w:rsidRDefault="00541C28" w:rsidP="00541C28">
      <w:pPr>
        <w:spacing w:line="360" w:lineRule="auto"/>
        <w:rPr>
          <w:rFonts w:ascii="Calibri" w:hAnsi="Calibri" w:cs="Calibri"/>
          <w:sz w:val="24"/>
          <w:szCs w:val="24"/>
          <w:lang w:val="es-ES"/>
        </w:rPr>
      </w:pPr>
      <w:r w:rsidRPr="00541C28">
        <w:rPr>
          <w:rFonts w:ascii="Calibri" w:hAnsi="Calibri" w:cs="Calibri"/>
          <w:sz w:val="24"/>
          <w:szCs w:val="24"/>
          <w:lang w:val="es-ES"/>
        </w:rPr>
        <w:t>Entre las reglas técnicas que se están revisando en los EE. UU. se encuentran algunas condiciones que regulan la radiodifusión en sus fronteras por lo que es de interés para México el posible cambio de la regulación en nuestra frontera norte. Como en ocasiones anteriores el Consejo Consultivo del Instituto Federal de Telecomunicaciones (CCIFT) analiza estas propuestas regulatorias y recomienda al Pleno del Instituto algunas acciones que podrían requerirse en caso de su aprobación por la FCC.</w:t>
      </w:r>
    </w:p>
    <w:p w14:paraId="65674BEE" w14:textId="77777777" w:rsidR="00541C28" w:rsidRPr="00541C28" w:rsidRDefault="00541C28" w:rsidP="00541C28">
      <w:pPr>
        <w:spacing w:line="360" w:lineRule="auto"/>
        <w:rPr>
          <w:rFonts w:ascii="Calibri" w:eastAsia="Times New Roman" w:hAnsi="Calibri" w:cs="Calibri"/>
          <w:sz w:val="24"/>
          <w:szCs w:val="24"/>
          <w:lang w:val="es-ES"/>
        </w:rPr>
      </w:pPr>
    </w:p>
    <w:p w14:paraId="46D8C6E5" w14:textId="77777777" w:rsidR="00541C28" w:rsidRDefault="00541C28" w:rsidP="00541C28">
      <w:pPr>
        <w:spacing w:line="360" w:lineRule="auto"/>
        <w:rPr>
          <w:rFonts w:ascii="Calibri" w:eastAsia="Times New Roman" w:hAnsi="Calibri" w:cs="Calibri"/>
          <w:sz w:val="24"/>
          <w:szCs w:val="24"/>
          <w:lang w:val="es-ES"/>
        </w:rPr>
      </w:pPr>
    </w:p>
    <w:p w14:paraId="05532C71" w14:textId="77777777" w:rsidR="00541C28" w:rsidRPr="00CC058A" w:rsidRDefault="00541C28" w:rsidP="00CC058A">
      <w:pPr>
        <w:pStyle w:val="Cpotxt"/>
      </w:pPr>
      <w:r w:rsidRPr="00CC058A">
        <w:t>JUSTIFICACIÓN DE LA RECOMENDACIÓN</w:t>
      </w:r>
    </w:p>
    <w:p w14:paraId="62DC9815" w14:textId="77777777" w:rsidR="00541C28" w:rsidRPr="00541C28" w:rsidRDefault="00541C28" w:rsidP="00541C28">
      <w:pPr>
        <w:spacing w:line="360" w:lineRule="auto"/>
        <w:rPr>
          <w:rFonts w:ascii="Calibri" w:hAnsi="Calibri" w:cs="Calibri"/>
          <w:b/>
          <w:sz w:val="24"/>
          <w:szCs w:val="24"/>
          <w:lang w:val="es-ES"/>
        </w:rPr>
      </w:pPr>
      <w:r w:rsidRPr="00541C28">
        <w:rPr>
          <w:rFonts w:ascii="Calibri" w:hAnsi="Calibri" w:cs="Calibri"/>
          <w:sz w:val="24"/>
          <w:szCs w:val="24"/>
          <w:lang w:val="es-ES"/>
        </w:rPr>
        <w:t xml:space="preserve">De acuerdo con el Art. 54 de la Ley Federal de Telecomunicaciones y Radiodifusión, </w:t>
      </w:r>
    </w:p>
    <w:p w14:paraId="43C33DD6" w14:textId="77777777" w:rsidR="00541C28" w:rsidRPr="00541C28" w:rsidRDefault="00541C28" w:rsidP="00541C28">
      <w:pPr>
        <w:spacing w:line="360" w:lineRule="auto"/>
        <w:ind w:left="720" w:right="1467"/>
        <w:rPr>
          <w:rFonts w:ascii="Calibri" w:hAnsi="Calibri" w:cs="Calibri"/>
          <w:i/>
          <w:sz w:val="24"/>
          <w:szCs w:val="24"/>
          <w:lang w:val="es-ES"/>
        </w:rPr>
      </w:pPr>
      <w:r w:rsidRPr="00541C28">
        <w:rPr>
          <w:rFonts w:ascii="Calibri" w:hAnsi="Calibri" w:cs="Calibri"/>
          <w:i/>
          <w:sz w:val="24"/>
          <w:szCs w:val="24"/>
          <w:lang w:val="es-ES"/>
        </w:rPr>
        <w:t>“El espectro radioeléctrico y los recursos orbitales son bienes del dominio público de la Nación, cuya titularidad y administración corresponden al Estado.</w:t>
      </w:r>
    </w:p>
    <w:p w14:paraId="34281D46" w14:textId="77777777" w:rsidR="00C2382B" w:rsidRDefault="00541C28" w:rsidP="00C2382B">
      <w:pPr>
        <w:spacing w:line="360" w:lineRule="auto"/>
        <w:ind w:left="720" w:right="1467"/>
        <w:rPr>
          <w:rFonts w:ascii="Calibri" w:hAnsi="Calibri" w:cs="Calibri"/>
          <w:i/>
          <w:sz w:val="24"/>
          <w:szCs w:val="24"/>
          <w:lang w:val="es-ES"/>
        </w:rPr>
      </w:pPr>
      <w:r w:rsidRPr="00541C28">
        <w:rPr>
          <w:rFonts w:ascii="Calibri" w:hAnsi="Calibri" w:cs="Calibri"/>
          <w:i/>
          <w:sz w:val="24"/>
          <w:szCs w:val="24"/>
          <w:lang w:val="es-ES"/>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01F7DACE" w14:textId="77777777" w:rsidR="00541C28" w:rsidRPr="00541C28" w:rsidRDefault="00541C28" w:rsidP="00C2382B">
      <w:pPr>
        <w:spacing w:line="360" w:lineRule="auto"/>
        <w:ind w:left="720" w:right="1467"/>
        <w:rPr>
          <w:rFonts w:ascii="Calibri" w:hAnsi="Calibri" w:cs="Calibri"/>
          <w:i/>
          <w:sz w:val="24"/>
          <w:szCs w:val="24"/>
          <w:lang w:val="es-ES"/>
        </w:rPr>
      </w:pPr>
      <w:r w:rsidRPr="00541C28">
        <w:rPr>
          <w:rFonts w:ascii="Calibri" w:hAnsi="Calibri" w:cs="Calibri"/>
          <w:i/>
          <w:sz w:val="24"/>
          <w:szCs w:val="24"/>
          <w:lang w:val="es-ES"/>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1C91B22E" w14:textId="77777777" w:rsidR="00541C28" w:rsidRPr="00541C28" w:rsidRDefault="00541C28" w:rsidP="00541C28">
      <w:pPr>
        <w:spacing w:line="360" w:lineRule="auto"/>
        <w:rPr>
          <w:rFonts w:ascii="Calibri" w:hAnsi="Calibri" w:cs="Calibri"/>
          <w:sz w:val="24"/>
          <w:szCs w:val="24"/>
          <w:lang w:val="es-ES"/>
        </w:rPr>
      </w:pPr>
      <w:r w:rsidRPr="00541C28">
        <w:rPr>
          <w:rFonts w:ascii="Calibri" w:hAnsi="Calibri" w:cs="Calibri"/>
          <w:sz w:val="24"/>
          <w:szCs w:val="24"/>
          <w:lang w:val="es-ES"/>
        </w:rPr>
        <w:t xml:space="preserve">El establecimiento de estaciones radiodifusoras depende inicialmente de la disponibilidad de espectro radioeléctrico que puede ser asignado a los solicitantes y de esta forma obtengan una concesión de uso privado, comercial, público o de uso social. </w:t>
      </w:r>
    </w:p>
    <w:p w14:paraId="1C6D6209" w14:textId="77777777" w:rsidR="00541C28" w:rsidRPr="00C2382B" w:rsidRDefault="00541C28" w:rsidP="00CC058A">
      <w:pPr>
        <w:pStyle w:val="Cpotxt"/>
      </w:pPr>
      <w:r w:rsidRPr="00C2382B">
        <w:t>CONSIDERANDOS</w:t>
      </w:r>
    </w:p>
    <w:p w14:paraId="2B56BD27" w14:textId="77777777" w:rsidR="00C2382B" w:rsidRDefault="00541C28" w:rsidP="00541C28">
      <w:pPr>
        <w:pStyle w:val="Prrafodelista"/>
        <w:numPr>
          <w:ilvl w:val="0"/>
          <w:numId w:val="11"/>
        </w:numPr>
        <w:spacing w:line="360" w:lineRule="auto"/>
        <w:jc w:val="both"/>
        <w:rPr>
          <w:rFonts w:ascii="Calibri" w:hAnsi="Calibri" w:cs="Calibri"/>
          <w:lang w:val="es-ES"/>
        </w:rPr>
      </w:pPr>
      <w:r w:rsidRPr="00541C28">
        <w:rPr>
          <w:rFonts w:ascii="Calibri" w:hAnsi="Calibri" w:cs="Calibri"/>
          <w:lang w:val="es-ES"/>
        </w:rPr>
        <w:t xml:space="preserve">En 1992, se estableció el llamado Tratado de Querétaro entre México y los Estados Unidos de América que regulan la radiodifusión en la zona fronteriza (200 millas terrestres o 320 km al norte y la misma distancia al sur de la línea fronteriza) y, por lo tanto, regula la transmisión de AM y FM de ambos países en dicha zona. </w:t>
      </w:r>
    </w:p>
    <w:p w14:paraId="39A33864" w14:textId="77777777" w:rsidR="00DA374A" w:rsidRDefault="00541C28" w:rsidP="00DA374A">
      <w:pPr>
        <w:pStyle w:val="Prrafodelista"/>
        <w:spacing w:line="360" w:lineRule="auto"/>
        <w:jc w:val="both"/>
        <w:rPr>
          <w:rFonts w:ascii="Calibri" w:hAnsi="Calibri" w:cs="Calibri"/>
          <w:lang w:val="es-ES"/>
        </w:rPr>
      </w:pPr>
      <w:r w:rsidRPr="00541C28">
        <w:rPr>
          <w:rFonts w:ascii="Calibri" w:hAnsi="Calibri" w:cs="Calibri"/>
          <w:lang w:val="es-ES"/>
        </w:rPr>
        <w:lastRenderedPageBreak/>
        <w:t>De esta forma, se regula el aprovechamiento del espectro en una superficie de más de 2 millones de kilómetros cuadrados</w:t>
      </w:r>
      <w:r w:rsidRPr="00541C28">
        <w:rPr>
          <w:rStyle w:val="Refdenotaalpie"/>
          <w:rFonts w:ascii="Calibri" w:hAnsi="Calibri" w:cs="Calibri"/>
          <w:lang w:val="es-ES"/>
        </w:rPr>
        <w:footnoteReference w:id="1"/>
      </w:r>
      <w:r w:rsidRPr="00541C28">
        <w:rPr>
          <w:rFonts w:ascii="Calibri" w:hAnsi="Calibri" w:cs="Calibri"/>
          <w:lang w:val="es-ES"/>
        </w:rPr>
        <w:t xml:space="preserve"> – casi ocho veces la superficie del Estado de Chihuahua. </w:t>
      </w:r>
    </w:p>
    <w:p w14:paraId="45B72926" w14:textId="77777777" w:rsidR="00DA374A" w:rsidRPr="00DA374A" w:rsidRDefault="00DA374A" w:rsidP="00DA374A">
      <w:pPr>
        <w:pStyle w:val="Prrafodelista"/>
        <w:spacing w:line="360" w:lineRule="auto"/>
        <w:jc w:val="both"/>
        <w:rPr>
          <w:rFonts w:ascii="Calibri" w:hAnsi="Calibri" w:cs="Calibri"/>
          <w:lang w:val="es-ES"/>
        </w:rPr>
      </w:pPr>
    </w:p>
    <w:p w14:paraId="1EB261F6" w14:textId="77777777" w:rsidR="00541C28" w:rsidRPr="00541C28" w:rsidRDefault="00541C28" w:rsidP="00541C28">
      <w:pPr>
        <w:pStyle w:val="Prrafodelista"/>
        <w:numPr>
          <w:ilvl w:val="0"/>
          <w:numId w:val="11"/>
        </w:numPr>
        <w:spacing w:line="360" w:lineRule="auto"/>
        <w:jc w:val="both"/>
        <w:rPr>
          <w:rFonts w:ascii="Calibri" w:hAnsi="Calibri" w:cs="Calibri"/>
          <w:lang w:val="es-ES"/>
        </w:rPr>
      </w:pPr>
      <w:r w:rsidRPr="00541C28">
        <w:rPr>
          <w:rFonts w:ascii="Calibri" w:hAnsi="Calibri" w:cs="Calibri"/>
          <w:lang w:val="es-ES"/>
        </w:rPr>
        <w:t>En 2016 la Dirección General de Ingeniería del Espectro y Estudios Técnicos de la Unidad de Espectro Radioeléctrico del IFT realizó el análisis técnico para determinar la disponibilidad de espectro en distintas localidades entre las cuales se encuentran algunas localidades</w:t>
      </w:r>
      <w:r w:rsidRPr="00541C28">
        <w:rPr>
          <w:rStyle w:val="Refdenotaalpie"/>
          <w:rFonts w:ascii="Calibri" w:hAnsi="Calibri" w:cs="Calibri"/>
          <w:lang w:val="es-ES"/>
        </w:rPr>
        <w:footnoteReference w:id="2"/>
      </w:r>
      <w:r w:rsidRPr="00541C28">
        <w:rPr>
          <w:rFonts w:ascii="Calibri" w:hAnsi="Calibri" w:cs="Calibri"/>
          <w:lang w:val="es-ES"/>
        </w:rPr>
        <w:t xml:space="preserve"> en la franja fronteriza de los estados de Tamaulipas, Baja California, Sonora, Chihuahua. La mayoría de estas localidades carecen de suficiencia espectral por las condiciones dispuestas en el Tratado de Querétaro (1992).</w:t>
      </w:r>
    </w:p>
    <w:p w14:paraId="3C64D4F6" w14:textId="77777777" w:rsidR="00541C28" w:rsidRPr="00541C28" w:rsidRDefault="00541C28" w:rsidP="00541C28">
      <w:pPr>
        <w:spacing w:line="360" w:lineRule="auto"/>
        <w:rPr>
          <w:rFonts w:ascii="Calibri" w:hAnsi="Calibri" w:cs="Calibri"/>
          <w:sz w:val="24"/>
          <w:szCs w:val="24"/>
          <w:lang w:val="es-ES"/>
        </w:rPr>
      </w:pPr>
    </w:p>
    <w:p w14:paraId="034ABCDC" w14:textId="77777777" w:rsidR="00541C28" w:rsidRDefault="00541C28" w:rsidP="00541C28">
      <w:pPr>
        <w:pStyle w:val="Prrafodelista"/>
        <w:numPr>
          <w:ilvl w:val="0"/>
          <w:numId w:val="11"/>
        </w:numPr>
        <w:spacing w:line="360" w:lineRule="auto"/>
        <w:jc w:val="both"/>
        <w:rPr>
          <w:rFonts w:ascii="Calibri" w:hAnsi="Calibri" w:cs="Calibri"/>
          <w:lang w:val="es-ES"/>
        </w:rPr>
      </w:pPr>
      <w:r w:rsidRPr="00541C28">
        <w:rPr>
          <w:rFonts w:ascii="Calibri" w:hAnsi="Calibri" w:cs="Calibri"/>
          <w:lang w:val="es-ES"/>
        </w:rPr>
        <w:t xml:space="preserve">Entre 2016 y 2020 se han realizado diversas asignaciones del espectro que han agotado la limitada disponibilidad de este recurso en los estados de la frontera norte de México en donde la había. Otras asignaciones resultaron del análisis previo del espectro y la emisión del Programa Anual de Bandas y Frecuencias de los años 2017 al 2020, y por consecuencia se aumentó o disminuyó la disponibilidad espectral. </w:t>
      </w:r>
    </w:p>
    <w:p w14:paraId="653BEF14" w14:textId="77777777" w:rsidR="00CC058A" w:rsidRPr="00CC058A" w:rsidRDefault="00CC058A" w:rsidP="00CC058A">
      <w:pPr>
        <w:pStyle w:val="Prrafodelista"/>
        <w:spacing w:line="360" w:lineRule="auto"/>
        <w:jc w:val="both"/>
        <w:rPr>
          <w:rFonts w:ascii="Calibri" w:hAnsi="Calibri" w:cs="Calibri"/>
          <w:lang w:val="es-ES"/>
        </w:rPr>
      </w:pPr>
    </w:p>
    <w:p w14:paraId="474FC415" w14:textId="77777777" w:rsidR="00541C28" w:rsidRPr="00541C28" w:rsidRDefault="00541C28" w:rsidP="00541C28">
      <w:pPr>
        <w:pStyle w:val="Prrafodelista"/>
        <w:numPr>
          <w:ilvl w:val="0"/>
          <w:numId w:val="11"/>
        </w:numPr>
        <w:spacing w:line="360" w:lineRule="auto"/>
        <w:jc w:val="both"/>
        <w:rPr>
          <w:rFonts w:ascii="Calibri" w:hAnsi="Calibri" w:cs="Calibri"/>
          <w:lang w:val="es-ES"/>
        </w:rPr>
      </w:pPr>
      <w:r w:rsidRPr="00541C28">
        <w:rPr>
          <w:rFonts w:ascii="Calibri" w:hAnsi="Calibri" w:cs="Calibri"/>
          <w:lang w:val="es-ES"/>
        </w:rPr>
        <w:t xml:space="preserve">El análisis previamente mencionado y realizado en 2016 por la Unidad del Espectro Radioeléctrico mostró que diversas frecuencias para radiodifusión no pueden ser utilizadas en México, por no cumplir la separación en km mínima de acuerdo con la clase de emisión conforme está indicado en el tratado mencionado y es consistente con la disposición técnica IFT-002 y la IFT-001 para la radiodifusión en FM y AM respectivamente. </w:t>
      </w:r>
    </w:p>
    <w:p w14:paraId="5A224719" w14:textId="77777777" w:rsidR="00541C28" w:rsidRPr="00541C28" w:rsidRDefault="00541C28" w:rsidP="00541C28">
      <w:pPr>
        <w:pStyle w:val="Prrafodelista"/>
        <w:spacing w:line="360" w:lineRule="auto"/>
        <w:jc w:val="both"/>
        <w:rPr>
          <w:rFonts w:ascii="Calibri" w:hAnsi="Calibri" w:cs="Calibri"/>
          <w:lang w:val="es-ES"/>
        </w:rPr>
      </w:pPr>
    </w:p>
    <w:p w14:paraId="700E7261" w14:textId="77777777" w:rsidR="00461895" w:rsidRDefault="00541C28" w:rsidP="00541C28">
      <w:pPr>
        <w:pStyle w:val="Prrafodelista"/>
        <w:numPr>
          <w:ilvl w:val="0"/>
          <w:numId w:val="11"/>
        </w:numPr>
        <w:spacing w:line="360" w:lineRule="auto"/>
        <w:jc w:val="both"/>
        <w:rPr>
          <w:rFonts w:ascii="Calibri" w:hAnsi="Calibri" w:cs="Calibri"/>
          <w:lang w:val="es-ES"/>
        </w:rPr>
      </w:pPr>
      <w:r w:rsidRPr="00541C28">
        <w:rPr>
          <w:rFonts w:ascii="Calibri" w:hAnsi="Calibri" w:cs="Calibri"/>
          <w:lang w:val="es-ES"/>
        </w:rPr>
        <w:t xml:space="preserve">En los estados colindantes con la frontera norte (BC, SON, COAH, CHIH, NL, TAMPS) las concesiones del espectro radioeléctrico para radiodifusión (AM y FM) se distribuyen de la siguiente forma (por tipo de uso): comercial (73.2%), público (17%), social (9.8%). </w:t>
      </w:r>
    </w:p>
    <w:p w14:paraId="7546ED72" w14:textId="77777777" w:rsidR="00461895" w:rsidRDefault="00541C28" w:rsidP="00461895">
      <w:pPr>
        <w:pStyle w:val="Prrafodelista"/>
        <w:spacing w:line="360" w:lineRule="auto"/>
        <w:jc w:val="both"/>
        <w:rPr>
          <w:rFonts w:ascii="Calibri" w:hAnsi="Calibri" w:cs="Calibri"/>
          <w:lang w:val="es-ES"/>
        </w:rPr>
      </w:pPr>
      <w:r w:rsidRPr="00541C28">
        <w:rPr>
          <w:rFonts w:ascii="Calibri" w:hAnsi="Calibri" w:cs="Calibri"/>
          <w:lang w:val="es-ES"/>
        </w:rPr>
        <w:lastRenderedPageBreak/>
        <w:t>En comparación, la misma distribución en toda la República Mexicana es comercial (64.9%), público (16.6%), social (18.5%)</w:t>
      </w:r>
      <w:r w:rsidRPr="00541C28">
        <w:rPr>
          <w:rStyle w:val="Refdenotaalpie"/>
          <w:rFonts w:ascii="Calibri" w:hAnsi="Calibri" w:cs="Calibri"/>
          <w:lang w:val="es-ES"/>
        </w:rPr>
        <w:footnoteReference w:id="3"/>
      </w:r>
      <w:r w:rsidRPr="00541C28">
        <w:rPr>
          <w:rFonts w:ascii="Calibri" w:hAnsi="Calibri" w:cs="Calibri"/>
          <w:lang w:val="es-ES"/>
        </w:rPr>
        <w:t>. Mientras la radiodifusión sonora (FM y AM) de uso social en México aumentó 8 puntos porcentuales en el lapso de 7 años (2014-2021), en los estados de la franja fronteriza sólo aumentó 5.7 puntos porcentuales. En las localidades cubiertas en el estudio previamente mencionado (análisis técnico de disponibilidad espectral) y que están en la llamada banda o zona fronteriza se observa un bajo uso del espectro para radiodifusión de uso social. Actualmente, en estas once localidades existen 8 estaciones radiodifusoras de uso público y 4 de uso social en comparación con 121 estaciones de uso comercial</w:t>
      </w:r>
      <w:r w:rsidRPr="00541C28">
        <w:rPr>
          <w:rStyle w:val="Refdenotaalpie"/>
          <w:rFonts w:ascii="Calibri" w:hAnsi="Calibri" w:cs="Calibri"/>
          <w:lang w:val="es-ES"/>
        </w:rPr>
        <w:footnoteReference w:id="4"/>
      </w:r>
      <w:r w:rsidRPr="00541C28">
        <w:rPr>
          <w:rFonts w:ascii="Calibri" w:hAnsi="Calibri" w:cs="Calibri"/>
          <w:lang w:val="es-ES"/>
        </w:rPr>
        <w:t>.</w:t>
      </w:r>
    </w:p>
    <w:p w14:paraId="3D101225" w14:textId="77777777" w:rsidR="00461895" w:rsidRPr="00461895" w:rsidRDefault="00461895" w:rsidP="00461895">
      <w:pPr>
        <w:pStyle w:val="Prrafodelista"/>
        <w:spacing w:line="360" w:lineRule="auto"/>
        <w:jc w:val="both"/>
        <w:rPr>
          <w:rFonts w:ascii="Calibri" w:hAnsi="Calibri" w:cs="Calibri"/>
          <w:lang w:val="es-ES"/>
        </w:rPr>
      </w:pPr>
    </w:p>
    <w:p w14:paraId="2C94E64A" w14:textId="77777777" w:rsidR="00541C28" w:rsidRPr="00541C28" w:rsidRDefault="00541C28" w:rsidP="00541C28">
      <w:pPr>
        <w:pStyle w:val="Prrafodelista"/>
        <w:numPr>
          <w:ilvl w:val="0"/>
          <w:numId w:val="11"/>
        </w:numPr>
        <w:spacing w:line="360" w:lineRule="auto"/>
        <w:jc w:val="both"/>
        <w:rPr>
          <w:rFonts w:ascii="Calibri" w:hAnsi="Calibri" w:cs="Calibri"/>
          <w:lang w:val="es-ES"/>
        </w:rPr>
      </w:pPr>
      <w:r w:rsidRPr="00541C28">
        <w:rPr>
          <w:rFonts w:ascii="Calibri" w:hAnsi="Calibri" w:cs="Calibri"/>
          <w:lang w:val="es-ES"/>
        </w:rPr>
        <w:t xml:space="preserve">La propuesta que realiza la FCC podría afectar el estado de la radiodifusión en la frontera norte que se refiere a la separación en km/millas entre las estaciones radiodifusoras. Por ejemplo, en la frecuencia 90.3 en Mexicali, Baja California, no es posible instalar una nueva estación radiodifusora en FM pues el Tratado mencionado establece una separación mínima de 138 km entre la estación existente en </w:t>
      </w:r>
      <w:proofErr w:type="spellStart"/>
      <w:r w:rsidRPr="00541C28">
        <w:rPr>
          <w:rFonts w:ascii="Calibri" w:hAnsi="Calibri" w:cs="Calibri"/>
          <w:lang w:val="es-ES"/>
        </w:rPr>
        <w:t>Desert</w:t>
      </w:r>
      <w:proofErr w:type="spellEnd"/>
      <w:r w:rsidRPr="00541C28">
        <w:rPr>
          <w:rFonts w:ascii="Calibri" w:hAnsi="Calibri" w:cs="Calibri"/>
          <w:lang w:val="es-ES"/>
        </w:rPr>
        <w:t xml:space="preserve"> Center, California (Clase B1) y la posible en Mexicali (Clase A). Incluso bajo la propuesta de la FCC sería imposible cumplir con el nuevo criterio pues se establecería una distancia mínima de 184 km. Incluso de acuerdo con los registros de la FCC, dicha estación ya no existe.</w:t>
      </w:r>
    </w:p>
    <w:p w14:paraId="67537E58" w14:textId="77777777" w:rsidR="00541C28" w:rsidRPr="00541C28" w:rsidRDefault="00541C28" w:rsidP="00541C28">
      <w:pPr>
        <w:pStyle w:val="Prrafodelista"/>
        <w:spacing w:line="360" w:lineRule="auto"/>
        <w:jc w:val="both"/>
        <w:rPr>
          <w:rFonts w:ascii="Calibri" w:hAnsi="Calibri" w:cs="Calibri"/>
          <w:lang w:val="es-ES"/>
        </w:rPr>
      </w:pPr>
    </w:p>
    <w:p w14:paraId="0922F187" w14:textId="77777777" w:rsidR="00541C28" w:rsidRPr="00461895" w:rsidRDefault="00541C28" w:rsidP="00CC058A">
      <w:pPr>
        <w:spacing w:line="360" w:lineRule="auto"/>
        <w:ind w:left="708"/>
        <w:rPr>
          <w:rFonts w:ascii="Calibri" w:hAnsi="Calibri" w:cs="Calibri"/>
          <w:sz w:val="24"/>
          <w:szCs w:val="24"/>
          <w:lang w:val="es-ES"/>
        </w:rPr>
      </w:pPr>
      <w:r w:rsidRPr="00461895">
        <w:rPr>
          <w:rFonts w:ascii="Calibri" w:hAnsi="Calibri" w:cs="Calibri"/>
          <w:sz w:val="24"/>
          <w:szCs w:val="24"/>
          <w:lang w:val="es-ES"/>
        </w:rPr>
        <w:t xml:space="preserve">La separación en frecuencia se realiza para evitar la interferencia entre estaciones. En particular, en el caso de la FM se propone la modificación de las distancias como se muestra en la Tabla 1. Como se puede observar al comparar el contenido de esa tabla con el de la Tabla 2, algunas distancias pueden variar con las separaciones dispuestas en el Tratado de Querétaro (1992), la cual a su vez es consistente con la Tabla 3 que está en la disposición técnica IFT 002. </w:t>
      </w:r>
    </w:p>
    <w:p w14:paraId="1C988FAD" w14:textId="77777777" w:rsidR="00541C28" w:rsidRPr="00541C28" w:rsidRDefault="00541C28" w:rsidP="00541C28">
      <w:pPr>
        <w:spacing w:line="360" w:lineRule="auto"/>
        <w:rPr>
          <w:rFonts w:ascii="Calibri" w:hAnsi="Calibri" w:cs="Calibri"/>
          <w:sz w:val="24"/>
          <w:szCs w:val="24"/>
          <w:lang w:val="es-ES"/>
        </w:rPr>
      </w:pPr>
    </w:p>
    <w:p w14:paraId="23CCAC34" w14:textId="77777777" w:rsidR="00461895" w:rsidRPr="00461895" w:rsidRDefault="00461895" w:rsidP="00461895">
      <w:pPr>
        <w:pStyle w:val="Descripcin"/>
        <w:jc w:val="center"/>
        <w:rPr>
          <w:rFonts w:ascii="Calibri" w:hAnsi="Calibri" w:cs="Calibri"/>
          <w:b/>
          <w:color w:val="auto"/>
          <w:sz w:val="32"/>
          <w:szCs w:val="24"/>
          <w:lang w:val="es-ES"/>
        </w:rPr>
      </w:pPr>
      <w:r w:rsidRPr="00461895">
        <w:rPr>
          <w:rFonts w:ascii="Calibri" w:hAnsi="Calibri" w:cs="Calibri"/>
          <w:b/>
          <w:color w:val="auto"/>
          <w:sz w:val="22"/>
        </w:rPr>
        <w:lastRenderedPageBreak/>
        <w:t xml:space="preserve">Tabla </w:t>
      </w:r>
      <w:r w:rsidRPr="00461895">
        <w:rPr>
          <w:rFonts w:ascii="Calibri" w:hAnsi="Calibri" w:cs="Calibri"/>
          <w:b/>
          <w:color w:val="auto"/>
          <w:sz w:val="22"/>
        </w:rPr>
        <w:fldChar w:fldCharType="begin"/>
      </w:r>
      <w:r w:rsidRPr="00461895">
        <w:rPr>
          <w:rFonts w:ascii="Calibri" w:hAnsi="Calibri" w:cs="Calibri"/>
          <w:b/>
          <w:color w:val="auto"/>
          <w:sz w:val="22"/>
        </w:rPr>
        <w:instrText xml:space="preserve"> SEQ Tabla \* ARABIC </w:instrText>
      </w:r>
      <w:r w:rsidRPr="00461895">
        <w:rPr>
          <w:rFonts w:ascii="Calibri" w:hAnsi="Calibri" w:cs="Calibri"/>
          <w:b/>
          <w:color w:val="auto"/>
          <w:sz w:val="22"/>
        </w:rPr>
        <w:fldChar w:fldCharType="separate"/>
      </w:r>
      <w:r>
        <w:rPr>
          <w:rFonts w:ascii="Calibri" w:hAnsi="Calibri" w:cs="Calibri"/>
          <w:b/>
          <w:noProof/>
          <w:color w:val="auto"/>
          <w:sz w:val="22"/>
        </w:rPr>
        <w:t>1</w:t>
      </w:r>
      <w:r w:rsidRPr="00461895">
        <w:rPr>
          <w:rFonts w:ascii="Calibri" w:hAnsi="Calibri" w:cs="Calibri"/>
          <w:b/>
          <w:color w:val="auto"/>
          <w:sz w:val="22"/>
        </w:rPr>
        <w:fldChar w:fldCharType="end"/>
      </w:r>
      <w:r w:rsidRPr="00461895">
        <w:rPr>
          <w:rFonts w:ascii="Calibri" w:hAnsi="Calibri" w:cs="Calibri"/>
          <w:b/>
          <w:color w:val="auto"/>
          <w:sz w:val="22"/>
        </w:rPr>
        <w:t xml:space="preserve"> Propuesta de modificación de la separación en distancia de las estaciones de FM en EE. UU.</w:t>
      </w:r>
    </w:p>
    <w:p w14:paraId="7DF6FDE2" w14:textId="77777777" w:rsidR="00541C28" w:rsidRPr="00541C28" w:rsidRDefault="00541C28" w:rsidP="00461895">
      <w:pPr>
        <w:spacing w:line="360" w:lineRule="auto"/>
        <w:ind w:left="567"/>
        <w:jc w:val="center"/>
        <w:rPr>
          <w:rFonts w:ascii="Calibri" w:hAnsi="Calibri" w:cs="Calibri"/>
          <w:sz w:val="24"/>
          <w:szCs w:val="24"/>
          <w:lang w:val="es-ES"/>
        </w:rPr>
      </w:pPr>
      <w:r w:rsidRPr="00541C28">
        <w:rPr>
          <w:rFonts w:ascii="Calibri" w:hAnsi="Calibri" w:cs="Calibri"/>
          <w:noProof/>
          <w:sz w:val="24"/>
          <w:szCs w:val="24"/>
        </w:rPr>
        <w:drawing>
          <wp:inline distT="0" distB="0" distL="0" distR="0" wp14:anchorId="521A0E82" wp14:editId="4CAB703C">
            <wp:extent cx="3233976" cy="3416060"/>
            <wp:effectExtent l="0" t="0" r="508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56867" cy="3440240"/>
                    </a:xfrm>
                    <a:prstGeom prst="rect">
                      <a:avLst/>
                    </a:prstGeom>
                  </pic:spPr>
                </pic:pic>
              </a:graphicData>
            </a:graphic>
          </wp:inline>
        </w:drawing>
      </w:r>
      <w:r w:rsidRPr="00541C28">
        <w:rPr>
          <w:rFonts w:ascii="Calibri" w:hAnsi="Calibri" w:cs="Calibri"/>
          <w:noProof/>
          <w:sz w:val="24"/>
          <w:szCs w:val="24"/>
        </w:rPr>
        <w:drawing>
          <wp:inline distT="0" distB="0" distL="0" distR="0" wp14:anchorId="67FD93EC" wp14:editId="0620B4AE">
            <wp:extent cx="3131389" cy="862805"/>
            <wp:effectExtent l="0" t="0" r="0" b="127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37794" cy="892123"/>
                    </a:xfrm>
                    <a:prstGeom prst="rect">
                      <a:avLst/>
                    </a:prstGeom>
                  </pic:spPr>
                </pic:pic>
              </a:graphicData>
            </a:graphic>
          </wp:inline>
        </w:drawing>
      </w:r>
    </w:p>
    <w:p w14:paraId="0776D3BF" w14:textId="77777777" w:rsidR="00541C28" w:rsidRDefault="00541C28" w:rsidP="00541C28">
      <w:pPr>
        <w:spacing w:line="360" w:lineRule="auto"/>
        <w:ind w:left="567"/>
        <w:rPr>
          <w:rFonts w:ascii="Calibri" w:hAnsi="Calibri" w:cs="Calibri"/>
          <w:sz w:val="24"/>
          <w:szCs w:val="24"/>
          <w:lang w:val="es-ES"/>
        </w:rPr>
      </w:pPr>
    </w:p>
    <w:p w14:paraId="74A5F79D" w14:textId="77777777" w:rsidR="00461895" w:rsidRDefault="00461895" w:rsidP="00541C28">
      <w:pPr>
        <w:spacing w:line="360" w:lineRule="auto"/>
        <w:ind w:left="567"/>
        <w:rPr>
          <w:rFonts w:ascii="Calibri" w:hAnsi="Calibri" w:cs="Calibri"/>
          <w:sz w:val="24"/>
          <w:szCs w:val="24"/>
          <w:lang w:val="es-ES"/>
        </w:rPr>
      </w:pPr>
    </w:p>
    <w:p w14:paraId="1E1928D7" w14:textId="77777777" w:rsidR="00461895" w:rsidRDefault="00461895" w:rsidP="00541C28">
      <w:pPr>
        <w:spacing w:line="360" w:lineRule="auto"/>
        <w:ind w:left="567"/>
        <w:rPr>
          <w:rFonts w:ascii="Calibri" w:hAnsi="Calibri" w:cs="Calibri"/>
          <w:sz w:val="24"/>
          <w:szCs w:val="24"/>
          <w:lang w:val="es-ES"/>
        </w:rPr>
      </w:pPr>
    </w:p>
    <w:p w14:paraId="46407BAC" w14:textId="77777777" w:rsidR="00461895" w:rsidRDefault="00461895" w:rsidP="00541C28">
      <w:pPr>
        <w:spacing w:line="360" w:lineRule="auto"/>
        <w:ind w:left="567"/>
        <w:rPr>
          <w:rFonts w:ascii="Calibri" w:hAnsi="Calibri" w:cs="Calibri"/>
          <w:sz w:val="24"/>
          <w:szCs w:val="24"/>
          <w:lang w:val="es-ES"/>
        </w:rPr>
      </w:pPr>
    </w:p>
    <w:p w14:paraId="32D55ED6" w14:textId="77777777" w:rsidR="00461895" w:rsidRDefault="00461895" w:rsidP="00541C28">
      <w:pPr>
        <w:spacing w:line="360" w:lineRule="auto"/>
        <w:ind w:left="567"/>
        <w:rPr>
          <w:rFonts w:ascii="Calibri" w:hAnsi="Calibri" w:cs="Calibri"/>
          <w:sz w:val="24"/>
          <w:szCs w:val="24"/>
          <w:lang w:val="es-ES"/>
        </w:rPr>
      </w:pPr>
    </w:p>
    <w:p w14:paraId="3EA3FA0E" w14:textId="77777777" w:rsidR="00461895" w:rsidRPr="00541C28" w:rsidRDefault="00461895" w:rsidP="00541C28">
      <w:pPr>
        <w:spacing w:line="360" w:lineRule="auto"/>
        <w:ind w:left="567"/>
        <w:rPr>
          <w:rFonts w:ascii="Calibri" w:hAnsi="Calibri" w:cs="Calibri"/>
          <w:sz w:val="24"/>
          <w:szCs w:val="24"/>
          <w:lang w:val="es-ES"/>
        </w:rPr>
      </w:pPr>
    </w:p>
    <w:p w14:paraId="33BCBB69" w14:textId="77777777" w:rsidR="00541C28" w:rsidRPr="00541C28" w:rsidRDefault="00541C28" w:rsidP="00541C28">
      <w:pPr>
        <w:spacing w:line="360" w:lineRule="auto"/>
        <w:rPr>
          <w:rFonts w:ascii="Calibri" w:hAnsi="Calibri" w:cs="Calibri"/>
          <w:sz w:val="24"/>
          <w:szCs w:val="24"/>
        </w:rPr>
      </w:pPr>
    </w:p>
    <w:p w14:paraId="6A6E7A31" w14:textId="77777777" w:rsidR="00461895" w:rsidRDefault="00461895" w:rsidP="00461895">
      <w:pPr>
        <w:pStyle w:val="Descripcin"/>
        <w:jc w:val="center"/>
        <w:rPr>
          <w:b/>
          <w:color w:val="auto"/>
        </w:rPr>
      </w:pPr>
    </w:p>
    <w:p w14:paraId="2B529BD8" w14:textId="77777777" w:rsidR="00541C28" w:rsidRPr="00461895" w:rsidRDefault="00461895" w:rsidP="00461895">
      <w:pPr>
        <w:pStyle w:val="Descripcin"/>
        <w:jc w:val="center"/>
        <w:rPr>
          <w:rFonts w:ascii="Calibri" w:hAnsi="Calibri" w:cs="Calibri"/>
          <w:b/>
          <w:color w:val="auto"/>
          <w:sz w:val="32"/>
          <w:szCs w:val="24"/>
          <w:lang w:val="es-ES"/>
        </w:rPr>
      </w:pPr>
      <w:r w:rsidRPr="00461895">
        <w:rPr>
          <w:rFonts w:ascii="Calibri" w:hAnsi="Calibri" w:cs="Calibri"/>
          <w:b/>
          <w:color w:val="auto"/>
          <w:sz w:val="22"/>
        </w:rPr>
        <w:lastRenderedPageBreak/>
        <w:t xml:space="preserve">Tabla </w:t>
      </w:r>
      <w:r w:rsidRPr="00461895">
        <w:rPr>
          <w:rFonts w:ascii="Calibri" w:hAnsi="Calibri" w:cs="Calibri"/>
          <w:b/>
          <w:color w:val="auto"/>
          <w:sz w:val="22"/>
        </w:rPr>
        <w:fldChar w:fldCharType="begin"/>
      </w:r>
      <w:r w:rsidRPr="00461895">
        <w:rPr>
          <w:rFonts w:ascii="Calibri" w:hAnsi="Calibri" w:cs="Calibri"/>
          <w:b/>
          <w:color w:val="auto"/>
          <w:sz w:val="22"/>
        </w:rPr>
        <w:instrText xml:space="preserve"> SEQ Tabla \* ARABIC </w:instrText>
      </w:r>
      <w:r w:rsidRPr="00461895">
        <w:rPr>
          <w:rFonts w:ascii="Calibri" w:hAnsi="Calibri" w:cs="Calibri"/>
          <w:b/>
          <w:color w:val="auto"/>
          <w:sz w:val="22"/>
        </w:rPr>
        <w:fldChar w:fldCharType="separate"/>
      </w:r>
      <w:r>
        <w:rPr>
          <w:rFonts w:ascii="Calibri" w:hAnsi="Calibri" w:cs="Calibri"/>
          <w:b/>
          <w:noProof/>
          <w:color w:val="auto"/>
          <w:sz w:val="22"/>
        </w:rPr>
        <w:t>2</w:t>
      </w:r>
      <w:r w:rsidRPr="00461895">
        <w:rPr>
          <w:rFonts w:ascii="Calibri" w:hAnsi="Calibri" w:cs="Calibri"/>
          <w:b/>
          <w:color w:val="auto"/>
          <w:sz w:val="22"/>
        </w:rPr>
        <w:fldChar w:fldCharType="end"/>
      </w:r>
      <w:r w:rsidRPr="00461895">
        <w:rPr>
          <w:rFonts w:ascii="Calibri" w:hAnsi="Calibri" w:cs="Calibri"/>
          <w:b/>
          <w:color w:val="auto"/>
          <w:sz w:val="22"/>
        </w:rPr>
        <w:t xml:space="preserve"> Separación en distancia de las estaciones en FM contenida en el Tratado de Querétaro (1992)</w:t>
      </w:r>
    </w:p>
    <w:p w14:paraId="1B31727B" w14:textId="77777777" w:rsidR="00541C28" w:rsidRPr="00541C28" w:rsidRDefault="00541C28" w:rsidP="00461895">
      <w:pPr>
        <w:spacing w:line="360" w:lineRule="auto"/>
        <w:ind w:left="567"/>
        <w:jc w:val="center"/>
        <w:rPr>
          <w:rFonts w:ascii="Calibri" w:hAnsi="Calibri" w:cs="Calibri"/>
          <w:sz w:val="24"/>
          <w:szCs w:val="24"/>
          <w:lang w:val="es-ES"/>
        </w:rPr>
      </w:pPr>
      <w:r w:rsidRPr="00541C28">
        <w:rPr>
          <w:rFonts w:ascii="Calibri" w:hAnsi="Calibri" w:cs="Calibri"/>
          <w:noProof/>
          <w:sz w:val="24"/>
          <w:szCs w:val="24"/>
        </w:rPr>
        <w:drawing>
          <wp:inline distT="0" distB="0" distL="0" distR="0" wp14:anchorId="2FC038ED" wp14:editId="7C549B09">
            <wp:extent cx="5128204" cy="4750711"/>
            <wp:effectExtent l="0" t="0" r="3175" b="0"/>
            <wp:docPr id="2" name="Picture 2"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receip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47447" cy="4768538"/>
                    </a:xfrm>
                    <a:prstGeom prst="rect">
                      <a:avLst/>
                    </a:prstGeom>
                  </pic:spPr>
                </pic:pic>
              </a:graphicData>
            </a:graphic>
          </wp:inline>
        </w:drawing>
      </w:r>
    </w:p>
    <w:p w14:paraId="53019753" w14:textId="77777777" w:rsidR="00541C28" w:rsidRPr="00541C28" w:rsidRDefault="00541C28" w:rsidP="00541C28">
      <w:pPr>
        <w:spacing w:line="360" w:lineRule="auto"/>
        <w:rPr>
          <w:rFonts w:ascii="Calibri" w:hAnsi="Calibri" w:cs="Calibri"/>
          <w:sz w:val="24"/>
          <w:szCs w:val="24"/>
          <w:lang w:val="es-ES"/>
        </w:rPr>
      </w:pPr>
    </w:p>
    <w:p w14:paraId="7F171F4B" w14:textId="77777777" w:rsidR="00541C28" w:rsidRPr="00541C28" w:rsidRDefault="00541C28" w:rsidP="00541C28">
      <w:pPr>
        <w:spacing w:line="360" w:lineRule="auto"/>
        <w:ind w:left="567"/>
        <w:rPr>
          <w:rFonts w:ascii="Calibri" w:hAnsi="Calibri" w:cs="Calibri"/>
          <w:sz w:val="24"/>
          <w:szCs w:val="24"/>
          <w:lang w:val="es-ES"/>
        </w:rPr>
      </w:pPr>
    </w:p>
    <w:p w14:paraId="35187FC6" w14:textId="77777777" w:rsidR="00541C28" w:rsidRPr="00541C28" w:rsidRDefault="00541C28" w:rsidP="00541C28">
      <w:pPr>
        <w:spacing w:line="360" w:lineRule="auto"/>
        <w:ind w:left="567"/>
        <w:rPr>
          <w:rFonts w:ascii="Calibri" w:hAnsi="Calibri" w:cs="Calibri"/>
          <w:sz w:val="24"/>
          <w:szCs w:val="24"/>
          <w:lang w:val="es-ES"/>
        </w:rPr>
      </w:pPr>
    </w:p>
    <w:p w14:paraId="07EAAEC4" w14:textId="77777777" w:rsidR="00541C28" w:rsidRPr="00541C28" w:rsidRDefault="00541C28" w:rsidP="00541C28">
      <w:pPr>
        <w:spacing w:line="360" w:lineRule="auto"/>
        <w:ind w:left="567"/>
        <w:rPr>
          <w:rFonts w:ascii="Calibri" w:hAnsi="Calibri" w:cs="Calibri"/>
          <w:sz w:val="24"/>
          <w:szCs w:val="24"/>
          <w:lang w:val="es-ES"/>
        </w:rPr>
      </w:pPr>
    </w:p>
    <w:p w14:paraId="513F54E4" w14:textId="77777777" w:rsidR="00541C28" w:rsidRPr="00541C28" w:rsidRDefault="00541C28" w:rsidP="00541C28">
      <w:pPr>
        <w:spacing w:line="360" w:lineRule="auto"/>
        <w:ind w:left="567"/>
        <w:rPr>
          <w:rFonts w:ascii="Calibri" w:hAnsi="Calibri" w:cs="Calibri"/>
          <w:sz w:val="24"/>
          <w:szCs w:val="24"/>
          <w:lang w:val="es-ES"/>
        </w:rPr>
      </w:pPr>
    </w:p>
    <w:p w14:paraId="05A897CE" w14:textId="77777777" w:rsidR="00541C28" w:rsidRPr="00541C28" w:rsidRDefault="00541C28" w:rsidP="00541C28">
      <w:pPr>
        <w:spacing w:line="360" w:lineRule="auto"/>
        <w:ind w:left="567"/>
        <w:rPr>
          <w:rFonts w:ascii="Calibri" w:hAnsi="Calibri" w:cs="Calibri"/>
          <w:sz w:val="24"/>
          <w:szCs w:val="24"/>
          <w:lang w:val="es-ES"/>
        </w:rPr>
      </w:pPr>
    </w:p>
    <w:p w14:paraId="2FD47FAC" w14:textId="77777777" w:rsidR="00541C28" w:rsidRPr="00541C28" w:rsidRDefault="00541C28" w:rsidP="00541C28">
      <w:pPr>
        <w:spacing w:line="360" w:lineRule="auto"/>
        <w:ind w:left="567"/>
        <w:rPr>
          <w:rFonts w:ascii="Calibri" w:hAnsi="Calibri" w:cs="Calibri"/>
          <w:sz w:val="24"/>
          <w:szCs w:val="24"/>
          <w:lang w:val="es-ES"/>
        </w:rPr>
      </w:pPr>
    </w:p>
    <w:p w14:paraId="0632A80E" w14:textId="77777777" w:rsidR="00541C28" w:rsidRPr="00461895" w:rsidRDefault="00461895" w:rsidP="00461895">
      <w:pPr>
        <w:pStyle w:val="Descripcin"/>
        <w:jc w:val="center"/>
        <w:rPr>
          <w:rFonts w:ascii="Calibri" w:hAnsi="Calibri" w:cs="Calibri"/>
          <w:b/>
          <w:color w:val="auto"/>
          <w:sz w:val="22"/>
          <w:szCs w:val="22"/>
          <w:lang w:val="es-ES"/>
        </w:rPr>
      </w:pPr>
      <w:r w:rsidRPr="00461895">
        <w:rPr>
          <w:rFonts w:ascii="Calibri" w:hAnsi="Calibri" w:cs="Calibri"/>
          <w:b/>
          <w:color w:val="auto"/>
          <w:sz w:val="22"/>
          <w:szCs w:val="22"/>
        </w:rPr>
        <w:lastRenderedPageBreak/>
        <w:t xml:space="preserve">Tabla </w:t>
      </w:r>
      <w:r w:rsidRPr="00461895">
        <w:rPr>
          <w:rFonts w:ascii="Calibri" w:hAnsi="Calibri" w:cs="Calibri"/>
          <w:b/>
          <w:color w:val="auto"/>
          <w:sz w:val="22"/>
          <w:szCs w:val="22"/>
        </w:rPr>
        <w:fldChar w:fldCharType="begin"/>
      </w:r>
      <w:r w:rsidRPr="00461895">
        <w:rPr>
          <w:rFonts w:ascii="Calibri" w:hAnsi="Calibri" w:cs="Calibri"/>
          <w:b/>
          <w:color w:val="auto"/>
          <w:sz w:val="22"/>
          <w:szCs w:val="22"/>
        </w:rPr>
        <w:instrText xml:space="preserve"> SEQ Tabla \* ARABIC </w:instrText>
      </w:r>
      <w:r w:rsidRPr="00461895">
        <w:rPr>
          <w:rFonts w:ascii="Calibri" w:hAnsi="Calibri" w:cs="Calibri"/>
          <w:b/>
          <w:color w:val="auto"/>
          <w:sz w:val="22"/>
          <w:szCs w:val="22"/>
        </w:rPr>
        <w:fldChar w:fldCharType="separate"/>
      </w:r>
      <w:r w:rsidRPr="00461895">
        <w:rPr>
          <w:rFonts w:ascii="Calibri" w:hAnsi="Calibri" w:cs="Calibri"/>
          <w:b/>
          <w:noProof/>
          <w:color w:val="auto"/>
          <w:sz w:val="22"/>
          <w:szCs w:val="22"/>
        </w:rPr>
        <w:t>3</w:t>
      </w:r>
      <w:r w:rsidRPr="00461895">
        <w:rPr>
          <w:rFonts w:ascii="Calibri" w:hAnsi="Calibri" w:cs="Calibri"/>
          <w:b/>
          <w:color w:val="auto"/>
          <w:sz w:val="22"/>
          <w:szCs w:val="22"/>
        </w:rPr>
        <w:fldChar w:fldCharType="end"/>
      </w:r>
      <w:r w:rsidRPr="00461895">
        <w:rPr>
          <w:rFonts w:ascii="Calibri" w:hAnsi="Calibri" w:cs="Calibri"/>
          <w:b/>
          <w:color w:val="auto"/>
          <w:sz w:val="22"/>
          <w:szCs w:val="22"/>
        </w:rPr>
        <w:t xml:space="preserve"> Separación en distancia para estaciones en FM contenida en la Disposición Técnica IFT 002</w:t>
      </w:r>
    </w:p>
    <w:p w14:paraId="6065C7E6" w14:textId="77777777" w:rsidR="00541C28" w:rsidRPr="00541C28" w:rsidRDefault="00541C28" w:rsidP="00541C28">
      <w:pPr>
        <w:spacing w:line="360" w:lineRule="auto"/>
        <w:ind w:left="567"/>
        <w:rPr>
          <w:rFonts w:ascii="Calibri" w:hAnsi="Calibri" w:cs="Calibri"/>
          <w:sz w:val="24"/>
          <w:szCs w:val="24"/>
          <w:lang w:val="es-ES"/>
        </w:rPr>
      </w:pPr>
      <w:r w:rsidRPr="00541C28">
        <w:rPr>
          <w:rFonts w:ascii="Calibri" w:hAnsi="Calibri" w:cs="Calibri"/>
          <w:noProof/>
          <w:sz w:val="24"/>
          <w:szCs w:val="24"/>
        </w:rPr>
        <w:drawing>
          <wp:inline distT="0" distB="0" distL="0" distR="0" wp14:anchorId="54CC9849" wp14:editId="47FB17A3">
            <wp:extent cx="5359400" cy="571500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59400" cy="5715000"/>
                    </a:xfrm>
                    <a:prstGeom prst="rect">
                      <a:avLst/>
                    </a:prstGeom>
                  </pic:spPr>
                </pic:pic>
              </a:graphicData>
            </a:graphic>
          </wp:inline>
        </w:drawing>
      </w:r>
    </w:p>
    <w:p w14:paraId="3BB29FD7" w14:textId="77777777" w:rsidR="00541C28" w:rsidRPr="00541C28" w:rsidRDefault="00541C28" w:rsidP="00541C28">
      <w:pPr>
        <w:spacing w:line="360" w:lineRule="auto"/>
        <w:rPr>
          <w:rFonts w:ascii="Calibri" w:hAnsi="Calibri" w:cs="Calibri"/>
          <w:sz w:val="24"/>
          <w:szCs w:val="24"/>
          <w:lang w:val="es-ES"/>
        </w:rPr>
      </w:pPr>
    </w:p>
    <w:p w14:paraId="4EAADA6A" w14:textId="77777777" w:rsidR="00541C28" w:rsidRPr="00541C28" w:rsidRDefault="00541C28" w:rsidP="00541C28">
      <w:pPr>
        <w:spacing w:line="360" w:lineRule="auto"/>
        <w:rPr>
          <w:rFonts w:ascii="Calibri" w:hAnsi="Calibri" w:cs="Calibri"/>
          <w:sz w:val="24"/>
          <w:szCs w:val="24"/>
          <w:lang w:val="es-ES"/>
        </w:rPr>
      </w:pPr>
    </w:p>
    <w:p w14:paraId="0B89F026" w14:textId="77777777" w:rsidR="00541C28" w:rsidRDefault="00541C28" w:rsidP="00541C28">
      <w:pPr>
        <w:spacing w:line="360" w:lineRule="auto"/>
        <w:rPr>
          <w:rFonts w:ascii="Calibri" w:hAnsi="Calibri" w:cs="Calibri"/>
          <w:sz w:val="24"/>
          <w:szCs w:val="24"/>
          <w:lang w:val="es-ES"/>
        </w:rPr>
      </w:pPr>
    </w:p>
    <w:p w14:paraId="45CE9AE6" w14:textId="77777777" w:rsidR="0010328A" w:rsidRPr="00541C28" w:rsidRDefault="0010328A" w:rsidP="00541C28">
      <w:pPr>
        <w:spacing w:line="360" w:lineRule="auto"/>
        <w:rPr>
          <w:rFonts w:ascii="Calibri" w:hAnsi="Calibri" w:cs="Calibri"/>
          <w:sz w:val="24"/>
          <w:szCs w:val="24"/>
          <w:lang w:val="es-ES"/>
        </w:rPr>
      </w:pPr>
    </w:p>
    <w:p w14:paraId="22195321" w14:textId="77777777" w:rsidR="00541C28" w:rsidRPr="00541C28" w:rsidRDefault="00541C28" w:rsidP="00CC058A">
      <w:pPr>
        <w:pStyle w:val="Cpotxt"/>
      </w:pPr>
      <w:r w:rsidRPr="00541C28">
        <w:lastRenderedPageBreak/>
        <w:t>RECOMENDACIONES</w:t>
      </w:r>
    </w:p>
    <w:p w14:paraId="4096F035" w14:textId="77777777" w:rsidR="00541C28" w:rsidRPr="00541C28" w:rsidRDefault="00541C28" w:rsidP="00541C28">
      <w:pPr>
        <w:spacing w:line="360" w:lineRule="auto"/>
        <w:rPr>
          <w:rFonts w:ascii="Calibri" w:hAnsi="Calibri" w:cs="Calibri"/>
          <w:sz w:val="24"/>
          <w:szCs w:val="24"/>
          <w:lang w:val="es-ES"/>
        </w:rPr>
      </w:pPr>
      <w:r w:rsidRPr="00541C28">
        <w:rPr>
          <w:rFonts w:ascii="Calibri" w:hAnsi="Calibri" w:cs="Calibri"/>
          <w:sz w:val="24"/>
          <w:szCs w:val="24"/>
          <w:lang w:val="es-ES"/>
        </w:rPr>
        <w:t>Con base en el análisis anterior, este Consejo Consultivo somete a consideración del Pleno del IFT:</w:t>
      </w:r>
    </w:p>
    <w:p w14:paraId="7989E536" w14:textId="77777777" w:rsidR="00541C28" w:rsidRPr="00541C28" w:rsidRDefault="00541C28" w:rsidP="00541C28">
      <w:pPr>
        <w:pStyle w:val="Prrafodelista"/>
        <w:numPr>
          <w:ilvl w:val="0"/>
          <w:numId w:val="13"/>
        </w:numPr>
        <w:spacing w:line="360" w:lineRule="auto"/>
        <w:jc w:val="both"/>
        <w:rPr>
          <w:rFonts w:ascii="Calibri" w:hAnsi="Calibri" w:cs="Calibri"/>
          <w:lang w:val="es-ES"/>
        </w:rPr>
      </w:pPr>
      <w:r w:rsidRPr="00541C28">
        <w:rPr>
          <w:rFonts w:ascii="Calibri" w:hAnsi="Calibri" w:cs="Calibri"/>
          <w:lang w:val="es-ES"/>
        </w:rPr>
        <w:t xml:space="preserve">Actualizar los dictámenes de suficiencia espectral en la franja fronteriza norte, a fin de conocer la situación actual en las localidades ubicadas en dicha franja y contar con más elementos para analizar el impacto de la posible regulación de la administración en los Estados Unidos de América en la modificación de dicha suficiencia. </w:t>
      </w:r>
    </w:p>
    <w:p w14:paraId="3A2B3F28" w14:textId="77777777" w:rsidR="00541C28" w:rsidRPr="00541C28" w:rsidRDefault="00541C28" w:rsidP="00541C28">
      <w:pPr>
        <w:pStyle w:val="Prrafodelista"/>
        <w:spacing w:line="360" w:lineRule="auto"/>
        <w:jc w:val="both"/>
        <w:rPr>
          <w:rFonts w:ascii="Calibri" w:hAnsi="Calibri" w:cs="Calibri"/>
          <w:lang w:val="es-ES"/>
        </w:rPr>
      </w:pPr>
    </w:p>
    <w:p w14:paraId="2822A2CC" w14:textId="77777777" w:rsidR="00541C28" w:rsidRPr="00CC058A" w:rsidRDefault="00541C28" w:rsidP="00541C28">
      <w:pPr>
        <w:pStyle w:val="Prrafodelista"/>
        <w:numPr>
          <w:ilvl w:val="0"/>
          <w:numId w:val="13"/>
        </w:numPr>
        <w:spacing w:line="360" w:lineRule="auto"/>
        <w:jc w:val="both"/>
        <w:rPr>
          <w:rFonts w:ascii="Calibri" w:hAnsi="Calibri" w:cs="Calibri"/>
          <w:lang w:val="es-ES"/>
        </w:rPr>
      </w:pPr>
      <w:r w:rsidRPr="00541C28">
        <w:rPr>
          <w:rFonts w:ascii="Calibri" w:hAnsi="Calibri" w:cs="Calibri"/>
          <w:lang w:val="es-ES"/>
        </w:rPr>
        <w:t>En el otorgamiento de las concesiones, favorecer las solicitudes de estaciones radiodifusoras de uso social cuya ocupación en la franja fronteriza es mínima (menor al 27% en los seis estados que conforman la frontera norte de México) y con énfasis en las poblaciones a menos de 92 km de la línea fronteriza</w:t>
      </w:r>
      <w:r w:rsidRPr="00541C28">
        <w:rPr>
          <w:rStyle w:val="Refdenotaalpie"/>
          <w:rFonts w:ascii="Calibri" w:hAnsi="Calibri" w:cs="Calibri"/>
          <w:lang w:val="es-ES"/>
        </w:rPr>
        <w:footnoteReference w:id="5"/>
      </w:r>
      <w:r w:rsidRPr="00541C28">
        <w:rPr>
          <w:rFonts w:ascii="Calibri" w:hAnsi="Calibri" w:cs="Calibri"/>
          <w:vertAlign w:val="superscript"/>
          <w:lang w:val="es-ES"/>
        </w:rPr>
        <w:t>,</w:t>
      </w:r>
      <w:r w:rsidRPr="00541C28">
        <w:rPr>
          <w:rStyle w:val="Refdenotaalpie"/>
          <w:rFonts w:ascii="Calibri" w:hAnsi="Calibri" w:cs="Calibri"/>
          <w:lang w:val="es-ES"/>
        </w:rPr>
        <w:footnoteReference w:id="6"/>
      </w:r>
    </w:p>
    <w:p w14:paraId="53CC279A" w14:textId="77777777" w:rsidR="00CC058A" w:rsidRDefault="00CC058A" w:rsidP="00CC058A">
      <w:pPr>
        <w:pStyle w:val="Cpotxt"/>
      </w:pPr>
    </w:p>
    <w:p w14:paraId="5A182153" w14:textId="77777777" w:rsidR="00CC058A" w:rsidRDefault="00CC058A" w:rsidP="00CC058A">
      <w:pPr>
        <w:pStyle w:val="Cpotxt"/>
      </w:pPr>
    </w:p>
    <w:p w14:paraId="6AC359F2" w14:textId="77777777" w:rsidR="00CC058A" w:rsidRDefault="00CC058A" w:rsidP="00CC058A">
      <w:pPr>
        <w:pStyle w:val="Cpotxt"/>
      </w:pPr>
    </w:p>
    <w:p w14:paraId="635E8F39" w14:textId="77777777" w:rsidR="00CC058A" w:rsidRDefault="00CC058A" w:rsidP="00CC058A">
      <w:pPr>
        <w:pStyle w:val="Cpotxt"/>
      </w:pPr>
    </w:p>
    <w:p w14:paraId="3DA976A4" w14:textId="77777777" w:rsidR="00CC058A" w:rsidRDefault="00CC058A" w:rsidP="00CC058A">
      <w:pPr>
        <w:pStyle w:val="Cpotxt"/>
      </w:pPr>
    </w:p>
    <w:p w14:paraId="293951DD" w14:textId="77777777" w:rsidR="00CC058A" w:rsidRDefault="00CC058A" w:rsidP="00CC058A">
      <w:pPr>
        <w:pStyle w:val="Cpotxt"/>
      </w:pPr>
    </w:p>
    <w:p w14:paraId="17064E6C" w14:textId="77777777" w:rsidR="00CC058A" w:rsidRDefault="00CC058A" w:rsidP="00CC058A">
      <w:pPr>
        <w:pStyle w:val="Cpotxt"/>
      </w:pPr>
    </w:p>
    <w:p w14:paraId="67FB557B" w14:textId="77777777" w:rsidR="00CC058A" w:rsidRDefault="00CC058A" w:rsidP="00CC058A">
      <w:pPr>
        <w:pStyle w:val="Cpotxt"/>
      </w:pPr>
    </w:p>
    <w:p w14:paraId="300B3E21" w14:textId="77777777" w:rsidR="00CC058A" w:rsidRDefault="00CC058A" w:rsidP="00CC058A">
      <w:pPr>
        <w:pStyle w:val="Cpotxt"/>
      </w:pPr>
    </w:p>
    <w:p w14:paraId="3A5B47CA" w14:textId="77777777" w:rsidR="00CC058A" w:rsidRDefault="00CC058A" w:rsidP="00CC058A">
      <w:pPr>
        <w:pStyle w:val="Cpotxt"/>
      </w:pPr>
    </w:p>
    <w:p w14:paraId="5ADDD504" w14:textId="77777777" w:rsidR="00CC058A" w:rsidRDefault="00CC058A" w:rsidP="00CC058A">
      <w:pPr>
        <w:pStyle w:val="Cpotxt"/>
      </w:pPr>
    </w:p>
    <w:p w14:paraId="0B41E2FB" w14:textId="77777777" w:rsidR="00CC058A" w:rsidRDefault="00CC058A" w:rsidP="00CC058A">
      <w:pPr>
        <w:pStyle w:val="Cpotxt"/>
      </w:pPr>
    </w:p>
    <w:p w14:paraId="79AD7991" w14:textId="77777777" w:rsidR="00CC058A" w:rsidRDefault="00CC058A" w:rsidP="00CC058A">
      <w:pPr>
        <w:pStyle w:val="Cpotxt"/>
      </w:pPr>
    </w:p>
    <w:p w14:paraId="0F1DAD55" w14:textId="77777777" w:rsidR="00CC058A" w:rsidRDefault="00CC058A" w:rsidP="00CC058A">
      <w:pPr>
        <w:pStyle w:val="Cpotxt"/>
      </w:pPr>
    </w:p>
    <w:p w14:paraId="008F60E3" w14:textId="77777777" w:rsidR="00541C28" w:rsidRPr="00CC058A" w:rsidRDefault="00541C28" w:rsidP="00CC058A">
      <w:pPr>
        <w:pStyle w:val="Cpotxt"/>
      </w:pPr>
      <w:r w:rsidRPr="00541C28">
        <w:lastRenderedPageBreak/>
        <w:t>REFERENCIAS</w:t>
      </w:r>
    </w:p>
    <w:p w14:paraId="17849120" w14:textId="77777777" w:rsidR="00541C28" w:rsidRPr="00541C28" w:rsidRDefault="00541C28" w:rsidP="00541C28">
      <w:pPr>
        <w:pStyle w:val="Prrafodelista"/>
        <w:numPr>
          <w:ilvl w:val="0"/>
          <w:numId w:val="12"/>
        </w:numPr>
        <w:spacing w:line="360" w:lineRule="auto"/>
        <w:jc w:val="both"/>
        <w:rPr>
          <w:rFonts w:ascii="Calibri" w:hAnsi="Calibri" w:cs="Calibri"/>
          <w:lang w:val="es-ES"/>
        </w:rPr>
      </w:pPr>
      <w:r w:rsidRPr="00541C28">
        <w:rPr>
          <w:rFonts w:ascii="Calibri" w:hAnsi="Calibri" w:cs="Calibri"/>
          <w:lang w:val="es-ES"/>
        </w:rPr>
        <w:t>Gobierno de México. Acuerdo entre el Gobierno de los Estados Unidos Mexicanos y el Gobierno de los Estados Unidos de América Relativo al Servicio de Radiodifusión en FM en la Banda De 88 A 108 MHz. México. 1992</w:t>
      </w:r>
    </w:p>
    <w:p w14:paraId="53C035FE" w14:textId="77777777" w:rsidR="00541C28" w:rsidRPr="00541C28" w:rsidRDefault="00541C28" w:rsidP="00541C28">
      <w:pPr>
        <w:spacing w:line="360" w:lineRule="auto"/>
        <w:rPr>
          <w:rFonts w:ascii="Calibri" w:hAnsi="Calibri" w:cs="Calibri"/>
          <w:sz w:val="24"/>
          <w:szCs w:val="24"/>
          <w:lang w:val="es-ES"/>
        </w:rPr>
      </w:pPr>
    </w:p>
    <w:p w14:paraId="0FE42D8D" w14:textId="77777777" w:rsidR="00541C28" w:rsidRPr="00541C28" w:rsidRDefault="00541C28" w:rsidP="00541C28">
      <w:pPr>
        <w:pStyle w:val="Prrafodelista"/>
        <w:numPr>
          <w:ilvl w:val="0"/>
          <w:numId w:val="12"/>
        </w:numPr>
        <w:spacing w:line="360" w:lineRule="auto"/>
        <w:jc w:val="both"/>
        <w:rPr>
          <w:rFonts w:ascii="Calibri" w:hAnsi="Calibri" w:cs="Calibri"/>
        </w:rPr>
      </w:pPr>
      <w:r w:rsidRPr="00541C28">
        <w:rPr>
          <w:rFonts w:ascii="Calibri" w:hAnsi="Calibri" w:cs="Calibri"/>
        </w:rPr>
        <w:t>FCC. Fact Sheet. “Updating Broadcast Radio Technical Rules Notice of Proposed Rulemaking – MB Docket No. 21-263”. EE.UU. 2021</w:t>
      </w:r>
    </w:p>
    <w:p w14:paraId="3FB434F7" w14:textId="77777777" w:rsidR="00541C28" w:rsidRPr="00541C28" w:rsidRDefault="00541C28" w:rsidP="00541C28">
      <w:pPr>
        <w:spacing w:line="360" w:lineRule="auto"/>
        <w:rPr>
          <w:rFonts w:ascii="Calibri" w:hAnsi="Calibri" w:cs="Calibri"/>
          <w:sz w:val="24"/>
          <w:szCs w:val="24"/>
        </w:rPr>
      </w:pPr>
    </w:p>
    <w:p w14:paraId="7F60D127" w14:textId="77777777" w:rsidR="00541C28" w:rsidRPr="00541C28" w:rsidRDefault="00541C28" w:rsidP="00541C28">
      <w:pPr>
        <w:pStyle w:val="Prrafodelista"/>
        <w:numPr>
          <w:ilvl w:val="0"/>
          <w:numId w:val="12"/>
        </w:numPr>
        <w:spacing w:line="360" w:lineRule="auto"/>
        <w:jc w:val="both"/>
        <w:rPr>
          <w:rFonts w:ascii="Calibri" w:hAnsi="Calibri" w:cs="Calibri"/>
          <w:lang w:val="es-ES"/>
        </w:rPr>
      </w:pPr>
      <w:r w:rsidRPr="00541C28">
        <w:rPr>
          <w:rFonts w:ascii="Calibri" w:hAnsi="Calibri" w:cs="Calibri"/>
          <w:lang w:val="es-ES"/>
        </w:rPr>
        <w:t>IFT. “Disposición Técnica IFT-002-2016, Especificaciones y requerimientos para la instalación y operación de las estaciones de radiodifusión sonora en frecuencia modulada en la banda de 88 MHz a 108 MHz”. México. 2016</w:t>
      </w:r>
    </w:p>
    <w:p w14:paraId="4044B4D0" w14:textId="77777777" w:rsidR="00541C28" w:rsidRPr="00541C28" w:rsidRDefault="00541C28" w:rsidP="00541C28">
      <w:pPr>
        <w:pStyle w:val="Prrafodelista"/>
        <w:spacing w:line="360" w:lineRule="auto"/>
        <w:jc w:val="both"/>
        <w:rPr>
          <w:rFonts w:ascii="Calibri" w:hAnsi="Calibri" w:cs="Calibri"/>
          <w:lang w:val="es-ES"/>
        </w:rPr>
      </w:pPr>
    </w:p>
    <w:p w14:paraId="26D95BEB" w14:textId="77777777" w:rsidR="00541C28" w:rsidRDefault="00541C28" w:rsidP="00541C28">
      <w:pPr>
        <w:pStyle w:val="Prrafodelista"/>
        <w:numPr>
          <w:ilvl w:val="0"/>
          <w:numId w:val="12"/>
        </w:numPr>
        <w:spacing w:line="360" w:lineRule="auto"/>
        <w:jc w:val="both"/>
        <w:rPr>
          <w:rFonts w:ascii="Calibri" w:hAnsi="Calibri" w:cs="Calibri"/>
          <w:lang w:val="es-ES"/>
        </w:rPr>
      </w:pPr>
      <w:r w:rsidRPr="00541C28">
        <w:rPr>
          <w:rFonts w:ascii="Calibri" w:hAnsi="Calibri" w:cs="Calibri"/>
          <w:lang w:val="es-ES"/>
        </w:rPr>
        <w:t>IFT. “Análisis Técnico de Disponibilidad Espectral en Localidades”. Comunicación IFT/222/UER/DG-IEET/1869/2016. UER. México. 2016</w:t>
      </w:r>
    </w:p>
    <w:p w14:paraId="7BA7FD5D" w14:textId="77777777" w:rsidR="004D33BC" w:rsidRDefault="004D33BC" w:rsidP="004D33BC">
      <w:pPr>
        <w:spacing w:line="360" w:lineRule="auto"/>
        <w:rPr>
          <w:rFonts w:asciiTheme="minorHAnsi" w:hAnsiTheme="minorHAnsi" w:cstheme="minorHAnsi"/>
          <w:sz w:val="24"/>
          <w:szCs w:val="24"/>
        </w:rPr>
      </w:pPr>
    </w:p>
    <w:p w14:paraId="76AFE56C" w14:textId="77777777" w:rsidR="004D33BC" w:rsidRPr="004D33BC" w:rsidRDefault="004D33BC" w:rsidP="004D33BC">
      <w:pPr>
        <w:spacing w:after="0" w:line="360" w:lineRule="auto"/>
        <w:jc w:val="center"/>
        <w:rPr>
          <w:rFonts w:ascii="Calibri" w:hAnsi="Calibri" w:cs="Calibri"/>
          <w:sz w:val="24"/>
          <w:szCs w:val="24"/>
        </w:rPr>
      </w:pPr>
      <w:r w:rsidRPr="004D33BC">
        <w:rPr>
          <w:rFonts w:ascii="Calibri" w:hAnsi="Calibri" w:cs="Calibri"/>
          <w:sz w:val="24"/>
          <w:szCs w:val="24"/>
        </w:rPr>
        <w:t>Dr. Luis Miguel Martínez Cervantes</w:t>
      </w:r>
    </w:p>
    <w:p w14:paraId="55015E30" w14:textId="77777777" w:rsidR="004D33BC" w:rsidRPr="004D33BC" w:rsidRDefault="004D33BC" w:rsidP="004D33BC">
      <w:pPr>
        <w:spacing w:after="0" w:line="360" w:lineRule="auto"/>
        <w:jc w:val="center"/>
        <w:rPr>
          <w:rFonts w:ascii="Calibri" w:hAnsi="Calibri" w:cs="Calibri"/>
          <w:sz w:val="24"/>
          <w:szCs w:val="24"/>
        </w:rPr>
      </w:pPr>
      <w:r w:rsidRPr="004D33BC">
        <w:rPr>
          <w:rFonts w:ascii="Calibri" w:hAnsi="Calibri" w:cs="Calibri"/>
          <w:sz w:val="24"/>
          <w:szCs w:val="24"/>
        </w:rPr>
        <w:t>Presidente</w:t>
      </w:r>
    </w:p>
    <w:p w14:paraId="30873E51" w14:textId="77777777" w:rsidR="004D33BC" w:rsidRPr="004D33BC" w:rsidRDefault="004D33BC" w:rsidP="004D33BC">
      <w:pPr>
        <w:spacing w:after="0" w:line="360" w:lineRule="auto"/>
        <w:rPr>
          <w:rFonts w:asciiTheme="minorHAnsi" w:hAnsiTheme="minorHAnsi" w:cstheme="minorHAnsi"/>
          <w:sz w:val="24"/>
          <w:szCs w:val="24"/>
        </w:rPr>
      </w:pPr>
    </w:p>
    <w:p w14:paraId="4F6E6BF6" w14:textId="77777777" w:rsidR="004D33BC" w:rsidRPr="004D33BC" w:rsidRDefault="004D33BC" w:rsidP="004D33BC">
      <w:pPr>
        <w:spacing w:after="0" w:line="360" w:lineRule="auto"/>
        <w:rPr>
          <w:rFonts w:asciiTheme="minorHAnsi" w:hAnsiTheme="minorHAnsi" w:cstheme="minorHAnsi"/>
          <w:sz w:val="24"/>
          <w:szCs w:val="24"/>
        </w:rPr>
      </w:pPr>
    </w:p>
    <w:p w14:paraId="5A30A198" w14:textId="77777777" w:rsidR="004D33BC" w:rsidRPr="004D33BC" w:rsidRDefault="004D33BC" w:rsidP="004D33BC">
      <w:pPr>
        <w:spacing w:after="0" w:line="360" w:lineRule="auto"/>
        <w:rPr>
          <w:rFonts w:asciiTheme="minorHAnsi" w:hAnsiTheme="minorHAnsi" w:cstheme="minorHAnsi"/>
          <w:sz w:val="24"/>
          <w:szCs w:val="24"/>
        </w:rPr>
      </w:pPr>
    </w:p>
    <w:p w14:paraId="16B42D45" w14:textId="77777777" w:rsidR="004D33BC" w:rsidRPr="004D33BC" w:rsidRDefault="004D33BC" w:rsidP="004D33BC">
      <w:pPr>
        <w:spacing w:after="0" w:line="360" w:lineRule="auto"/>
        <w:jc w:val="center"/>
        <w:rPr>
          <w:rFonts w:asciiTheme="minorHAnsi" w:hAnsiTheme="minorHAnsi" w:cstheme="minorHAnsi"/>
          <w:sz w:val="24"/>
          <w:szCs w:val="24"/>
        </w:rPr>
      </w:pPr>
      <w:r w:rsidRPr="004D33BC">
        <w:rPr>
          <w:rFonts w:asciiTheme="minorHAnsi" w:hAnsiTheme="minorHAnsi" w:cstheme="minorHAnsi"/>
          <w:sz w:val="24"/>
          <w:szCs w:val="24"/>
        </w:rPr>
        <w:t>Mtra. Rebeca Escobar Briones</w:t>
      </w:r>
    </w:p>
    <w:p w14:paraId="19397CDF" w14:textId="77777777" w:rsidR="004D33BC" w:rsidRPr="004D33BC" w:rsidRDefault="004D33BC" w:rsidP="004D33BC">
      <w:pPr>
        <w:spacing w:after="0" w:line="360" w:lineRule="auto"/>
        <w:jc w:val="center"/>
        <w:rPr>
          <w:rFonts w:asciiTheme="minorHAnsi" w:hAnsiTheme="minorHAnsi" w:cstheme="minorHAnsi"/>
          <w:sz w:val="24"/>
          <w:szCs w:val="24"/>
        </w:rPr>
      </w:pPr>
      <w:r w:rsidRPr="004D33BC">
        <w:rPr>
          <w:rFonts w:asciiTheme="minorHAnsi" w:hAnsiTheme="minorHAnsi" w:cstheme="minorHAnsi"/>
          <w:sz w:val="24"/>
          <w:szCs w:val="24"/>
        </w:rPr>
        <w:t>Secretaria del Consejo Consultivo</w:t>
      </w:r>
    </w:p>
    <w:p w14:paraId="4D783175" w14:textId="77777777" w:rsidR="000F7EB4" w:rsidRDefault="000F7EB4" w:rsidP="004D33BC">
      <w:pPr>
        <w:spacing w:after="0" w:line="240" w:lineRule="auto"/>
        <w:rPr>
          <w:rFonts w:asciiTheme="minorHAnsi" w:hAnsiTheme="minorHAnsi" w:cstheme="minorHAnsi"/>
        </w:rPr>
      </w:pPr>
    </w:p>
    <w:p w14:paraId="170E230F" w14:textId="77777777" w:rsidR="004D33BC" w:rsidRPr="0069187D" w:rsidRDefault="004D33BC" w:rsidP="004D33BC">
      <w:pPr>
        <w:spacing w:after="0" w:line="240" w:lineRule="auto"/>
        <w:rPr>
          <w:rFonts w:asciiTheme="minorHAnsi" w:hAnsiTheme="minorHAnsi" w:cstheme="minorHAnsi"/>
        </w:rPr>
      </w:pPr>
      <w:r w:rsidRPr="0069187D">
        <w:rPr>
          <w:rFonts w:asciiTheme="minorHAnsi" w:hAnsiTheme="minorHAnsi" w:cstheme="minorHAnsi"/>
        </w:rPr>
        <w:t xml:space="preserve">La Recomendación fue aprobada por unanimidad por el VI Consejo Consultivo del Instituto Federal de Telecomunicaciones el </w:t>
      </w:r>
      <w:r w:rsidR="0069187D" w:rsidRPr="0069187D">
        <w:rPr>
          <w:rFonts w:asciiTheme="minorHAnsi" w:hAnsiTheme="minorHAnsi" w:cstheme="minorHAnsi"/>
        </w:rPr>
        <w:t>13</w:t>
      </w:r>
      <w:r w:rsidRPr="0069187D">
        <w:rPr>
          <w:rFonts w:asciiTheme="minorHAnsi" w:hAnsiTheme="minorHAnsi" w:cstheme="minorHAnsi"/>
        </w:rPr>
        <w:t xml:space="preserve"> de </w:t>
      </w:r>
      <w:r w:rsidR="0069187D" w:rsidRPr="0069187D">
        <w:rPr>
          <w:rFonts w:asciiTheme="minorHAnsi" w:hAnsiTheme="minorHAnsi" w:cstheme="minorHAnsi"/>
        </w:rPr>
        <w:t xml:space="preserve">enero </w:t>
      </w:r>
      <w:r w:rsidRPr="0069187D">
        <w:rPr>
          <w:rFonts w:asciiTheme="minorHAnsi" w:hAnsiTheme="minorHAnsi" w:cstheme="minorHAnsi"/>
        </w:rPr>
        <w:t>de 202</w:t>
      </w:r>
      <w:r w:rsidR="0069187D" w:rsidRPr="0069187D">
        <w:rPr>
          <w:rFonts w:asciiTheme="minorHAnsi" w:hAnsiTheme="minorHAnsi" w:cstheme="minorHAnsi"/>
        </w:rPr>
        <w:t>2</w:t>
      </w:r>
      <w:r w:rsidRPr="0069187D">
        <w:rPr>
          <w:rFonts w:asciiTheme="minorHAnsi" w:hAnsiTheme="minorHAnsi" w:cstheme="minorHAnsi"/>
        </w:rPr>
        <w:t xml:space="preserve"> y votada en términos del artículo 17 último párrafo, con los votos de los consejeros presentes, Alejandro Ildefonso Castañeda Sabido, Sara Gabriela Castellanos Pascacio, Ernesto M. Flores-Roux, Gerardo Francisco González Abarca, Salma Leticia Jalife Villalón, Luis Miguel Martínez Cervantes,</w:t>
      </w:r>
      <w:r w:rsidR="0069187D" w:rsidRPr="0069187D">
        <w:rPr>
          <w:rFonts w:asciiTheme="minorHAnsi" w:hAnsiTheme="minorHAnsi" w:cstheme="minorHAnsi"/>
        </w:rPr>
        <w:t xml:space="preserve"> Jorge Fernando Negrete Pacheco,</w:t>
      </w:r>
      <w:r w:rsidRPr="0069187D">
        <w:rPr>
          <w:rFonts w:asciiTheme="minorHAnsi" w:hAnsiTheme="minorHAnsi" w:cstheme="minorHAnsi"/>
        </w:rPr>
        <w:t xml:space="preserve"> Lucía Ojeda Cárdenas, Eurídice Palma Salas,</w:t>
      </w:r>
      <w:r w:rsidR="0069187D" w:rsidRPr="0069187D">
        <w:rPr>
          <w:rFonts w:asciiTheme="minorHAnsi" w:hAnsiTheme="minorHAnsi" w:cstheme="minorHAnsi"/>
        </w:rPr>
        <w:t xml:space="preserve"> Víctor Rangel Licea, </w:t>
      </w:r>
      <w:r w:rsidRPr="0069187D">
        <w:rPr>
          <w:rFonts w:asciiTheme="minorHAnsi" w:hAnsiTheme="minorHAnsi" w:cstheme="minorHAnsi"/>
        </w:rPr>
        <w:t>Cynthia Gabriela Solís Arredondo</w:t>
      </w:r>
      <w:r w:rsidR="0069187D" w:rsidRPr="0069187D">
        <w:rPr>
          <w:rFonts w:asciiTheme="minorHAnsi" w:hAnsiTheme="minorHAnsi" w:cstheme="minorHAnsi"/>
        </w:rPr>
        <w:t>, y Martha Irene Soria Guzmán</w:t>
      </w:r>
      <w:r w:rsidRPr="0069187D">
        <w:rPr>
          <w:rFonts w:asciiTheme="minorHAnsi" w:hAnsiTheme="minorHAnsi" w:cstheme="minorHAnsi"/>
        </w:rPr>
        <w:t>; mediante Acuerdo CC/IFT/</w:t>
      </w:r>
      <w:r w:rsidR="00D05062">
        <w:rPr>
          <w:rFonts w:asciiTheme="minorHAnsi" w:hAnsiTheme="minorHAnsi" w:cstheme="minorHAnsi"/>
        </w:rPr>
        <w:t>130122</w:t>
      </w:r>
      <w:r w:rsidRPr="0069187D">
        <w:rPr>
          <w:rFonts w:asciiTheme="minorHAnsi" w:hAnsiTheme="minorHAnsi" w:cstheme="minorHAnsi"/>
        </w:rPr>
        <w:t>/</w:t>
      </w:r>
      <w:r w:rsidR="00D05062">
        <w:rPr>
          <w:rFonts w:asciiTheme="minorHAnsi" w:hAnsiTheme="minorHAnsi" w:cstheme="minorHAnsi"/>
        </w:rPr>
        <w:t>12</w:t>
      </w:r>
      <w:r w:rsidRPr="0069187D">
        <w:rPr>
          <w:rFonts w:asciiTheme="minorHAnsi" w:hAnsiTheme="minorHAnsi" w:cstheme="minorHAnsi"/>
        </w:rPr>
        <w:t xml:space="preserve">, de fecha </w:t>
      </w:r>
      <w:r w:rsidR="00D05062">
        <w:rPr>
          <w:rFonts w:asciiTheme="minorHAnsi" w:hAnsiTheme="minorHAnsi" w:cstheme="minorHAnsi"/>
        </w:rPr>
        <w:t>13 de enero de 2022</w:t>
      </w:r>
      <w:r w:rsidRPr="0069187D">
        <w:rPr>
          <w:rFonts w:asciiTheme="minorHAnsi" w:hAnsiTheme="minorHAnsi" w:cstheme="minorHAnsi"/>
        </w:rPr>
        <w:t>.</w:t>
      </w:r>
    </w:p>
    <w:p w14:paraId="1463A9DA" w14:textId="77777777" w:rsidR="00541C28" w:rsidRPr="0010328A" w:rsidRDefault="00541C28" w:rsidP="0010328A">
      <w:pPr>
        <w:spacing w:line="360" w:lineRule="auto"/>
        <w:rPr>
          <w:rFonts w:ascii="Calibri" w:hAnsi="Calibri" w:cs="Calibri"/>
          <w:sz w:val="24"/>
          <w:szCs w:val="24"/>
          <w:lang w:val="es-ES"/>
        </w:rPr>
      </w:pPr>
      <w:r w:rsidRPr="00541C28">
        <w:rPr>
          <w:rFonts w:ascii="Calibri" w:hAnsi="Calibri" w:cs="Calibri"/>
          <w:sz w:val="24"/>
          <w:szCs w:val="24"/>
          <w:lang w:val="es-ES"/>
        </w:rPr>
        <w:br w:type="page"/>
      </w:r>
    </w:p>
    <w:p w14:paraId="4E77DAE6" w14:textId="77777777" w:rsidR="00541C28" w:rsidRPr="00541C28" w:rsidRDefault="00541C28" w:rsidP="00CC058A">
      <w:pPr>
        <w:pStyle w:val="Cpotxt"/>
      </w:pPr>
      <w:r w:rsidRPr="00541C28">
        <w:lastRenderedPageBreak/>
        <w:t>Anexo</w:t>
      </w:r>
    </w:p>
    <w:p w14:paraId="67158710" w14:textId="77777777" w:rsidR="00541C28" w:rsidRPr="00541C28" w:rsidRDefault="00541C28" w:rsidP="00541C28">
      <w:pPr>
        <w:pStyle w:val="Prrafodelista"/>
        <w:spacing w:line="360" w:lineRule="auto"/>
        <w:jc w:val="both"/>
        <w:rPr>
          <w:rFonts w:ascii="Calibri" w:hAnsi="Calibri" w:cs="Calibri"/>
          <w:lang w:val="es-ES"/>
        </w:rPr>
      </w:pPr>
    </w:p>
    <w:p w14:paraId="3FEB6507" w14:textId="77777777" w:rsidR="00541C28" w:rsidRPr="00541C28" w:rsidRDefault="00541C28" w:rsidP="00541C28">
      <w:pPr>
        <w:pStyle w:val="Prrafodelista"/>
        <w:spacing w:line="360" w:lineRule="auto"/>
        <w:jc w:val="both"/>
        <w:rPr>
          <w:rFonts w:ascii="Calibri" w:hAnsi="Calibri" w:cs="Calibri"/>
          <w:lang w:val="es-ES"/>
        </w:rPr>
      </w:pPr>
      <w:r w:rsidRPr="00541C28">
        <w:rPr>
          <w:rFonts w:ascii="Calibri" w:hAnsi="Calibri" w:cs="Calibri"/>
          <w:noProof/>
          <w:lang w:val="es-ES"/>
        </w:rPr>
        <w:drawing>
          <wp:inline distT="0" distB="0" distL="0" distR="0" wp14:anchorId="06C6B05E" wp14:editId="0F68CC0F">
            <wp:extent cx="5943600" cy="3918585"/>
            <wp:effectExtent l="0" t="0" r="0" b="571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918585"/>
                    </a:xfrm>
                    <a:prstGeom prst="rect">
                      <a:avLst/>
                    </a:prstGeom>
                  </pic:spPr>
                </pic:pic>
              </a:graphicData>
            </a:graphic>
          </wp:inline>
        </w:drawing>
      </w:r>
    </w:p>
    <w:p w14:paraId="448F8CD1" w14:textId="77777777" w:rsidR="00731508" w:rsidRPr="00541C28" w:rsidRDefault="00731508" w:rsidP="00541C28">
      <w:pPr>
        <w:spacing w:line="360" w:lineRule="auto"/>
        <w:rPr>
          <w:rFonts w:ascii="Calibri" w:hAnsi="Calibri" w:cs="Calibri"/>
          <w:sz w:val="24"/>
          <w:szCs w:val="24"/>
        </w:rPr>
      </w:pPr>
    </w:p>
    <w:sectPr w:rsidR="00731508" w:rsidRPr="00541C28" w:rsidSect="0068060B">
      <w:headerReference w:type="even" r:id="rId13"/>
      <w:headerReference w:type="default" r:id="rId14"/>
      <w:footerReference w:type="default" r:id="rId15"/>
      <w:headerReference w:type="first" r:id="rId16"/>
      <w:footerReference w:type="first" r:id="rId17"/>
      <w:pgSz w:w="12240" w:h="15840" w:code="1"/>
      <w:pgMar w:top="1701" w:right="1134" w:bottom="1134" w:left="1134"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6B1BC" w14:textId="77777777" w:rsidR="00296A76" w:rsidRDefault="00296A76" w:rsidP="0068060B">
      <w:pPr>
        <w:spacing w:after="0" w:line="240" w:lineRule="auto"/>
      </w:pPr>
      <w:r>
        <w:separator/>
      </w:r>
    </w:p>
  </w:endnote>
  <w:endnote w:type="continuationSeparator" w:id="0">
    <w:p w14:paraId="55219F04" w14:textId="77777777" w:rsidR="00296A76" w:rsidRDefault="00296A76" w:rsidP="0068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F11C6" w14:textId="77777777" w:rsidR="0010328A" w:rsidRPr="0010328A" w:rsidRDefault="0010328A">
    <w:pPr>
      <w:tabs>
        <w:tab w:val="center" w:pos="4550"/>
        <w:tab w:val="left" w:pos="5818"/>
      </w:tabs>
      <w:ind w:right="260"/>
      <w:jc w:val="right"/>
      <w:rPr>
        <w:rFonts w:ascii="Calibri" w:hAnsi="Calibri" w:cs="Calibri"/>
        <w:sz w:val="16"/>
        <w:szCs w:val="16"/>
      </w:rPr>
    </w:pPr>
    <w:r w:rsidRPr="0010328A">
      <w:rPr>
        <w:rFonts w:ascii="Calibri" w:hAnsi="Calibri" w:cs="Calibri"/>
        <w:spacing w:val="60"/>
        <w:sz w:val="16"/>
        <w:szCs w:val="16"/>
        <w:lang w:val="es-ES"/>
      </w:rPr>
      <w:t>Página</w:t>
    </w:r>
    <w:r w:rsidRPr="0010328A">
      <w:rPr>
        <w:rFonts w:ascii="Calibri" w:hAnsi="Calibri" w:cs="Calibri"/>
        <w:sz w:val="16"/>
        <w:szCs w:val="16"/>
        <w:lang w:val="es-ES"/>
      </w:rPr>
      <w:t xml:space="preserve"> </w:t>
    </w:r>
    <w:r w:rsidRPr="0010328A">
      <w:rPr>
        <w:rFonts w:ascii="Calibri" w:hAnsi="Calibri" w:cs="Calibri"/>
        <w:sz w:val="16"/>
        <w:szCs w:val="16"/>
      </w:rPr>
      <w:fldChar w:fldCharType="begin"/>
    </w:r>
    <w:r w:rsidRPr="0010328A">
      <w:rPr>
        <w:rFonts w:ascii="Calibri" w:hAnsi="Calibri" w:cs="Calibri"/>
        <w:sz w:val="16"/>
        <w:szCs w:val="16"/>
      </w:rPr>
      <w:instrText>PAGE   \* MERGEFORMAT</w:instrText>
    </w:r>
    <w:r w:rsidRPr="0010328A">
      <w:rPr>
        <w:rFonts w:ascii="Calibri" w:hAnsi="Calibri" w:cs="Calibri"/>
        <w:sz w:val="16"/>
        <w:szCs w:val="16"/>
      </w:rPr>
      <w:fldChar w:fldCharType="separate"/>
    </w:r>
    <w:r w:rsidRPr="0010328A">
      <w:rPr>
        <w:rFonts w:ascii="Calibri" w:hAnsi="Calibri" w:cs="Calibri"/>
        <w:sz w:val="16"/>
        <w:szCs w:val="16"/>
        <w:lang w:val="es-ES"/>
      </w:rPr>
      <w:t>1</w:t>
    </w:r>
    <w:r w:rsidRPr="0010328A">
      <w:rPr>
        <w:rFonts w:ascii="Calibri" w:hAnsi="Calibri" w:cs="Calibri"/>
        <w:sz w:val="16"/>
        <w:szCs w:val="16"/>
      </w:rPr>
      <w:fldChar w:fldCharType="end"/>
    </w:r>
    <w:r w:rsidRPr="0010328A">
      <w:rPr>
        <w:rFonts w:ascii="Calibri" w:hAnsi="Calibri" w:cs="Calibri"/>
        <w:sz w:val="16"/>
        <w:szCs w:val="16"/>
        <w:lang w:val="es-ES"/>
      </w:rPr>
      <w:t xml:space="preserve"> | </w:t>
    </w:r>
    <w:r w:rsidRPr="0010328A">
      <w:rPr>
        <w:rFonts w:ascii="Calibri" w:hAnsi="Calibri" w:cs="Calibri"/>
        <w:sz w:val="16"/>
        <w:szCs w:val="16"/>
      </w:rPr>
      <w:fldChar w:fldCharType="begin"/>
    </w:r>
    <w:r w:rsidRPr="0010328A">
      <w:rPr>
        <w:rFonts w:ascii="Calibri" w:hAnsi="Calibri" w:cs="Calibri"/>
        <w:sz w:val="16"/>
        <w:szCs w:val="16"/>
      </w:rPr>
      <w:instrText>NUMPAGES  \* Arabic  \* MERGEFORMAT</w:instrText>
    </w:r>
    <w:r w:rsidRPr="0010328A">
      <w:rPr>
        <w:rFonts w:ascii="Calibri" w:hAnsi="Calibri" w:cs="Calibri"/>
        <w:sz w:val="16"/>
        <w:szCs w:val="16"/>
      </w:rPr>
      <w:fldChar w:fldCharType="separate"/>
    </w:r>
    <w:r w:rsidRPr="0010328A">
      <w:rPr>
        <w:rFonts w:ascii="Calibri" w:hAnsi="Calibri" w:cs="Calibri"/>
        <w:sz w:val="16"/>
        <w:szCs w:val="16"/>
        <w:lang w:val="es-ES"/>
      </w:rPr>
      <w:t>1</w:t>
    </w:r>
    <w:r w:rsidRPr="0010328A">
      <w:rPr>
        <w:rFonts w:ascii="Calibri" w:hAnsi="Calibri" w:cs="Calibri"/>
        <w:sz w:val="16"/>
        <w:szCs w:val="16"/>
      </w:rPr>
      <w:fldChar w:fldCharType="end"/>
    </w:r>
  </w:p>
  <w:p w14:paraId="2149AECD" w14:textId="77777777" w:rsidR="0010328A" w:rsidRDefault="001032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FEDF9" w14:textId="77777777" w:rsidR="0010328A" w:rsidRPr="0010328A" w:rsidRDefault="0010328A">
    <w:pPr>
      <w:tabs>
        <w:tab w:val="center" w:pos="4550"/>
        <w:tab w:val="left" w:pos="5818"/>
      </w:tabs>
      <w:ind w:right="260"/>
      <w:jc w:val="right"/>
      <w:rPr>
        <w:rFonts w:ascii="Calibri" w:hAnsi="Calibri" w:cs="Calibri"/>
        <w:sz w:val="16"/>
        <w:szCs w:val="16"/>
      </w:rPr>
    </w:pPr>
    <w:r w:rsidRPr="0010328A">
      <w:rPr>
        <w:rFonts w:ascii="Calibri" w:hAnsi="Calibri" w:cs="Calibri"/>
        <w:spacing w:val="60"/>
        <w:sz w:val="16"/>
        <w:szCs w:val="16"/>
        <w:lang w:val="es-ES"/>
      </w:rPr>
      <w:t>Página</w:t>
    </w:r>
    <w:r w:rsidRPr="0010328A">
      <w:rPr>
        <w:rFonts w:ascii="Calibri" w:hAnsi="Calibri" w:cs="Calibri"/>
        <w:sz w:val="16"/>
        <w:szCs w:val="16"/>
        <w:lang w:val="es-ES"/>
      </w:rPr>
      <w:t xml:space="preserve"> </w:t>
    </w:r>
    <w:r w:rsidRPr="0010328A">
      <w:rPr>
        <w:rFonts w:ascii="Calibri" w:hAnsi="Calibri" w:cs="Calibri"/>
        <w:sz w:val="16"/>
        <w:szCs w:val="16"/>
      </w:rPr>
      <w:fldChar w:fldCharType="begin"/>
    </w:r>
    <w:r w:rsidRPr="0010328A">
      <w:rPr>
        <w:rFonts w:ascii="Calibri" w:hAnsi="Calibri" w:cs="Calibri"/>
        <w:sz w:val="16"/>
        <w:szCs w:val="16"/>
      </w:rPr>
      <w:instrText>PAGE   \* MERGEFORMAT</w:instrText>
    </w:r>
    <w:r w:rsidRPr="0010328A">
      <w:rPr>
        <w:rFonts w:ascii="Calibri" w:hAnsi="Calibri" w:cs="Calibri"/>
        <w:sz w:val="16"/>
        <w:szCs w:val="16"/>
      </w:rPr>
      <w:fldChar w:fldCharType="separate"/>
    </w:r>
    <w:r w:rsidRPr="0010328A">
      <w:rPr>
        <w:rFonts w:ascii="Calibri" w:hAnsi="Calibri" w:cs="Calibri"/>
        <w:sz w:val="16"/>
        <w:szCs w:val="16"/>
        <w:lang w:val="es-ES"/>
      </w:rPr>
      <w:t>1</w:t>
    </w:r>
    <w:r w:rsidRPr="0010328A">
      <w:rPr>
        <w:rFonts w:ascii="Calibri" w:hAnsi="Calibri" w:cs="Calibri"/>
        <w:sz w:val="16"/>
        <w:szCs w:val="16"/>
      </w:rPr>
      <w:fldChar w:fldCharType="end"/>
    </w:r>
    <w:r w:rsidRPr="0010328A">
      <w:rPr>
        <w:rFonts w:ascii="Calibri" w:hAnsi="Calibri" w:cs="Calibri"/>
        <w:sz w:val="16"/>
        <w:szCs w:val="16"/>
        <w:lang w:val="es-ES"/>
      </w:rPr>
      <w:t xml:space="preserve"> | </w:t>
    </w:r>
    <w:r w:rsidRPr="0010328A">
      <w:rPr>
        <w:rFonts w:ascii="Calibri" w:hAnsi="Calibri" w:cs="Calibri"/>
        <w:sz w:val="16"/>
        <w:szCs w:val="16"/>
      </w:rPr>
      <w:fldChar w:fldCharType="begin"/>
    </w:r>
    <w:r w:rsidRPr="0010328A">
      <w:rPr>
        <w:rFonts w:ascii="Calibri" w:hAnsi="Calibri" w:cs="Calibri"/>
        <w:sz w:val="16"/>
        <w:szCs w:val="16"/>
      </w:rPr>
      <w:instrText>NUMPAGES  \* Arabic  \* MERGEFORMAT</w:instrText>
    </w:r>
    <w:r w:rsidRPr="0010328A">
      <w:rPr>
        <w:rFonts w:ascii="Calibri" w:hAnsi="Calibri" w:cs="Calibri"/>
        <w:sz w:val="16"/>
        <w:szCs w:val="16"/>
      </w:rPr>
      <w:fldChar w:fldCharType="separate"/>
    </w:r>
    <w:r w:rsidRPr="0010328A">
      <w:rPr>
        <w:rFonts w:ascii="Calibri" w:hAnsi="Calibri" w:cs="Calibri"/>
        <w:sz w:val="16"/>
        <w:szCs w:val="16"/>
        <w:lang w:val="es-ES"/>
      </w:rPr>
      <w:t>1</w:t>
    </w:r>
    <w:r w:rsidRPr="0010328A">
      <w:rPr>
        <w:rFonts w:ascii="Calibri" w:hAnsi="Calibri" w:cs="Calibri"/>
        <w:sz w:val="16"/>
        <w:szCs w:val="16"/>
      </w:rPr>
      <w:fldChar w:fldCharType="end"/>
    </w:r>
  </w:p>
  <w:p w14:paraId="5799477E" w14:textId="77777777" w:rsidR="0010328A" w:rsidRDefault="001032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1BCD5" w14:textId="77777777" w:rsidR="00296A76" w:rsidRDefault="00296A76" w:rsidP="0068060B">
      <w:pPr>
        <w:spacing w:after="0" w:line="240" w:lineRule="auto"/>
      </w:pPr>
      <w:r>
        <w:separator/>
      </w:r>
    </w:p>
  </w:footnote>
  <w:footnote w:type="continuationSeparator" w:id="0">
    <w:p w14:paraId="045B4853" w14:textId="77777777" w:rsidR="00296A76" w:rsidRDefault="00296A76" w:rsidP="0068060B">
      <w:pPr>
        <w:spacing w:after="0" w:line="240" w:lineRule="auto"/>
      </w:pPr>
      <w:r>
        <w:continuationSeparator/>
      </w:r>
    </w:p>
  </w:footnote>
  <w:footnote w:id="1">
    <w:p w14:paraId="337E6378" w14:textId="77777777" w:rsidR="00541C28" w:rsidRPr="00461895" w:rsidRDefault="00541C28" w:rsidP="00461895">
      <w:pPr>
        <w:pStyle w:val="Textonotapie"/>
        <w:jc w:val="both"/>
        <w:rPr>
          <w:rFonts w:cstheme="minorHAnsi"/>
          <w:sz w:val="16"/>
          <w:vertAlign w:val="superscript"/>
          <w:lang w:val="es-ES"/>
        </w:rPr>
      </w:pPr>
      <w:r w:rsidRPr="00461895">
        <w:rPr>
          <w:rStyle w:val="Refdenotaalpie"/>
          <w:rFonts w:cstheme="minorHAnsi"/>
          <w:sz w:val="16"/>
        </w:rPr>
        <w:footnoteRef/>
      </w:r>
      <w:r w:rsidRPr="00461895">
        <w:rPr>
          <w:rFonts w:cstheme="minorHAnsi"/>
          <w:sz w:val="16"/>
          <w:lang w:val="es-ES"/>
        </w:rPr>
        <w:t xml:space="preserve"> De acuerdo con el INEGI, la longitud de la frontera norte de México es de 3152 km, por lo que, si el ancho de la llamada banda fronteriza es de 320 km, la superficie de la banda en México será de 1,008,640 km</w:t>
      </w:r>
      <w:r w:rsidRPr="00461895">
        <w:rPr>
          <w:rFonts w:cstheme="minorHAnsi"/>
          <w:sz w:val="16"/>
          <w:vertAlign w:val="superscript"/>
          <w:lang w:val="es-ES"/>
        </w:rPr>
        <w:t>2</w:t>
      </w:r>
    </w:p>
  </w:footnote>
  <w:footnote w:id="2">
    <w:p w14:paraId="12BABA14" w14:textId="77777777" w:rsidR="00541C28" w:rsidRPr="007C2A0A" w:rsidRDefault="00541C28" w:rsidP="00461895">
      <w:pPr>
        <w:pStyle w:val="Textonotapie"/>
        <w:jc w:val="both"/>
        <w:rPr>
          <w:lang w:val="es-ES"/>
        </w:rPr>
      </w:pPr>
      <w:r w:rsidRPr="00461895">
        <w:rPr>
          <w:rStyle w:val="Refdenotaalpie"/>
          <w:rFonts w:cstheme="minorHAnsi"/>
          <w:sz w:val="16"/>
        </w:rPr>
        <w:footnoteRef/>
      </w:r>
      <w:r w:rsidRPr="00461895">
        <w:rPr>
          <w:rFonts w:cstheme="minorHAnsi"/>
          <w:sz w:val="16"/>
          <w:lang w:val="es-MX"/>
        </w:rPr>
        <w:t xml:space="preserve"> </w:t>
      </w:r>
      <w:r w:rsidRPr="00461895">
        <w:rPr>
          <w:rFonts w:cstheme="minorHAnsi"/>
          <w:sz w:val="16"/>
          <w:lang w:val="es-ES"/>
        </w:rPr>
        <w:t>N.b. Las localidades que fueron analizadas en 2016 fueron Matamoros, Tamps., Reynosa, Tamps., Rio Bravo, Tamps., Mexicali, B.C., Nogales, Son., San Luis Rio Colorado, Son., Ciudad Camargo, Tamps., Nuevo Laredo, Tamps., Ciudad Miguel Alemán, Tamps., Tijuana, B.C., Cd. Juárez, Chih. (cfr. IFT/222/UER/DG-IEET/1869/2016)</w:t>
      </w:r>
    </w:p>
  </w:footnote>
  <w:footnote w:id="3">
    <w:p w14:paraId="20814FAF" w14:textId="77777777" w:rsidR="00541C28" w:rsidRPr="0010328A" w:rsidRDefault="00541C28" w:rsidP="0010328A">
      <w:pPr>
        <w:pStyle w:val="Textonotapie"/>
        <w:jc w:val="both"/>
        <w:rPr>
          <w:rFonts w:cstheme="minorHAnsi"/>
          <w:sz w:val="16"/>
          <w:szCs w:val="16"/>
          <w:lang w:val="es-ES"/>
        </w:rPr>
      </w:pPr>
      <w:r w:rsidRPr="0010328A">
        <w:rPr>
          <w:rStyle w:val="Refdenotaalpie"/>
          <w:rFonts w:cstheme="minorHAnsi"/>
          <w:sz w:val="16"/>
          <w:szCs w:val="16"/>
        </w:rPr>
        <w:footnoteRef/>
      </w:r>
      <w:r w:rsidRPr="0010328A">
        <w:rPr>
          <w:rFonts w:cstheme="minorHAnsi"/>
          <w:sz w:val="16"/>
          <w:szCs w:val="16"/>
          <w:lang w:val="es-MX"/>
        </w:rPr>
        <w:t xml:space="preserve"> </w:t>
      </w:r>
      <w:r w:rsidRPr="0010328A">
        <w:rPr>
          <w:rFonts w:cstheme="minorHAnsi"/>
          <w:sz w:val="16"/>
          <w:szCs w:val="16"/>
          <w:lang w:val="es-ES"/>
        </w:rPr>
        <w:t xml:space="preserve">Hacia noviembre de 2014, la distribución de estaciones radiodifusoras en México era de 26.5% permisionadas (actualmente concesiones de públicas y de uso social) y 73.5% concesionarias (uso comercial). En contraste, en México actualmente, estas proporciones son 35.1% (uso social y público) y 64.1% (uso comercial). En los seis estados referidos, la distribución pasó de 21.1% (uso social y público) y 78.9% (uso comercial) a 26.8% (uso social y público) y 73.2% (uso comercial). </w:t>
      </w:r>
    </w:p>
  </w:footnote>
  <w:footnote w:id="4">
    <w:p w14:paraId="1BDAABD1" w14:textId="77777777" w:rsidR="00541C28" w:rsidRPr="007C2A0A" w:rsidRDefault="00541C28" w:rsidP="0010328A">
      <w:pPr>
        <w:pStyle w:val="Textonotapie"/>
        <w:jc w:val="both"/>
        <w:rPr>
          <w:lang w:val="es-ES"/>
        </w:rPr>
      </w:pPr>
      <w:r w:rsidRPr="0010328A">
        <w:rPr>
          <w:rStyle w:val="Refdenotaalpie"/>
          <w:rFonts w:cstheme="minorHAnsi"/>
          <w:sz w:val="16"/>
          <w:szCs w:val="16"/>
        </w:rPr>
        <w:footnoteRef/>
      </w:r>
      <w:r w:rsidRPr="0010328A">
        <w:rPr>
          <w:rFonts w:cstheme="minorHAnsi"/>
          <w:sz w:val="16"/>
          <w:szCs w:val="16"/>
          <w:lang w:val="es-MX"/>
        </w:rPr>
        <w:t xml:space="preserve"> </w:t>
      </w:r>
      <w:r w:rsidRPr="0010328A">
        <w:rPr>
          <w:rFonts w:cstheme="minorHAnsi"/>
          <w:sz w:val="16"/>
          <w:szCs w:val="16"/>
          <w:lang w:val="es-ES"/>
        </w:rPr>
        <w:t>Estas figuras indican que la distribución de las 133 estaciones en las 11 localidades de interés de 6 estados colindantes con la frontera norte es actualmente 91% (Uso comercial), 6% (uso público) y 3% (uso social).</w:t>
      </w:r>
      <w:r>
        <w:rPr>
          <w:lang w:val="es-ES"/>
        </w:rPr>
        <w:t xml:space="preserve"> </w:t>
      </w:r>
    </w:p>
  </w:footnote>
  <w:footnote w:id="5">
    <w:p w14:paraId="2EFE3017" w14:textId="77777777" w:rsidR="00541C28" w:rsidRPr="0010328A" w:rsidRDefault="00541C28" w:rsidP="0010328A">
      <w:pPr>
        <w:pStyle w:val="Textonotapie"/>
        <w:jc w:val="both"/>
        <w:rPr>
          <w:sz w:val="16"/>
          <w:szCs w:val="16"/>
          <w:lang w:val="es-ES"/>
        </w:rPr>
      </w:pPr>
      <w:r w:rsidRPr="0010328A">
        <w:rPr>
          <w:rStyle w:val="Refdenotaalpie"/>
          <w:sz w:val="16"/>
          <w:szCs w:val="16"/>
        </w:rPr>
        <w:footnoteRef/>
      </w:r>
      <w:r w:rsidRPr="0010328A">
        <w:rPr>
          <w:sz w:val="16"/>
          <w:szCs w:val="16"/>
          <w:lang w:val="es-MX"/>
        </w:rPr>
        <w:t xml:space="preserve"> </w:t>
      </w:r>
      <w:r w:rsidRPr="0010328A">
        <w:rPr>
          <w:sz w:val="16"/>
          <w:szCs w:val="16"/>
          <w:lang w:val="es-ES"/>
        </w:rPr>
        <w:t xml:space="preserve">Dadas las condiciones de posible interferencia consideradas en el tratado mencionado (ver cuadro 3). </w:t>
      </w:r>
    </w:p>
  </w:footnote>
  <w:footnote w:id="6">
    <w:p w14:paraId="6887C0EA" w14:textId="77777777" w:rsidR="00541C28" w:rsidRPr="007C2A0A" w:rsidRDefault="00541C28" w:rsidP="0010328A">
      <w:pPr>
        <w:pStyle w:val="Textonotapie"/>
        <w:jc w:val="both"/>
        <w:rPr>
          <w:lang w:val="es-ES"/>
        </w:rPr>
      </w:pPr>
      <w:r w:rsidRPr="0010328A">
        <w:rPr>
          <w:rStyle w:val="Refdenotaalpie"/>
          <w:sz w:val="16"/>
          <w:szCs w:val="16"/>
        </w:rPr>
        <w:footnoteRef/>
      </w:r>
      <w:r w:rsidRPr="0010328A">
        <w:rPr>
          <w:sz w:val="16"/>
          <w:szCs w:val="16"/>
          <w:lang w:val="es-MX"/>
        </w:rPr>
        <w:t xml:space="preserve"> </w:t>
      </w:r>
      <w:r w:rsidRPr="0010328A">
        <w:rPr>
          <w:sz w:val="16"/>
          <w:szCs w:val="16"/>
          <w:lang w:val="es-ES"/>
        </w:rPr>
        <w:t xml:space="preserve">En esta </w:t>
      </w:r>
      <w:r w:rsidRPr="0010328A">
        <w:rPr>
          <w:sz w:val="16"/>
          <w:szCs w:val="16"/>
          <w:lang w:val="es-ES"/>
        </w:rPr>
        <w:t>sub-franja se encuentran las once localidades consideradas en el análisis técnico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3492" w14:textId="77777777" w:rsidR="0068060B" w:rsidRDefault="00296A76">
    <w:pPr>
      <w:pStyle w:val="Encabezado"/>
    </w:pPr>
    <w:r>
      <w:rPr>
        <w:noProof/>
        <w:lang w:eastAsia="es-MX"/>
      </w:rPr>
      <w:pict w14:anchorId="09147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5" o:spid="_x0000_s2053" type="#_x0000_t75" style="position:absolute;left:0;text-align:left;margin-left:0;margin-top:0;width:609.6pt;height:793.9pt;z-index:-251657216;mso-position-horizontal:center;mso-position-horizontal-relative:margin;mso-position-vertical:center;mso-position-vertical-relative:margin" o:allowincell="f">
          <v:imagedata r:id="rId1" o:title="VI CC logo (hoj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335D1" w14:textId="77777777" w:rsidR="0068060B" w:rsidRDefault="00296A76">
    <w:pPr>
      <w:pStyle w:val="Encabezado"/>
    </w:pPr>
    <w:r>
      <w:rPr>
        <w:noProof/>
        <w:lang w:eastAsia="es-MX"/>
      </w:rPr>
      <w:pict w14:anchorId="7136F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6" o:spid="_x0000_s2054" type="#_x0000_t75" style="position:absolute;left:0;text-align:left;margin-left:-93.55pt;margin-top:-100.65pt;width:609.6pt;height:793.9pt;z-index:-251656192;mso-position-horizontal-relative:margin;mso-position-vertical-relative:margin" o:allowincell="f">
          <v:imagedata r:id="rId1" o:title="VI CC logo (hoj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6E58" w14:textId="77777777" w:rsidR="00A77687" w:rsidRDefault="00296A76">
    <w:pPr>
      <w:pStyle w:val="Encabezado"/>
    </w:pPr>
    <w:r>
      <w:rPr>
        <w:noProof/>
        <w:lang w:eastAsia="es-MX"/>
      </w:rPr>
      <w:pict w14:anchorId="63B1B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4" o:spid="_x0000_s2052" type="#_x0000_t75" style="position:absolute;left:0;text-align:left;margin-left:-55.6pt;margin-top:-85.4pt;width:609.6pt;height:793.9pt;z-index:-251658240;mso-position-horizontal-relative:margin;mso-position-vertical-relative:margin" o:allowincell="f">
          <v:imagedata r:id="rId1" o:title="VI CC logo (hoj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5638"/>
    <w:multiLevelType w:val="hybridMultilevel"/>
    <w:tmpl w:val="F5B84262"/>
    <w:lvl w:ilvl="0" w:tplc="C1B02328">
      <w:start w:val="1"/>
      <w:numFmt w:val="decimal"/>
      <w:lvlText w:val="Tabla %1."/>
      <w:lvlJc w:val="left"/>
      <w:pPr>
        <w:ind w:left="720"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F0917"/>
    <w:multiLevelType w:val="multilevel"/>
    <w:tmpl w:val="EF320F02"/>
    <w:lvl w:ilvl="0">
      <w:start w:val="1"/>
      <w:numFmt w:val="decimal"/>
      <w:pStyle w:val="Titt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261C9D"/>
    <w:multiLevelType w:val="hybridMultilevel"/>
    <w:tmpl w:val="E9227142"/>
    <w:lvl w:ilvl="0" w:tplc="8B0E1D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F3265"/>
    <w:multiLevelType w:val="hybridMultilevel"/>
    <w:tmpl w:val="3E2EEC88"/>
    <w:lvl w:ilvl="0" w:tplc="6F988CC0">
      <w:start w:val="1"/>
      <w:numFmt w:val="upperRoman"/>
      <w:pStyle w:val="IncisoVta"/>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471CE4"/>
    <w:multiLevelType w:val="multilevel"/>
    <w:tmpl w:val="23C49058"/>
    <w:styleLink w:val="Num1"/>
    <w:lvl w:ilvl="0">
      <w:start w:val="1"/>
      <w:numFmt w:val="decimal"/>
      <w:pStyle w:val="Tit1"/>
      <w:lvlText w:val="%1."/>
      <w:lvlJc w:val="left"/>
      <w:pPr>
        <w:ind w:left="851" w:hanging="851"/>
      </w:pPr>
      <w:rPr>
        <w:rFonts w:ascii="Arial" w:hAnsi="Arial" w:hint="default"/>
        <w:b/>
        <w:i w:val="0"/>
        <w:caps w:val="0"/>
        <w:smallCaps w:val="0"/>
        <w:strike w:val="0"/>
        <w:dstrike w:val="0"/>
        <w:vanish w:val="0"/>
        <w:color w:val="4D9D45"/>
        <w:sz w:val="24"/>
        <w:vertAlign w:val="baseline"/>
      </w:rPr>
    </w:lvl>
    <w:lvl w:ilvl="1">
      <w:start w:val="1"/>
      <w:numFmt w:val="decimal"/>
      <w:pStyle w:val="Tit2"/>
      <w:lvlText w:val="%1.%2."/>
      <w:lvlJc w:val="left"/>
      <w:pPr>
        <w:ind w:left="1701" w:hanging="850"/>
      </w:pPr>
      <w:rPr>
        <w:rFonts w:ascii="Arial" w:hAnsi="Arial" w:hint="default"/>
        <w:b/>
        <w:i w:val="0"/>
        <w:caps w:val="0"/>
        <w:smallCaps w:val="0"/>
        <w:strike w:val="0"/>
        <w:dstrike w:val="0"/>
        <w:vanish w:val="0"/>
        <w:color w:val="4D9D45"/>
        <w:sz w:val="20"/>
        <w:vertAlign w:val="baseline"/>
      </w:rPr>
    </w:lvl>
    <w:lvl w:ilvl="2">
      <w:start w:val="1"/>
      <w:numFmt w:val="decimal"/>
      <w:pStyle w:val="Tt3"/>
      <w:lvlText w:val="%1.%3.1"/>
      <w:lvlJc w:val="right"/>
      <w:pPr>
        <w:ind w:left="2835" w:hanging="1134"/>
      </w:pPr>
      <w:rPr>
        <w:rFonts w:ascii="Arial" w:hAnsi="Arial" w:hint="default"/>
        <w:b/>
        <w:i w:val="0"/>
        <w:caps w:val="0"/>
        <w:strike w:val="0"/>
        <w:dstrike w:val="0"/>
        <w:vanish w:val="0"/>
        <w:color w:val="4D9D45"/>
        <w:sz w:val="20"/>
        <w:vertAlign w:val="baseline"/>
      </w:rPr>
    </w:lvl>
    <w:lvl w:ilvl="3">
      <w:start w:val="1"/>
      <w:numFmt w:val="decimal"/>
      <w:lvlText w:val="%3.%1.%4.1"/>
      <w:lvlJc w:val="left"/>
      <w:pPr>
        <w:ind w:left="3686" w:hanging="1134"/>
      </w:pPr>
      <w:rPr>
        <w:rFonts w:ascii="Arial" w:hAnsi="Arial" w:hint="default"/>
        <w:b/>
        <w:i w:val="0"/>
        <w:caps w:val="0"/>
        <w:smallCaps w:val="0"/>
        <w:strike w:val="0"/>
        <w:dstrike w:val="0"/>
        <w:vanish w:val="0"/>
        <w:color w:val="4D9D45"/>
        <w:sz w:val="20"/>
        <w:vertAlign w:val="baseline"/>
      </w:rPr>
    </w:lvl>
    <w:lvl w:ilvl="4">
      <w:start w:val="1"/>
      <w:numFmt w:val="lowerLetter"/>
      <w:lvlText w:val="%5."/>
      <w:lvlJc w:val="left"/>
      <w:pPr>
        <w:ind w:left="20534" w:hanging="360"/>
      </w:pPr>
      <w:rPr>
        <w:rFonts w:hint="default"/>
      </w:rPr>
    </w:lvl>
    <w:lvl w:ilvl="5">
      <w:start w:val="1"/>
      <w:numFmt w:val="lowerRoman"/>
      <w:lvlText w:val="%6."/>
      <w:lvlJc w:val="right"/>
      <w:pPr>
        <w:ind w:left="21254" w:hanging="180"/>
      </w:pPr>
      <w:rPr>
        <w:rFonts w:hint="default"/>
      </w:rPr>
    </w:lvl>
    <w:lvl w:ilvl="6">
      <w:start w:val="1"/>
      <w:numFmt w:val="decimal"/>
      <w:lvlText w:val="%7."/>
      <w:lvlJc w:val="left"/>
      <w:pPr>
        <w:ind w:left="21974" w:hanging="360"/>
      </w:pPr>
      <w:rPr>
        <w:rFonts w:hint="default"/>
      </w:rPr>
    </w:lvl>
    <w:lvl w:ilvl="7">
      <w:start w:val="1"/>
      <w:numFmt w:val="lowerLetter"/>
      <w:lvlText w:val="%8."/>
      <w:lvlJc w:val="left"/>
      <w:pPr>
        <w:ind w:left="22694" w:hanging="360"/>
      </w:pPr>
      <w:rPr>
        <w:rFonts w:hint="default"/>
      </w:rPr>
    </w:lvl>
    <w:lvl w:ilvl="8">
      <w:start w:val="1"/>
      <w:numFmt w:val="lowerRoman"/>
      <w:lvlText w:val="%9."/>
      <w:lvlJc w:val="right"/>
      <w:pPr>
        <w:ind w:left="23414" w:hanging="180"/>
      </w:pPr>
      <w:rPr>
        <w:rFonts w:hint="default"/>
      </w:rPr>
    </w:lvl>
  </w:abstractNum>
  <w:abstractNum w:abstractNumId="5" w15:restartNumberingAfterBreak="0">
    <w:nsid w:val="21545927"/>
    <w:multiLevelType w:val="hybridMultilevel"/>
    <w:tmpl w:val="BBC4E756"/>
    <w:lvl w:ilvl="0" w:tplc="724068D8">
      <w:start w:val="1"/>
      <w:numFmt w:val="lowerLetter"/>
      <w:pStyle w:val="IncisoI"/>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25A139E4"/>
    <w:multiLevelType w:val="hybridMultilevel"/>
    <w:tmpl w:val="CD3AE65C"/>
    <w:lvl w:ilvl="0" w:tplc="0CB26974">
      <w:start w:val="1"/>
      <w:numFmt w:val="decimal"/>
      <w:lvlText w:val="%1)"/>
      <w:lvlJc w:val="left"/>
      <w:pPr>
        <w:ind w:left="1068"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25655FF"/>
    <w:multiLevelType w:val="multilevel"/>
    <w:tmpl w:val="754A05A2"/>
    <w:styleLink w:val="ListasMemoria"/>
    <w:lvl w:ilvl="0">
      <w:start w:val="1"/>
      <w:numFmt w:val="decimal"/>
      <w:lvlText w:val="%1."/>
      <w:lvlJc w:val="left"/>
      <w:pPr>
        <w:ind w:left="851" w:hanging="851"/>
      </w:pPr>
      <w:rPr>
        <w:rFonts w:ascii="Arial" w:hAnsi="Arial" w:hint="default"/>
        <w:b/>
        <w:color w:val="4D9D45"/>
        <w:sz w:val="24"/>
      </w:rPr>
    </w:lvl>
    <w:lvl w:ilvl="1">
      <w:start w:val="1"/>
      <w:numFmt w:val="decimal"/>
      <w:lvlText w:val="%1.%2."/>
      <w:lvlJc w:val="left"/>
      <w:pPr>
        <w:tabs>
          <w:tab w:val="num" w:pos="851"/>
        </w:tabs>
        <w:ind w:left="1701" w:hanging="850"/>
      </w:pPr>
      <w:rPr>
        <w:rFonts w:hint="default"/>
        <w:b/>
        <w:color w:val="4D9D45"/>
        <w:sz w:val="20"/>
      </w:rPr>
    </w:lvl>
    <w:lvl w:ilvl="2">
      <w:start w:val="1"/>
      <w:numFmt w:val="decimal"/>
      <w:lvlText w:val="%1.%2.%3."/>
      <w:lvlJc w:val="left"/>
      <w:pPr>
        <w:tabs>
          <w:tab w:val="num" w:pos="3969"/>
        </w:tabs>
        <w:ind w:left="2835" w:hanging="1134"/>
      </w:pPr>
      <w:rPr>
        <w:rFonts w:hint="default"/>
        <w:b/>
        <w:color w:val="4D9D45"/>
        <w:sz w:val="20"/>
      </w:rPr>
    </w:lvl>
    <w:lvl w:ilvl="3">
      <w:start w:val="1"/>
      <w:numFmt w:val="decimal"/>
      <w:lvlText w:val="%1.%2.%3.%4."/>
      <w:lvlJc w:val="left"/>
      <w:pPr>
        <w:tabs>
          <w:tab w:val="num" w:pos="2552"/>
        </w:tabs>
        <w:ind w:left="3969" w:hanging="1417"/>
      </w:pPr>
      <w:rPr>
        <w:rFonts w:hint="default"/>
        <w:b/>
        <w:color w:val="4D9D45"/>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A47F4F"/>
    <w:multiLevelType w:val="hybridMultilevel"/>
    <w:tmpl w:val="15269798"/>
    <w:lvl w:ilvl="0" w:tplc="3DF439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023E5"/>
    <w:multiLevelType w:val="hybridMultilevel"/>
    <w:tmpl w:val="69A4232A"/>
    <w:lvl w:ilvl="0" w:tplc="BFE2D748">
      <w:start w:val="1"/>
      <w:numFmt w:val="bullet"/>
      <w:lvlText w:val=""/>
      <w:lvlJc w:val="left"/>
      <w:pPr>
        <w:ind w:left="644" w:hanging="360"/>
      </w:pPr>
      <w:rPr>
        <w:rFonts w:ascii="Symbol" w:hAnsi="Symbol" w:hint="default"/>
        <w:b/>
        <w:i w:val="0"/>
        <w:caps w:val="0"/>
        <w:strike w:val="0"/>
        <w:dstrike w:val="0"/>
        <w:vanish w:val="0"/>
        <w:color w:val="4D9D45"/>
        <w:sz w:val="2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1D5D42"/>
    <w:multiLevelType w:val="multilevel"/>
    <w:tmpl w:val="0B04E85E"/>
    <w:lvl w:ilvl="0">
      <w:start w:val="1"/>
      <w:numFmt w:val="decimal"/>
      <w:pStyle w:val="Incis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4785DE1"/>
    <w:multiLevelType w:val="hybridMultilevel"/>
    <w:tmpl w:val="AB264BDE"/>
    <w:lvl w:ilvl="0" w:tplc="D14867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9"/>
  </w:num>
  <w:num w:numId="6">
    <w:abstractNumId w:val="4"/>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styleLockTheme/>
  <w:styleLockQFSet/>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0B"/>
    <w:rsid w:val="000B031A"/>
    <w:rsid w:val="000B3CB5"/>
    <w:rsid w:val="000E058A"/>
    <w:rsid w:val="000F5097"/>
    <w:rsid w:val="000F7EB4"/>
    <w:rsid w:val="0010328A"/>
    <w:rsid w:val="00296A76"/>
    <w:rsid w:val="00461895"/>
    <w:rsid w:val="004D33BC"/>
    <w:rsid w:val="00541C28"/>
    <w:rsid w:val="00607E52"/>
    <w:rsid w:val="00650A3F"/>
    <w:rsid w:val="0068060B"/>
    <w:rsid w:val="0069187D"/>
    <w:rsid w:val="006F16DA"/>
    <w:rsid w:val="00731508"/>
    <w:rsid w:val="007439C6"/>
    <w:rsid w:val="00773D6D"/>
    <w:rsid w:val="00860B31"/>
    <w:rsid w:val="00955049"/>
    <w:rsid w:val="00972B09"/>
    <w:rsid w:val="00A547B6"/>
    <w:rsid w:val="00A77687"/>
    <w:rsid w:val="00A91F94"/>
    <w:rsid w:val="00C2382B"/>
    <w:rsid w:val="00CC058A"/>
    <w:rsid w:val="00CD235C"/>
    <w:rsid w:val="00CF7B6C"/>
    <w:rsid w:val="00D05062"/>
    <w:rsid w:val="00DA374A"/>
    <w:rsid w:val="00E02FCE"/>
    <w:rsid w:val="00E251CF"/>
    <w:rsid w:val="00F837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D8B55A"/>
  <w15:chartTrackingRefBased/>
  <w15:docId w15:val="{D48E8C2A-7888-461D-A0F0-5E788587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MX" w:eastAsia="en-US" w:bidi="ar-SA"/>
      </w:rPr>
    </w:rPrDefault>
    <w:pPrDefault>
      <w:pPr>
        <w:spacing w:after="240"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CE"/>
  </w:style>
  <w:style w:type="paragraph" w:styleId="Ttulo1">
    <w:name w:val="heading 1"/>
    <w:basedOn w:val="Normal"/>
    <w:next w:val="Normal"/>
    <w:link w:val="Ttulo1Car"/>
    <w:uiPriority w:val="9"/>
    <w:qFormat/>
    <w:rsid w:val="004618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ListasMemoria">
    <w:name w:val="Listas Memoria"/>
    <w:uiPriority w:val="99"/>
    <w:rsid w:val="00955049"/>
    <w:pPr>
      <w:numPr>
        <w:numId w:val="1"/>
      </w:numPr>
    </w:pPr>
  </w:style>
  <w:style w:type="paragraph" w:customStyle="1" w:styleId="Tit1">
    <w:name w:val="Tit1"/>
    <w:basedOn w:val="Cpotxt"/>
    <w:next w:val="Tit2"/>
    <w:qFormat/>
    <w:rsid w:val="00955049"/>
    <w:pPr>
      <w:numPr>
        <w:numId w:val="6"/>
      </w:numPr>
    </w:pPr>
    <w:rPr>
      <w:b w:val="0"/>
      <w:caps/>
      <w:color w:val="4D9D45"/>
    </w:rPr>
  </w:style>
  <w:style w:type="paragraph" w:customStyle="1" w:styleId="Cpotxt">
    <w:name w:val="Cpo. txt"/>
    <w:link w:val="CpotxtCar"/>
    <w:qFormat/>
    <w:rsid w:val="00CC058A"/>
    <w:rPr>
      <w:rFonts w:ascii="Calibri" w:hAnsi="Calibri" w:cs="Calibri"/>
      <w:b/>
      <w:sz w:val="24"/>
      <w:szCs w:val="22"/>
      <w:lang w:val="es-ES"/>
    </w:rPr>
  </w:style>
  <w:style w:type="character" w:customStyle="1" w:styleId="CpotxtCar">
    <w:name w:val="Cpo. txt Car"/>
    <w:basedOn w:val="Fuentedeprrafopredeter"/>
    <w:link w:val="Cpotxt"/>
    <w:rsid w:val="00CC058A"/>
    <w:rPr>
      <w:rFonts w:ascii="Calibri" w:hAnsi="Calibri" w:cs="Calibri"/>
      <w:b/>
      <w:sz w:val="24"/>
      <w:szCs w:val="22"/>
      <w:lang w:val="es-ES"/>
    </w:rPr>
  </w:style>
  <w:style w:type="paragraph" w:customStyle="1" w:styleId="Cabeza">
    <w:name w:val="Cabeza"/>
    <w:basedOn w:val="Cpotxt"/>
    <w:link w:val="CabezaCar"/>
    <w:qFormat/>
    <w:rsid w:val="00955049"/>
    <w:pPr>
      <w:spacing w:before="2400" w:after="0" w:line="360" w:lineRule="exact"/>
      <w:ind w:right="2835"/>
    </w:pPr>
    <w:rPr>
      <w:b w:val="0"/>
      <w:caps/>
      <w:color w:val="4D9D45"/>
      <w:w w:val="105"/>
    </w:rPr>
  </w:style>
  <w:style w:type="character" w:customStyle="1" w:styleId="CabezaCar">
    <w:name w:val="Cabeza Car"/>
    <w:basedOn w:val="Fuentedeprrafopredeter"/>
    <w:link w:val="Cabeza"/>
    <w:rsid w:val="00955049"/>
    <w:rPr>
      <w:rFonts w:ascii="Arial" w:hAnsi="Arial"/>
      <w:b/>
      <w:caps/>
      <w:color w:val="4D9D45"/>
      <w:w w:val="105"/>
      <w:sz w:val="24"/>
    </w:rPr>
  </w:style>
  <w:style w:type="paragraph" w:customStyle="1" w:styleId="Inciso1">
    <w:name w:val="Inciso 1)"/>
    <w:basedOn w:val="Normal"/>
    <w:link w:val="Inciso1Car"/>
    <w:qFormat/>
    <w:rsid w:val="00955049"/>
    <w:pPr>
      <w:numPr>
        <w:numId w:val="7"/>
      </w:numPr>
      <w:ind w:left="1276" w:hanging="567"/>
      <w:contextualSpacing/>
    </w:pPr>
    <w:rPr>
      <w:rFonts w:eastAsia="Calibri" w:cs="Arial"/>
      <w:w w:val="105"/>
      <w:shd w:val="clear" w:color="auto" w:fill="FFFFFF"/>
    </w:rPr>
  </w:style>
  <w:style w:type="character" w:customStyle="1" w:styleId="Inciso1Car">
    <w:name w:val="Inciso 1) Car"/>
    <w:basedOn w:val="Fuentedeprrafopredeter"/>
    <w:link w:val="Inciso1"/>
    <w:rsid w:val="00955049"/>
    <w:rPr>
      <w:rFonts w:ascii="Arial" w:eastAsia="Calibri" w:hAnsi="Arial" w:cs="Arial"/>
      <w:w w:val="105"/>
      <w:sz w:val="20"/>
      <w:szCs w:val="20"/>
    </w:rPr>
  </w:style>
  <w:style w:type="paragraph" w:customStyle="1" w:styleId="Incisoa">
    <w:name w:val="Inciso a)"/>
    <w:basedOn w:val="Cpotxt"/>
    <w:link w:val="IncisoaCar"/>
    <w:qFormat/>
    <w:rsid w:val="00955049"/>
    <w:pPr>
      <w:tabs>
        <w:tab w:val="num" w:pos="720"/>
      </w:tabs>
      <w:ind w:left="1276" w:hanging="567"/>
      <w:contextualSpacing/>
    </w:pPr>
    <w:rPr>
      <w:rFonts w:eastAsia="Calibri" w:cs="Arial"/>
      <w:w w:val="105"/>
      <w:shd w:val="clear" w:color="auto" w:fill="FFFFFF"/>
    </w:rPr>
  </w:style>
  <w:style w:type="character" w:customStyle="1" w:styleId="IncisoaCar">
    <w:name w:val="Inciso a) Car"/>
    <w:basedOn w:val="Fuentedeprrafopredeter"/>
    <w:link w:val="Incisoa"/>
    <w:rsid w:val="00955049"/>
    <w:rPr>
      <w:rFonts w:ascii="Arial" w:eastAsia="Calibri" w:hAnsi="Arial" w:cs="Arial"/>
      <w:w w:val="105"/>
      <w:sz w:val="20"/>
      <w:szCs w:val="20"/>
    </w:rPr>
  </w:style>
  <w:style w:type="paragraph" w:customStyle="1" w:styleId="IncisoI">
    <w:name w:val="Inciso I)"/>
    <w:basedOn w:val="Cpotxt"/>
    <w:link w:val="IncisoICar"/>
    <w:qFormat/>
    <w:rsid w:val="00955049"/>
    <w:pPr>
      <w:numPr>
        <w:numId w:val="3"/>
      </w:numPr>
      <w:ind w:left="1276" w:hanging="567"/>
      <w:contextualSpacing/>
    </w:pPr>
    <w:rPr>
      <w:rFonts w:eastAsia="Calibri" w:cs="Arial"/>
      <w:w w:val="105"/>
    </w:rPr>
  </w:style>
  <w:style w:type="character" w:customStyle="1" w:styleId="IncisoICar">
    <w:name w:val="Inciso I) Car"/>
    <w:basedOn w:val="Fuentedeprrafopredeter"/>
    <w:link w:val="IncisoI"/>
    <w:rsid w:val="00955049"/>
    <w:rPr>
      <w:rFonts w:ascii="Arial" w:eastAsia="Calibri" w:hAnsi="Arial" w:cs="Arial"/>
      <w:w w:val="105"/>
      <w:sz w:val="20"/>
      <w:szCs w:val="20"/>
    </w:rPr>
  </w:style>
  <w:style w:type="paragraph" w:customStyle="1" w:styleId="IncisoVta">
    <w:name w:val="Inciso Vñta"/>
    <w:basedOn w:val="Cpotxt"/>
    <w:link w:val="IncisoVtaCar"/>
    <w:qFormat/>
    <w:rsid w:val="00955049"/>
    <w:pPr>
      <w:numPr>
        <w:numId w:val="4"/>
      </w:numPr>
      <w:ind w:left="1276" w:hanging="567"/>
      <w:contextualSpacing/>
    </w:pPr>
    <w:rPr>
      <w:rFonts w:eastAsia="Calibri" w:cs="Arial"/>
      <w:w w:val="105"/>
    </w:rPr>
  </w:style>
  <w:style w:type="character" w:customStyle="1" w:styleId="IncisoVtaCar">
    <w:name w:val="Inciso Vñta Car"/>
    <w:basedOn w:val="Fuentedeprrafopredeter"/>
    <w:link w:val="IncisoVta"/>
    <w:rsid w:val="00955049"/>
    <w:rPr>
      <w:rFonts w:ascii="Arial" w:eastAsia="Calibri" w:hAnsi="Arial" w:cs="Arial"/>
      <w:w w:val="105"/>
      <w:sz w:val="20"/>
      <w:szCs w:val="20"/>
    </w:rPr>
  </w:style>
  <w:style w:type="paragraph" w:customStyle="1" w:styleId="NegritasVde">
    <w:name w:val="Negritas Vde"/>
    <w:basedOn w:val="Normal"/>
    <w:link w:val="NegritasVdeCar"/>
    <w:qFormat/>
    <w:rsid w:val="00955049"/>
    <w:pPr>
      <w:outlineLvl w:val="1"/>
    </w:pPr>
    <w:rPr>
      <w:b/>
      <w:color w:val="4D9D45"/>
      <w:w w:val="105"/>
    </w:rPr>
  </w:style>
  <w:style w:type="character" w:customStyle="1" w:styleId="NegritasVdeCar">
    <w:name w:val="Negritas Vde Car"/>
    <w:basedOn w:val="Fuentedeprrafopredeter"/>
    <w:link w:val="NegritasVde"/>
    <w:rsid w:val="00955049"/>
    <w:rPr>
      <w:rFonts w:ascii="Arial" w:hAnsi="Arial"/>
      <w:b/>
      <w:color w:val="4D9D45"/>
      <w:w w:val="105"/>
      <w:sz w:val="20"/>
    </w:rPr>
  </w:style>
  <w:style w:type="paragraph" w:customStyle="1" w:styleId="Ngta">
    <w:name w:val="Ngta"/>
    <w:basedOn w:val="NegritasVde"/>
    <w:link w:val="NgtaCar"/>
    <w:qFormat/>
    <w:rsid w:val="00955049"/>
  </w:style>
  <w:style w:type="character" w:customStyle="1" w:styleId="NgtaCar">
    <w:name w:val="Ngta Car"/>
    <w:basedOn w:val="NegritasVdeCar"/>
    <w:link w:val="Ngta"/>
    <w:rsid w:val="00955049"/>
    <w:rPr>
      <w:rFonts w:ascii="Arial" w:hAnsi="Arial"/>
      <w:b/>
      <w:color w:val="4D9D45"/>
      <w:w w:val="105"/>
      <w:sz w:val="20"/>
    </w:rPr>
  </w:style>
  <w:style w:type="paragraph" w:customStyle="1" w:styleId="Pg">
    <w:name w:val="Pg"/>
    <w:basedOn w:val="Cpotxt"/>
    <w:link w:val="PgCar"/>
    <w:qFormat/>
    <w:rsid w:val="00955049"/>
    <w:pPr>
      <w:spacing w:after="0"/>
      <w:jc w:val="right"/>
    </w:pPr>
    <w:rPr>
      <w:b w:val="0"/>
      <w:color w:val="FFFFFF" w:themeColor="background1"/>
      <w:w w:val="105"/>
      <w:sz w:val="16"/>
    </w:rPr>
  </w:style>
  <w:style w:type="character" w:customStyle="1" w:styleId="PgCar">
    <w:name w:val="Pg Car"/>
    <w:basedOn w:val="Fuentedeprrafopredeter"/>
    <w:link w:val="Pg"/>
    <w:rsid w:val="00955049"/>
    <w:rPr>
      <w:rFonts w:ascii="Arial" w:hAnsi="Arial"/>
      <w:b/>
      <w:color w:val="FFFFFF" w:themeColor="background1"/>
      <w:w w:val="105"/>
      <w:sz w:val="16"/>
    </w:rPr>
  </w:style>
  <w:style w:type="paragraph" w:customStyle="1" w:styleId="Pie">
    <w:name w:val="Pie"/>
    <w:basedOn w:val="Cpotxt"/>
    <w:qFormat/>
    <w:rsid w:val="00955049"/>
    <w:pPr>
      <w:ind w:left="284"/>
    </w:pPr>
    <w:rPr>
      <w:b w:val="0"/>
      <w:color w:val="000000" w:themeColor="text1"/>
      <w:w w:val="105"/>
      <w:sz w:val="16"/>
    </w:rPr>
  </w:style>
  <w:style w:type="paragraph" w:customStyle="1" w:styleId="Resaltado">
    <w:name w:val="Resaltado"/>
    <w:basedOn w:val="Cpotxt"/>
    <w:qFormat/>
    <w:rsid w:val="00955049"/>
    <w:pPr>
      <w:ind w:left="567"/>
    </w:pPr>
    <w:rPr>
      <w:w w:val="105"/>
    </w:rPr>
  </w:style>
  <w:style w:type="paragraph" w:customStyle="1" w:styleId="TablaNorm">
    <w:name w:val="Tabla Norm"/>
    <w:basedOn w:val="Cpotxt"/>
    <w:link w:val="TablaNormCar"/>
    <w:qFormat/>
    <w:rsid w:val="00955049"/>
    <w:pPr>
      <w:spacing w:before="40" w:after="40"/>
      <w:jc w:val="center"/>
    </w:pPr>
  </w:style>
  <w:style w:type="character" w:customStyle="1" w:styleId="TablaNormCar">
    <w:name w:val="Tabla Norm Car"/>
    <w:basedOn w:val="Fuentedeprrafopredeter"/>
    <w:link w:val="TablaNorm"/>
    <w:rsid w:val="00955049"/>
    <w:rPr>
      <w:rFonts w:ascii="Arial" w:hAnsi="Arial"/>
      <w:sz w:val="20"/>
    </w:rPr>
  </w:style>
  <w:style w:type="paragraph" w:customStyle="1" w:styleId="TitGrficas">
    <w:name w:val="Tit Gráficas"/>
    <w:basedOn w:val="NegritasVde"/>
    <w:link w:val="TitGrficasCar"/>
    <w:qFormat/>
    <w:rsid w:val="00955049"/>
    <w:pPr>
      <w:jc w:val="center"/>
    </w:pPr>
    <w:rPr>
      <w:u w:val="double"/>
    </w:rPr>
  </w:style>
  <w:style w:type="character" w:customStyle="1" w:styleId="TitGrficasCar">
    <w:name w:val="Tit Gráficas Car"/>
    <w:basedOn w:val="NegritasVdeCar"/>
    <w:link w:val="TitGrficas"/>
    <w:rsid w:val="00955049"/>
    <w:rPr>
      <w:rFonts w:ascii="Arial" w:hAnsi="Arial"/>
      <w:b/>
      <w:color w:val="4D9D45"/>
      <w:w w:val="105"/>
      <w:sz w:val="20"/>
      <w:u w:val="double"/>
    </w:rPr>
  </w:style>
  <w:style w:type="paragraph" w:customStyle="1" w:styleId="TitTablas">
    <w:name w:val="Tit Tablas"/>
    <w:basedOn w:val="TitGrficas"/>
    <w:link w:val="TitTablasCar"/>
    <w:qFormat/>
    <w:rsid w:val="00955049"/>
    <w:pPr>
      <w:outlineLvl w:val="9"/>
    </w:pPr>
    <w:rPr>
      <w:u w:val="dotted"/>
    </w:rPr>
  </w:style>
  <w:style w:type="character" w:customStyle="1" w:styleId="TitTablasCar">
    <w:name w:val="Tit Tablas Car"/>
    <w:basedOn w:val="TitGrficasCar"/>
    <w:link w:val="TitTablas"/>
    <w:rsid w:val="00955049"/>
    <w:rPr>
      <w:rFonts w:ascii="Arial" w:hAnsi="Arial"/>
      <w:b/>
      <w:color w:val="4D9D45"/>
      <w:w w:val="105"/>
      <w:sz w:val="20"/>
      <w:u w:val="dotted"/>
    </w:rPr>
  </w:style>
  <w:style w:type="paragraph" w:customStyle="1" w:styleId="Tit2">
    <w:name w:val="Tit2"/>
    <w:basedOn w:val="Tit1"/>
    <w:next w:val="Normal"/>
    <w:link w:val="Tit2Car"/>
    <w:qFormat/>
    <w:rsid w:val="00955049"/>
    <w:pPr>
      <w:numPr>
        <w:ilvl w:val="1"/>
      </w:numPr>
      <w:outlineLvl w:val="1"/>
    </w:pPr>
    <w:rPr>
      <w:w w:val="105"/>
      <w:sz w:val="20"/>
    </w:rPr>
  </w:style>
  <w:style w:type="character" w:customStyle="1" w:styleId="Tit2Car">
    <w:name w:val="Tit2 Car"/>
    <w:basedOn w:val="Fuentedeprrafopredeter"/>
    <w:link w:val="Tit2"/>
    <w:rsid w:val="00955049"/>
    <w:rPr>
      <w:rFonts w:ascii="Arial" w:hAnsi="Arial"/>
      <w:b/>
      <w:caps/>
      <w:color w:val="4D9D45"/>
      <w:w w:val="105"/>
      <w:sz w:val="20"/>
    </w:rPr>
  </w:style>
  <w:style w:type="paragraph" w:customStyle="1" w:styleId="Tt3">
    <w:name w:val="Tít3"/>
    <w:basedOn w:val="Tit2"/>
    <w:next w:val="Normal"/>
    <w:link w:val="Tt3Car"/>
    <w:qFormat/>
    <w:rsid w:val="00955049"/>
    <w:pPr>
      <w:numPr>
        <w:ilvl w:val="2"/>
      </w:numPr>
      <w:spacing w:before="240"/>
    </w:pPr>
  </w:style>
  <w:style w:type="character" w:customStyle="1" w:styleId="Tt3Car">
    <w:name w:val="Tít3 Car"/>
    <w:basedOn w:val="Fuentedeprrafopredeter"/>
    <w:link w:val="Tt3"/>
    <w:rsid w:val="00955049"/>
    <w:rPr>
      <w:rFonts w:ascii="Arial" w:hAnsi="Arial"/>
      <w:b/>
      <w:caps/>
      <w:color w:val="4D9D45"/>
      <w:w w:val="105"/>
      <w:sz w:val="20"/>
    </w:rPr>
  </w:style>
  <w:style w:type="character" w:styleId="Hipervnculo">
    <w:name w:val="Hyperlink"/>
    <w:basedOn w:val="CpotxtCar"/>
    <w:uiPriority w:val="99"/>
    <w:unhideWhenUsed/>
    <w:qFormat/>
    <w:rsid w:val="00955049"/>
    <w:rPr>
      <w:rFonts w:ascii="Arial" w:hAnsi="Arial" w:cs="Calibri"/>
      <w:b/>
      <w:i w:val="0"/>
      <w:caps w:val="0"/>
      <w:smallCaps w:val="0"/>
      <w:strike w:val="0"/>
      <w:dstrike w:val="0"/>
      <w:vanish w:val="0"/>
      <w:color w:val="4D9D45"/>
      <w:spacing w:val="0"/>
      <w:w w:val="100"/>
      <w:position w:val="0"/>
      <w:sz w:val="20"/>
      <w:szCs w:val="22"/>
      <w:u w:val="none"/>
      <w:vertAlign w:val="baseline"/>
      <w:lang w:val="es-ES"/>
    </w:rPr>
  </w:style>
  <w:style w:type="numbering" w:customStyle="1" w:styleId="Num1">
    <w:name w:val="Num1"/>
    <w:uiPriority w:val="99"/>
    <w:locked/>
    <w:rsid w:val="00955049"/>
    <w:pPr>
      <w:numPr>
        <w:numId w:val="6"/>
      </w:numPr>
    </w:pPr>
  </w:style>
  <w:style w:type="table" w:customStyle="1" w:styleId="Mediciones">
    <w:name w:val="Mediciones"/>
    <w:basedOn w:val="Tablanormal"/>
    <w:uiPriority w:val="99"/>
    <w:rsid w:val="00E02FCE"/>
    <w:pPr>
      <w:spacing w:after="0" w:line="240" w:lineRule="auto"/>
      <w:jc w:val="center"/>
    </w:pPr>
    <w:tblPr>
      <w:tblStyleRowBandSize w:val="1"/>
      <w:tblBorders>
        <w:top w:val="single" w:sz="4" w:space="0" w:color="4D9D45"/>
        <w:left w:val="single" w:sz="4" w:space="0" w:color="4D9D45"/>
        <w:bottom w:val="single" w:sz="4" w:space="0" w:color="4D9D45"/>
        <w:right w:val="single" w:sz="4" w:space="0" w:color="4D9D45"/>
        <w:insideH w:val="single" w:sz="4" w:space="0" w:color="4D9D45"/>
        <w:insideV w:val="single" w:sz="4" w:space="0" w:color="4D9D45"/>
      </w:tblBorders>
    </w:tblPr>
    <w:tcPr>
      <w:vAlign w:val="center"/>
    </w:tcPr>
    <w:tblStylePr w:type="firstRow">
      <w:rPr>
        <w:rFonts w:ascii="Arial" w:hAnsi="Arial"/>
        <w:b/>
        <w:color w:val="FFFFFF" w:themeColor="background1"/>
        <w:sz w:val="20"/>
      </w:rPr>
      <w:tblPr/>
      <w:tcPr>
        <w:shd w:val="clear" w:color="auto" w:fill="4D9D45"/>
      </w:tcPr>
    </w:tblStylePr>
    <w:tblStylePr w:type="band1Horz">
      <w:tblPr/>
      <w:tcPr>
        <w:shd w:val="clear" w:color="auto" w:fill="D9D9D9" w:themeFill="background1" w:themeFillShade="D9"/>
      </w:tcPr>
    </w:tblStylePr>
    <w:tblStylePr w:type="band2Horz">
      <w:tblPr/>
      <w:tcPr>
        <w:shd w:val="clear" w:color="auto" w:fill="E2EFD9" w:themeFill="accent6" w:themeFillTint="33"/>
      </w:tcPr>
    </w:tblStylePr>
  </w:style>
  <w:style w:type="table" w:customStyle="1" w:styleId="Definiciones">
    <w:name w:val="Definiciones"/>
    <w:basedOn w:val="Tablanormal"/>
    <w:uiPriority w:val="99"/>
    <w:rsid w:val="00773D6D"/>
    <w:pPr>
      <w:spacing w:after="0" w:line="240" w:lineRule="auto"/>
      <w:jc w:val="left"/>
    </w:pPr>
    <w:tblPr/>
    <w:trPr>
      <w:tblHeader/>
    </w:trPr>
    <w:tcPr>
      <w:shd w:val="clear" w:color="auto" w:fill="auto"/>
    </w:tcPr>
    <w:tblStylePr w:type="firstRow">
      <w:pPr>
        <w:jc w:val="center"/>
      </w:pPr>
      <w:rPr>
        <w:rFonts w:ascii="Arial" w:hAnsi="Arial"/>
        <w:b/>
        <w:color w:val="FFFFFF" w:themeColor="background1"/>
        <w:sz w:val="20"/>
      </w:rPr>
      <w:tblPr/>
      <w:tcPr>
        <w:shd w:val="clear" w:color="auto" w:fill="A6A6A6" w:themeFill="background1" w:themeFillShade="A6"/>
        <w:vAlign w:val="center"/>
      </w:tcPr>
    </w:tblStylePr>
    <w:tblStylePr w:type="firstCol">
      <w:rPr>
        <w:rFonts w:ascii="Arial" w:hAnsi="Arial"/>
        <w:b/>
        <w:sz w:val="20"/>
      </w:rPr>
    </w:tblStylePr>
    <w:tblStylePr w:type="lastCol">
      <w:pPr>
        <w:jc w:val="left"/>
      </w:pPr>
      <w:rPr>
        <w:rFonts w:ascii="Arial" w:hAnsi="Arial"/>
        <w:sz w:val="20"/>
      </w:rPr>
      <w:tblPr/>
      <w:tcPr>
        <w:vAlign w:val="center"/>
      </w:tcPr>
    </w:tblStylePr>
  </w:style>
  <w:style w:type="paragraph" w:customStyle="1" w:styleId="Texto">
    <w:name w:val="Texto"/>
    <w:link w:val="TextoCar"/>
    <w:qFormat/>
    <w:rsid w:val="00A547B6"/>
  </w:style>
  <w:style w:type="character" w:customStyle="1" w:styleId="TextoCar">
    <w:name w:val="Texto Car"/>
    <w:basedOn w:val="Fuentedeprrafopredeter"/>
    <w:link w:val="Texto"/>
    <w:rsid w:val="00A547B6"/>
  </w:style>
  <w:style w:type="character" w:customStyle="1" w:styleId="Negritas">
    <w:name w:val="Negritas"/>
    <w:basedOn w:val="Fuentedeprrafopredeter"/>
    <w:uiPriority w:val="1"/>
    <w:qFormat/>
    <w:rsid w:val="007439C6"/>
    <w:rPr>
      <w:rFonts w:ascii="Arial" w:hAnsi="Arial"/>
      <w:b/>
      <w:sz w:val="20"/>
    </w:rPr>
  </w:style>
  <w:style w:type="paragraph" w:customStyle="1" w:styleId="EstiloTextoSuperndice">
    <w:name w:val="Estilo Texto + Superíndice"/>
    <w:basedOn w:val="Texto"/>
    <w:autoRedefine/>
    <w:rsid w:val="00E02FCE"/>
    <w:rPr>
      <w:color w:val="4D9D45"/>
      <w:sz w:val="18"/>
      <w:vertAlign w:val="superscript"/>
    </w:rPr>
  </w:style>
  <w:style w:type="paragraph" w:customStyle="1" w:styleId="Tittab">
    <w:name w:val="Tit tab"/>
    <w:basedOn w:val="Normal"/>
    <w:link w:val="TittabCar"/>
    <w:autoRedefine/>
    <w:qFormat/>
    <w:rsid w:val="00E02FCE"/>
    <w:pPr>
      <w:numPr>
        <w:numId w:val="10"/>
      </w:numPr>
      <w:ind w:hanging="360"/>
      <w:jc w:val="center"/>
      <w:outlineLvl w:val="0"/>
    </w:pPr>
    <w:rPr>
      <w:b/>
      <w:color w:val="4D9D45"/>
      <w:sz w:val="22"/>
    </w:rPr>
  </w:style>
  <w:style w:type="character" w:customStyle="1" w:styleId="TittabCar">
    <w:name w:val="Tit tab Car"/>
    <w:basedOn w:val="Fuentedeprrafopredeter"/>
    <w:link w:val="Tittab"/>
    <w:rsid w:val="00E02FCE"/>
    <w:rPr>
      <w:b/>
      <w:color w:val="4D9D45"/>
      <w:sz w:val="22"/>
    </w:rPr>
  </w:style>
  <w:style w:type="paragraph" w:customStyle="1" w:styleId="CABEZAL">
    <w:name w:val="CABEZAL"/>
    <w:basedOn w:val="Texto"/>
    <w:link w:val="CABEZALCar"/>
    <w:autoRedefine/>
    <w:qFormat/>
    <w:rsid w:val="006F16DA"/>
    <w:pPr>
      <w:spacing w:after="120"/>
    </w:pPr>
    <w:rPr>
      <w:b/>
      <w:color w:val="FFFFFF" w:themeColor="background1"/>
      <w:sz w:val="24"/>
      <w:szCs w:val="24"/>
    </w:rPr>
  </w:style>
  <w:style w:type="character" w:customStyle="1" w:styleId="CABEZALCar">
    <w:name w:val="CABEZAL Car"/>
    <w:basedOn w:val="TextoCar"/>
    <w:link w:val="CABEZAL"/>
    <w:rsid w:val="006F16DA"/>
    <w:rPr>
      <w:b/>
      <w:color w:val="FFFFFF" w:themeColor="background1"/>
      <w:sz w:val="24"/>
      <w:szCs w:val="24"/>
    </w:rPr>
  </w:style>
  <w:style w:type="paragraph" w:styleId="Encabezado">
    <w:name w:val="header"/>
    <w:basedOn w:val="Normal"/>
    <w:link w:val="EncabezadoCar"/>
    <w:uiPriority w:val="99"/>
    <w:unhideWhenUsed/>
    <w:rsid w:val="00680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60B"/>
  </w:style>
  <w:style w:type="paragraph" w:styleId="Piedepgina">
    <w:name w:val="footer"/>
    <w:basedOn w:val="Normal"/>
    <w:link w:val="PiedepginaCar"/>
    <w:uiPriority w:val="99"/>
    <w:unhideWhenUsed/>
    <w:rsid w:val="00680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60B"/>
  </w:style>
  <w:style w:type="paragraph" w:styleId="Prrafodelista">
    <w:name w:val="List Paragraph"/>
    <w:basedOn w:val="Normal"/>
    <w:uiPriority w:val="34"/>
    <w:qFormat/>
    <w:rsid w:val="00541C28"/>
    <w:pPr>
      <w:spacing w:after="0" w:line="240" w:lineRule="auto"/>
      <w:ind w:left="720"/>
      <w:contextualSpacing/>
      <w:jc w:val="left"/>
    </w:pPr>
    <w:rPr>
      <w:rFonts w:asciiTheme="minorHAnsi" w:hAnsiTheme="minorHAnsi"/>
      <w:sz w:val="24"/>
      <w:szCs w:val="24"/>
      <w:lang w:val="en-US"/>
    </w:rPr>
  </w:style>
  <w:style w:type="paragraph" w:styleId="Textonotapie">
    <w:name w:val="footnote text"/>
    <w:basedOn w:val="Normal"/>
    <w:link w:val="TextonotapieCar"/>
    <w:uiPriority w:val="99"/>
    <w:semiHidden/>
    <w:unhideWhenUsed/>
    <w:rsid w:val="00541C28"/>
    <w:pPr>
      <w:spacing w:after="0" w:line="240" w:lineRule="auto"/>
      <w:jc w:val="left"/>
    </w:pPr>
    <w:rPr>
      <w:rFonts w:asciiTheme="minorHAnsi" w:hAnsiTheme="minorHAnsi"/>
      <w:lang w:val="en-US"/>
    </w:rPr>
  </w:style>
  <w:style w:type="character" w:customStyle="1" w:styleId="TextonotapieCar">
    <w:name w:val="Texto nota pie Car"/>
    <w:basedOn w:val="Fuentedeprrafopredeter"/>
    <w:link w:val="Textonotapie"/>
    <w:uiPriority w:val="99"/>
    <w:semiHidden/>
    <w:rsid w:val="00541C28"/>
    <w:rPr>
      <w:rFonts w:asciiTheme="minorHAnsi" w:hAnsiTheme="minorHAnsi"/>
      <w:lang w:val="en-US"/>
    </w:rPr>
  </w:style>
  <w:style w:type="character" w:styleId="Refdenotaalpie">
    <w:name w:val="footnote reference"/>
    <w:basedOn w:val="Fuentedeprrafopredeter"/>
    <w:uiPriority w:val="99"/>
    <w:semiHidden/>
    <w:unhideWhenUsed/>
    <w:rsid w:val="00541C28"/>
    <w:rPr>
      <w:vertAlign w:val="superscript"/>
    </w:rPr>
  </w:style>
  <w:style w:type="paragraph" w:styleId="Descripcin">
    <w:name w:val="caption"/>
    <w:basedOn w:val="Normal"/>
    <w:next w:val="Normal"/>
    <w:uiPriority w:val="35"/>
    <w:unhideWhenUsed/>
    <w:qFormat/>
    <w:rsid w:val="00461895"/>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4618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27C9211-D587-4C86-B193-F766FA7A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1571</Words>
  <Characters>8642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Patino Ascencio</dc:creator>
  <cp:keywords/>
  <dc:description/>
  <cp:lastModifiedBy>Jesus Abihu Rodriguez Avila</cp:lastModifiedBy>
  <cp:revision>3</cp:revision>
  <dcterms:created xsi:type="dcterms:W3CDTF">2022-03-14T18:06:00Z</dcterms:created>
  <dcterms:modified xsi:type="dcterms:W3CDTF">2022-03-14T23:22:00Z</dcterms:modified>
</cp:coreProperties>
</file>