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13D42D7" w:rsidR="009D4D78" w:rsidRPr="00FE7060" w:rsidRDefault="00D95122" w:rsidP="004A209F">
      <w:pPr>
        <w:spacing w:line="276" w:lineRule="auto"/>
        <w:jc w:val="both"/>
        <w:rPr>
          <w:b/>
          <w:bCs/>
          <w:iCs/>
          <w:color w:val="000000"/>
        </w:rPr>
      </w:pPr>
      <w:r w:rsidRPr="00FE7060">
        <w:rPr>
          <w:b/>
          <w:bCs/>
          <w:iCs/>
          <w:color w:val="000000"/>
        </w:rPr>
        <w:t>RECOMENDACIÓN</w:t>
      </w:r>
      <w:r w:rsidR="00297E47">
        <w:rPr>
          <w:b/>
          <w:bCs/>
          <w:iCs/>
          <w:color w:val="000000"/>
        </w:rPr>
        <w:t xml:space="preserve"> </w:t>
      </w:r>
      <w:r w:rsidRPr="00FE7060">
        <w:rPr>
          <w:b/>
          <w:bCs/>
          <w:iCs/>
          <w:color w:val="000000"/>
        </w:rPr>
        <w:t>QUE EMITE EL CONSEJO CONSULTIVO DEL INSTITUTO FEDERAL DE TELECOMUNICACIONES (I</w:t>
      </w:r>
      <w:r w:rsidR="00FE7060">
        <w:rPr>
          <w:b/>
          <w:bCs/>
          <w:iCs/>
          <w:color w:val="000000"/>
        </w:rPr>
        <w:t>NSTITUTO</w:t>
      </w:r>
      <w:r w:rsidRPr="00FE7060">
        <w:rPr>
          <w:b/>
          <w:bCs/>
          <w:iCs/>
          <w:color w:val="000000"/>
        </w:rPr>
        <w:t xml:space="preserve">) </w:t>
      </w:r>
      <w:r w:rsidR="00FE7060">
        <w:rPr>
          <w:b/>
          <w:bCs/>
          <w:iCs/>
          <w:color w:val="000000"/>
        </w:rPr>
        <w:t>SOBRE LOS</w:t>
      </w:r>
      <w:r w:rsidRPr="00FE7060">
        <w:rPr>
          <w:b/>
          <w:bCs/>
          <w:iCs/>
          <w:color w:val="000000"/>
        </w:rPr>
        <w:t xml:space="preserve"> </w:t>
      </w:r>
      <w:r w:rsidRPr="00FE7060">
        <w:rPr>
          <w:b/>
          <w:bCs/>
          <w:iCs/>
          <w:color w:val="2E2E2E"/>
        </w:rPr>
        <w:t>LINEAMIENTOS GENERALES DE ACCESIBILIDAD A LOS SERVICIOS DE TELECOMUNICACIONES PARA LOS USUARIOS CON DISCAPACIDAD</w:t>
      </w:r>
      <w:r w:rsidR="00297E47">
        <w:rPr>
          <w:b/>
          <w:bCs/>
          <w:iCs/>
          <w:color w:val="2E2E2E"/>
        </w:rPr>
        <w:t>.</w:t>
      </w:r>
    </w:p>
    <w:p w14:paraId="5BF37E65" w14:textId="77777777" w:rsidR="005C3B98" w:rsidRDefault="005C3B98" w:rsidP="004A209F">
      <w:pPr>
        <w:spacing w:line="276" w:lineRule="auto"/>
        <w:jc w:val="both"/>
        <w:rPr>
          <w:color w:val="2E2E2E"/>
        </w:rPr>
      </w:pPr>
    </w:p>
    <w:p w14:paraId="19F96941" w14:textId="77777777" w:rsidR="004A209F" w:rsidRDefault="004A209F" w:rsidP="004A209F">
      <w:pPr>
        <w:spacing w:line="276" w:lineRule="auto"/>
        <w:jc w:val="both"/>
        <w:rPr>
          <w:b/>
          <w:u w:val="single"/>
        </w:rPr>
      </w:pPr>
      <w:r>
        <w:rPr>
          <w:b/>
          <w:u w:val="single"/>
        </w:rPr>
        <w:t>Índice</w:t>
      </w:r>
    </w:p>
    <w:p w14:paraId="104793B2" w14:textId="77777777" w:rsidR="004A209F" w:rsidRPr="00594425" w:rsidRDefault="004A209F" w:rsidP="004A209F">
      <w:pPr>
        <w:spacing w:line="276" w:lineRule="auto"/>
        <w:jc w:val="both"/>
        <w:rPr>
          <w:b/>
        </w:rPr>
      </w:pPr>
    </w:p>
    <w:p w14:paraId="24F9C62B" w14:textId="561A3665" w:rsidR="004A209F" w:rsidRDefault="004A209F" w:rsidP="004A209F">
      <w:pPr>
        <w:pStyle w:val="Prrafodelista"/>
        <w:numPr>
          <w:ilvl w:val="0"/>
          <w:numId w:val="4"/>
        </w:numPr>
        <w:spacing w:line="276" w:lineRule="auto"/>
        <w:jc w:val="both"/>
        <w:rPr>
          <w:b/>
        </w:rPr>
      </w:pPr>
      <w:r>
        <w:rPr>
          <w:b/>
        </w:rPr>
        <w:t>Antecedentes</w:t>
      </w:r>
      <w:r w:rsidRPr="00EB35B7">
        <w:rPr>
          <w:b/>
        </w:rPr>
        <w:t>……</w:t>
      </w:r>
      <w:r>
        <w:rPr>
          <w:b/>
        </w:rPr>
        <w:t>……………………………………………………………………</w:t>
      </w:r>
      <w:proofErr w:type="gramStart"/>
      <w:r>
        <w:rPr>
          <w:b/>
        </w:rPr>
        <w:t>…….</w:t>
      </w:r>
      <w:proofErr w:type="gramEnd"/>
      <w:r w:rsidRPr="00EB35B7">
        <w:rPr>
          <w:b/>
        </w:rPr>
        <w:t>……</w:t>
      </w:r>
      <w:r>
        <w:rPr>
          <w:b/>
        </w:rPr>
        <w:t>………………..1</w:t>
      </w:r>
    </w:p>
    <w:p w14:paraId="46A59F40" w14:textId="68DE349A" w:rsidR="004A209F" w:rsidRDefault="004A209F" w:rsidP="004A209F">
      <w:pPr>
        <w:pStyle w:val="Prrafodelista"/>
        <w:numPr>
          <w:ilvl w:val="0"/>
          <w:numId w:val="4"/>
        </w:numPr>
        <w:spacing w:line="276" w:lineRule="auto"/>
        <w:jc w:val="both"/>
        <w:rPr>
          <w:b/>
        </w:rPr>
      </w:pPr>
      <w:r>
        <w:rPr>
          <w:b/>
        </w:rPr>
        <w:t>Situación Actual……………………………………………………………………………………………</w:t>
      </w:r>
      <w:proofErr w:type="gramStart"/>
      <w:r>
        <w:rPr>
          <w:b/>
        </w:rPr>
        <w:t>…….</w:t>
      </w:r>
      <w:proofErr w:type="gramEnd"/>
      <w:r>
        <w:rPr>
          <w:b/>
        </w:rPr>
        <w:t>.</w:t>
      </w:r>
      <w:r w:rsidR="004034CA">
        <w:rPr>
          <w:b/>
        </w:rPr>
        <w:t>1</w:t>
      </w:r>
    </w:p>
    <w:p w14:paraId="1D34236F" w14:textId="178E0B44" w:rsidR="004A209F" w:rsidRPr="004610E3" w:rsidRDefault="004A209F" w:rsidP="004A209F">
      <w:pPr>
        <w:pStyle w:val="Prrafodelista"/>
        <w:numPr>
          <w:ilvl w:val="0"/>
          <w:numId w:val="4"/>
        </w:numPr>
        <w:spacing w:line="276" w:lineRule="auto"/>
        <w:jc w:val="both"/>
        <w:rPr>
          <w:b/>
        </w:rPr>
      </w:pPr>
      <w:r w:rsidRPr="004610E3">
        <w:rPr>
          <w:b/>
        </w:rPr>
        <w:t>Recomendaciones…………………………………………………………… ……………</w:t>
      </w:r>
      <w:proofErr w:type="gramStart"/>
      <w:r w:rsidRPr="004610E3">
        <w:rPr>
          <w:b/>
        </w:rPr>
        <w:t>…….</w:t>
      </w:r>
      <w:proofErr w:type="gramEnd"/>
      <w:r w:rsidRPr="004610E3">
        <w:rPr>
          <w:b/>
        </w:rPr>
        <w:t>.……</w:t>
      </w:r>
      <w:r>
        <w:rPr>
          <w:b/>
        </w:rPr>
        <w:t>……….</w:t>
      </w:r>
      <w:r w:rsidR="00634343">
        <w:rPr>
          <w:b/>
        </w:rPr>
        <w:t>3</w:t>
      </w:r>
    </w:p>
    <w:p w14:paraId="7F62EC16" w14:textId="77777777" w:rsidR="004A209F" w:rsidRPr="00FE7060" w:rsidRDefault="004A209F" w:rsidP="004A209F">
      <w:pPr>
        <w:spacing w:line="276" w:lineRule="auto"/>
        <w:jc w:val="both"/>
        <w:rPr>
          <w:color w:val="2E2E2E"/>
        </w:rPr>
      </w:pPr>
    </w:p>
    <w:p w14:paraId="00000003" w14:textId="11CD7A81" w:rsidR="009D4D78" w:rsidRPr="00FE7060" w:rsidRDefault="004A209F" w:rsidP="004A209F">
      <w:pPr>
        <w:spacing w:line="276" w:lineRule="auto"/>
        <w:jc w:val="both"/>
        <w:rPr>
          <w:b/>
          <w:color w:val="2E2E2E"/>
        </w:rPr>
      </w:pPr>
      <w:r>
        <w:rPr>
          <w:b/>
          <w:color w:val="2E2E2E"/>
        </w:rPr>
        <w:t xml:space="preserve">I. </w:t>
      </w:r>
      <w:r>
        <w:rPr>
          <w:b/>
          <w:color w:val="2E2E2E"/>
        </w:rPr>
        <w:tab/>
      </w:r>
      <w:r w:rsidR="00D95122" w:rsidRPr="004A209F">
        <w:rPr>
          <w:b/>
          <w:color w:val="2E2E2E"/>
          <w:u w:val="single"/>
        </w:rPr>
        <w:t>Antecedentes</w:t>
      </w:r>
    </w:p>
    <w:p w14:paraId="00000004" w14:textId="77777777" w:rsidR="009D4D78" w:rsidRPr="00FE7060" w:rsidRDefault="009D4D78" w:rsidP="004A209F">
      <w:pPr>
        <w:spacing w:line="276" w:lineRule="auto"/>
        <w:jc w:val="both"/>
        <w:rPr>
          <w:color w:val="2E2E2E"/>
        </w:rPr>
      </w:pPr>
    </w:p>
    <w:p w14:paraId="00000005" w14:textId="35268DF9" w:rsidR="009D4D78" w:rsidRPr="004A209F" w:rsidRDefault="00D95122" w:rsidP="005C3B98">
      <w:pPr>
        <w:pStyle w:val="Prrafodelista"/>
        <w:numPr>
          <w:ilvl w:val="0"/>
          <w:numId w:val="5"/>
        </w:numPr>
        <w:spacing w:line="276" w:lineRule="auto"/>
        <w:ind w:left="360"/>
        <w:jc w:val="both"/>
        <w:rPr>
          <w:color w:val="000000"/>
        </w:rPr>
      </w:pPr>
      <w:r w:rsidRPr="004A209F">
        <w:rPr>
          <w:color w:val="2E2E2E"/>
        </w:rPr>
        <w:t>La</w:t>
      </w:r>
      <w:r w:rsidRPr="004A209F">
        <w:rPr>
          <w:color w:val="000000"/>
        </w:rPr>
        <w:t xml:space="preserve"> </w:t>
      </w:r>
      <w:r w:rsidR="00B807B7" w:rsidRPr="004A209F">
        <w:rPr>
          <w:color w:val="000000"/>
        </w:rPr>
        <w:t>Ley Federal de Telecomunicaciones y Radiodifusión (</w:t>
      </w:r>
      <w:r w:rsidRPr="004A209F">
        <w:rPr>
          <w:color w:val="000000"/>
        </w:rPr>
        <w:t>LFTR</w:t>
      </w:r>
      <w:r w:rsidR="00B807B7" w:rsidRPr="004A209F">
        <w:rPr>
          <w:color w:val="000000"/>
        </w:rPr>
        <w:t>)</w:t>
      </w:r>
      <w:r w:rsidRPr="004A209F">
        <w:rPr>
          <w:color w:val="000000"/>
        </w:rPr>
        <w:t xml:space="preserve"> facultó al IFT para </w:t>
      </w:r>
      <w:r w:rsidR="00B807B7" w:rsidRPr="004A209F">
        <w:rPr>
          <w:color w:val="000000"/>
        </w:rPr>
        <w:t xml:space="preserve">que llevara a cabo </w:t>
      </w:r>
      <w:r w:rsidRPr="004A209F">
        <w:rPr>
          <w:color w:val="000000"/>
        </w:rPr>
        <w:t>la emisión e implementación de los lineamientos y mecanismos necesarios para que las personas con discapacidad mejoren sus condiciones de vida a través del uso de los servicios de telecomunicaciones y radiodifusión. Desde 2015 estos lineamientos se emitieron y ahora es obligatorio para los medios cumplir con ellos.</w:t>
      </w:r>
    </w:p>
    <w:p w14:paraId="00000006" w14:textId="77777777" w:rsidR="009D4D78" w:rsidRPr="00FE7060" w:rsidRDefault="009D4D78" w:rsidP="005C3B98">
      <w:pPr>
        <w:spacing w:line="276" w:lineRule="auto"/>
        <w:jc w:val="both"/>
        <w:rPr>
          <w:color w:val="000000"/>
        </w:rPr>
      </w:pPr>
    </w:p>
    <w:p w14:paraId="00000007" w14:textId="6D4B185D" w:rsidR="009D4D78" w:rsidRPr="004A209F" w:rsidRDefault="00D95122" w:rsidP="005C3B98">
      <w:pPr>
        <w:pStyle w:val="Prrafodelista"/>
        <w:numPr>
          <w:ilvl w:val="0"/>
          <w:numId w:val="5"/>
        </w:numPr>
        <w:spacing w:line="276" w:lineRule="auto"/>
        <w:ind w:left="360"/>
        <w:jc w:val="both"/>
        <w:rPr>
          <w:color w:val="000000"/>
        </w:rPr>
      </w:pPr>
      <w:r w:rsidRPr="004A209F">
        <w:rPr>
          <w:color w:val="000000"/>
        </w:rPr>
        <w:t>En diciembre de</w:t>
      </w:r>
      <w:r w:rsidR="00B807B7" w:rsidRPr="004A209F">
        <w:rPr>
          <w:color w:val="000000"/>
        </w:rPr>
        <w:t xml:space="preserve"> ese</w:t>
      </w:r>
      <w:r w:rsidRPr="004A209F">
        <w:rPr>
          <w:color w:val="000000"/>
        </w:rPr>
        <w:t xml:space="preserve"> mismo año se publicó el “Acuerdo por el que se establecen las Disposiciones generales de accesibilidad Web que deben observar las dependencias y entidades de la Administración Pública Federal y las empresas productivas del Estado.”</w:t>
      </w:r>
      <w:r w:rsidRPr="00FE7060">
        <w:rPr>
          <w:vertAlign w:val="superscript"/>
        </w:rPr>
        <w:footnoteReference w:id="1"/>
      </w:r>
    </w:p>
    <w:p w14:paraId="00000008" w14:textId="77777777" w:rsidR="009D4D78" w:rsidRPr="00FE7060" w:rsidRDefault="009D4D78" w:rsidP="005C3B98">
      <w:pPr>
        <w:spacing w:line="276" w:lineRule="auto"/>
        <w:jc w:val="both"/>
        <w:rPr>
          <w:color w:val="000000"/>
        </w:rPr>
      </w:pPr>
    </w:p>
    <w:p w14:paraId="00000009" w14:textId="766C3CA3" w:rsidR="009D4D78" w:rsidRPr="004A209F" w:rsidRDefault="009C513A" w:rsidP="005C3B98">
      <w:pPr>
        <w:pStyle w:val="Prrafodelista"/>
        <w:numPr>
          <w:ilvl w:val="0"/>
          <w:numId w:val="5"/>
        </w:numPr>
        <w:spacing w:line="276" w:lineRule="auto"/>
        <w:ind w:left="360"/>
        <w:jc w:val="both"/>
        <w:rPr>
          <w:color w:val="000000"/>
        </w:rPr>
      </w:pPr>
      <w:r w:rsidRPr="004A209F">
        <w:rPr>
          <w:color w:val="000000"/>
        </w:rPr>
        <w:t>Al carecer de estrategias coordinadas</w:t>
      </w:r>
      <w:r w:rsidRPr="00FE7060">
        <w:t xml:space="preserve"> entre </w:t>
      </w:r>
      <w:r w:rsidR="00211250" w:rsidRPr="00FE7060">
        <w:t>los diferentes brazos del Estado</w:t>
      </w:r>
      <w:r w:rsidRPr="00FE7060">
        <w:t>, la industria, la academia y la sociedad civil</w:t>
      </w:r>
      <w:r w:rsidR="00A90B8B" w:rsidRPr="00FE7060">
        <w:t>,</w:t>
      </w:r>
      <w:r w:rsidRPr="00FE7060">
        <w:t xml:space="preserve"> </w:t>
      </w:r>
      <w:r w:rsidRPr="004A209F">
        <w:rPr>
          <w:color w:val="000000"/>
        </w:rPr>
        <w:t>el avance en la inclusión digital de personas con discapacidad no es evidente.</w:t>
      </w:r>
      <w:r w:rsidRPr="00FE7060">
        <w:rPr>
          <w:rStyle w:val="Refdenotaalpie"/>
          <w:color w:val="000000"/>
        </w:rPr>
        <w:footnoteReference w:id="2"/>
      </w:r>
    </w:p>
    <w:p w14:paraId="0000000A" w14:textId="77777777" w:rsidR="009D4D78" w:rsidRPr="00FE7060" w:rsidRDefault="009D4D78" w:rsidP="004A209F">
      <w:pPr>
        <w:spacing w:line="276" w:lineRule="auto"/>
        <w:jc w:val="both"/>
        <w:rPr>
          <w:color w:val="2E2E2E"/>
        </w:rPr>
      </w:pPr>
    </w:p>
    <w:p w14:paraId="0000000B" w14:textId="50BA8F12" w:rsidR="009D4D78" w:rsidRPr="00FE7060" w:rsidRDefault="004A209F" w:rsidP="004A209F">
      <w:pPr>
        <w:spacing w:line="276" w:lineRule="auto"/>
        <w:jc w:val="both"/>
        <w:rPr>
          <w:b/>
          <w:color w:val="000000"/>
        </w:rPr>
      </w:pPr>
      <w:r>
        <w:rPr>
          <w:b/>
          <w:color w:val="000000"/>
        </w:rPr>
        <w:t>II.</w:t>
      </w:r>
      <w:r>
        <w:rPr>
          <w:b/>
          <w:color w:val="000000"/>
        </w:rPr>
        <w:tab/>
      </w:r>
      <w:r w:rsidR="00D95122" w:rsidRPr="004A209F">
        <w:rPr>
          <w:b/>
          <w:color w:val="000000"/>
          <w:u w:val="single"/>
        </w:rPr>
        <w:t>Situación actual</w:t>
      </w:r>
    </w:p>
    <w:p w14:paraId="0000000C" w14:textId="77777777" w:rsidR="009D4D78" w:rsidRPr="00FE7060" w:rsidRDefault="009D4D78" w:rsidP="004A209F">
      <w:pPr>
        <w:spacing w:after="150" w:line="276" w:lineRule="auto"/>
        <w:jc w:val="both"/>
        <w:rPr>
          <w:color w:val="000000"/>
        </w:rPr>
      </w:pPr>
    </w:p>
    <w:p w14:paraId="0000000D" w14:textId="47CC96D2" w:rsidR="009D4D78" w:rsidRDefault="00D95122" w:rsidP="005C3B98">
      <w:pPr>
        <w:pStyle w:val="Prrafodelista"/>
        <w:numPr>
          <w:ilvl w:val="0"/>
          <w:numId w:val="5"/>
        </w:numPr>
        <w:spacing w:after="150" w:line="276" w:lineRule="auto"/>
        <w:ind w:left="360"/>
        <w:jc w:val="both"/>
        <w:rPr>
          <w:color w:val="000000"/>
        </w:rPr>
      </w:pPr>
      <w:r w:rsidRPr="004A209F">
        <w:rPr>
          <w:color w:val="000000"/>
        </w:rPr>
        <w:t xml:space="preserve">Aun cuando se dispone de todo el sustento legal incluyendo los lineamientos emitidos por el Instituto, existe un vacío de supervisión y verificación a los medios audiovisuales para que las personas con discapacidad puedan ejercer sus derechos a la inclusión y hacer de ello un derecho exigible. </w:t>
      </w:r>
    </w:p>
    <w:p w14:paraId="0EC2DD3E" w14:textId="77777777" w:rsidR="00B44480" w:rsidRPr="004A209F" w:rsidRDefault="00B44480" w:rsidP="00B44480">
      <w:pPr>
        <w:pStyle w:val="Prrafodelista"/>
        <w:spacing w:after="150" w:line="276" w:lineRule="auto"/>
        <w:ind w:left="360"/>
        <w:jc w:val="both"/>
        <w:rPr>
          <w:color w:val="000000"/>
        </w:rPr>
      </w:pPr>
    </w:p>
    <w:p w14:paraId="0000000E" w14:textId="1D4322EC" w:rsidR="009D4D78" w:rsidRDefault="00D95122" w:rsidP="005C3B98">
      <w:pPr>
        <w:pStyle w:val="Prrafodelista"/>
        <w:numPr>
          <w:ilvl w:val="0"/>
          <w:numId w:val="5"/>
        </w:numPr>
        <w:spacing w:after="150" w:line="276" w:lineRule="auto"/>
        <w:ind w:left="360"/>
        <w:jc w:val="both"/>
        <w:rPr>
          <w:color w:val="000000"/>
        </w:rPr>
      </w:pPr>
      <w:r w:rsidRPr="004A209F">
        <w:rPr>
          <w:color w:val="000000"/>
        </w:rPr>
        <w:t>La inclusión digital de personas con discapacidad avanza en muchos casos de forma lenta. El IFT ha dejado de emitir información de este avance.</w:t>
      </w:r>
    </w:p>
    <w:p w14:paraId="339F89B5" w14:textId="77777777" w:rsidR="004A209F" w:rsidRPr="004A209F" w:rsidRDefault="004A209F" w:rsidP="005C3B98">
      <w:pPr>
        <w:pStyle w:val="Prrafodelista"/>
        <w:spacing w:after="150" w:line="276" w:lineRule="auto"/>
        <w:ind w:left="360"/>
        <w:jc w:val="both"/>
        <w:rPr>
          <w:color w:val="000000"/>
        </w:rPr>
      </w:pPr>
    </w:p>
    <w:p w14:paraId="48BE3A92" w14:textId="42E3E0AA" w:rsidR="005C3B98" w:rsidRPr="005C3B98" w:rsidRDefault="00D95122" w:rsidP="005C3B98">
      <w:pPr>
        <w:pStyle w:val="Prrafodelista"/>
        <w:numPr>
          <w:ilvl w:val="0"/>
          <w:numId w:val="5"/>
        </w:numPr>
        <w:spacing w:after="150" w:line="276" w:lineRule="auto"/>
        <w:ind w:left="360"/>
        <w:jc w:val="both"/>
        <w:rPr>
          <w:color w:val="000000"/>
        </w:rPr>
      </w:pPr>
      <w:r w:rsidRPr="004A209F">
        <w:rPr>
          <w:color w:val="000000"/>
        </w:rPr>
        <w:t>Con la falta de supervisión incluso hay retroceso, como es el caso de las televisoras que no respetan los recuadros para los int</w:t>
      </w:r>
      <w:r w:rsidR="00B807B7" w:rsidRPr="004A209F">
        <w:rPr>
          <w:color w:val="000000"/>
        </w:rPr>
        <w:t>é</w:t>
      </w:r>
      <w:r w:rsidRPr="004A209F">
        <w:rPr>
          <w:color w:val="000000"/>
        </w:rPr>
        <w:t>rpretes de Lenguaje de Señas Mexicano (LSM) o</w:t>
      </w:r>
      <w:r w:rsidR="00B807B7" w:rsidRPr="004A209F">
        <w:rPr>
          <w:color w:val="000000"/>
        </w:rPr>
        <w:t>,</w:t>
      </w:r>
      <w:r w:rsidRPr="004A209F">
        <w:rPr>
          <w:color w:val="000000"/>
        </w:rPr>
        <w:t xml:space="preserve"> en su caso, </w:t>
      </w:r>
      <w:r w:rsidR="0023550A" w:rsidRPr="004A209F">
        <w:rPr>
          <w:color w:val="000000"/>
        </w:rPr>
        <w:t xml:space="preserve">interfieren </w:t>
      </w:r>
      <w:r w:rsidRPr="004A209F">
        <w:rPr>
          <w:color w:val="000000"/>
        </w:rPr>
        <w:t xml:space="preserve">con logos el recuadro. </w:t>
      </w:r>
    </w:p>
    <w:p w14:paraId="6A0479B6" w14:textId="77777777" w:rsidR="005C3B98" w:rsidRPr="005C3B98" w:rsidRDefault="005C3B98" w:rsidP="005C3B98">
      <w:pPr>
        <w:pStyle w:val="Prrafodelista"/>
        <w:spacing w:line="276" w:lineRule="auto"/>
        <w:ind w:left="360"/>
        <w:jc w:val="both"/>
        <w:rPr>
          <w:color w:val="000000"/>
        </w:rPr>
      </w:pPr>
    </w:p>
    <w:p w14:paraId="643CAF91" w14:textId="77777777" w:rsidR="005C3B98" w:rsidRDefault="00D95122" w:rsidP="005C3B98">
      <w:pPr>
        <w:pStyle w:val="Prrafodelista"/>
        <w:numPr>
          <w:ilvl w:val="0"/>
          <w:numId w:val="5"/>
        </w:numPr>
        <w:spacing w:after="150" w:line="276" w:lineRule="auto"/>
        <w:ind w:left="360"/>
        <w:jc w:val="both"/>
        <w:rPr>
          <w:color w:val="2E2E2E"/>
        </w:rPr>
      </w:pPr>
      <w:r w:rsidRPr="004A209F">
        <w:rPr>
          <w:color w:val="2E2E2E"/>
        </w:rPr>
        <w:t>Si bien el IFT ha realizado esfuerzos para que los medios audiovisuales, incluyendo las estaciones</w:t>
      </w:r>
      <w:r w:rsidR="0023550A" w:rsidRPr="004A209F">
        <w:rPr>
          <w:color w:val="2E2E2E"/>
        </w:rPr>
        <w:t xml:space="preserve"> radiodifusoras</w:t>
      </w:r>
      <w:r w:rsidRPr="004A209F">
        <w:rPr>
          <w:color w:val="2E2E2E"/>
        </w:rPr>
        <w:t xml:space="preserve"> de televisión</w:t>
      </w:r>
      <w:r w:rsidR="0023550A" w:rsidRPr="004A209F">
        <w:rPr>
          <w:color w:val="2E2E2E"/>
        </w:rPr>
        <w:t xml:space="preserve"> abierta y por cable</w:t>
      </w:r>
      <w:r w:rsidRPr="004A209F">
        <w:rPr>
          <w:color w:val="2E2E2E"/>
        </w:rPr>
        <w:t>, sean accesibles a personas con discapacidad, su propio sitio y su material audiovisual no cumple con sus propios lineamientos ni con los del acuerdo mencionado.</w:t>
      </w:r>
    </w:p>
    <w:p w14:paraId="0728347B" w14:textId="77777777" w:rsidR="005C3B98" w:rsidRPr="005C3B98" w:rsidRDefault="005C3B98" w:rsidP="005C3B98">
      <w:pPr>
        <w:pStyle w:val="Prrafodelista"/>
        <w:rPr>
          <w:color w:val="2E2E2E"/>
        </w:rPr>
      </w:pPr>
    </w:p>
    <w:p w14:paraId="00000011" w14:textId="38F68442" w:rsidR="009D4D78" w:rsidRPr="005C3B98" w:rsidRDefault="00D95122" w:rsidP="005C3B98">
      <w:pPr>
        <w:pStyle w:val="Prrafodelista"/>
        <w:numPr>
          <w:ilvl w:val="0"/>
          <w:numId w:val="5"/>
        </w:numPr>
        <w:spacing w:after="150" w:line="276" w:lineRule="auto"/>
        <w:ind w:left="360"/>
        <w:jc w:val="both"/>
        <w:rPr>
          <w:color w:val="2E2E2E"/>
        </w:rPr>
      </w:pPr>
      <w:r w:rsidRPr="005C3B98">
        <w:rPr>
          <w:color w:val="2E2E2E"/>
        </w:rPr>
        <w:t xml:space="preserve">Hoy el Estado Mexicano carece de una organización que vigile por el cumplimiento de estos derechos. </w:t>
      </w:r>
      <w:r w:rsidR="00152B15" w:rsidRPr="005C3B98">
        <w:rPr>
          <w:color w:val="2E2E2E"/>
        </w:rPr>
        <w:t>E</w:t>
      </w:r>
      <w:r w:rsidRPr="005C3B98">
        <w:rPr>
          <w:color w:val="2E2E2E"/>
        </w:rPr>
        <w:t xml:space="preserve">l </w:t>
      </w:r>
      <w:r w:rsidRPr="005C3B98">
        <w:rPr>
          <w:color w:val="000000"/>
        </w:rPr>
        <w:t>Consejo Nacional de Personas con Discapacidad (CONADIS)</w:t>
      </w:r>
      <w:r w:rsidR="00211250" w:rsidRPr="005C3B98">
        <w:rPr>
          <w:color w:val="000000"/>
        </w:rPr>
        <w:t xml:space="preserve"> </w:t>
      </w:r>
      <w:r w:rsidR="00CC5889" w:rsidRPr="005C3B98">
        <w:rPr>
          <w:color w:val="000000"/>
        </w:rPr>
        <w:t xml:space="preserve">carece de recursos para </w:t>
      </w:r>
      <w:r w:rsidR="00211250" w:rsidRPr="005C3B98">
        <w:rPr>
          <w:color w:val="000000"/>
        </w:rPr>
        <w:t>una</w:t>
      </w:r>
      <w:r w:rsidR="001A3C97" w:rsidRPr="005C3B98">
        <w:rPr>
          <w:color w:val="000000"/>
        </w:rPr>
        <w:t xml:space="preserve"> operación apropiada</w:t>
      </w:r>
      <w:r w:rsidRPr="005C3B98">
        <w:rPr>
          <w:color w:val="000000"/>
        </w:rPr>
        <w:t>. Como consecuencia</w:t>
      </w:r>
      <w:r w:rsidR="00B807B7" w:rsidRPr="005C3B98">
        <w:rPr>
          <w:color w:val="000000"/>
        </w:rPr>
        <w:t>,</w:t>
      </w:r>
      <w:r w:rsidRPr="005C3B98">
        <w:rPr>
          <w:color w:val="000000"/>
        </w:rPr>
        <w:t xml:space="preserve"> en 2020 la CNDH emitió tres exhortos al Estado </w:t>
      </w:r>
      <w:r w:rsidR="00211250" w:rsidRPr="005C3B98">
        <w:rPr>
          <w:color w:val="000000"/>
        </w:rPr>
        <w:t>m</w:t>
      </w:r>
      <w:r w:rsidRPr="005C3B98">
        <w:rPr>
          <w:color w:val="000000"/>
        </w:rPr>
        <w:t>exicano para</w:t>
      </w:r>
      <w:r w:rsidRPr="005C3B98">
        <w:rPr>
          <w:color w:val="3D3D3D"/>
        </w:rPr>
        <w:t>:</w:t>
      </w:r>
    </w:p>
    <w:p w14:paraId="00000012" w14:textId="77777777" w:rsidR="009D4D78" w:rsidRPr="00FE7060" w:rsidRDefault="009D4D78" w:rsidP="004A209F">
      <w:pPr>
        <w:spacing w:line="276" w:lineRule="auto"/>
        <w:jc w:val="both"/>
        <w:rPr>
          <w:color w:val="3D3D3D"/>
        </w:rPr>
      </w:pPr>
    </w:p>
    <w:p w14:paraId="00000013" w14:textId="77777777" w:rsidR="009D4D78" w:rsidRPr="00FE7060" w:rsidRDefault="00D95122" w:rsidP="004A209F">
      <w:pPr>
        <w:numPr>
          <w:ilvl w:val="0"/>
          <w:numId w:val="6"/>
        </w:numPr>
        <w:pBdr>
          <w:top w:val="nil"/>
          <w:left w:val="nil"/>
          <w:bottom w:val="nil"/>
          <w:right w:val="nil"/>
          <w:between w:val="nil"/>
        </w:pBdr>
        <w:spacing w:line="276" w:lineRule="auto"/>
        <w:jc w:val="both"/>
        <w:rPr>
          <w:color w:val="000000"/>
        </w:rPr>
      </w:pPr>
      <w:r w:rsidRPr="00B0092B">
        <w:rPr>
          <w:i/>
          <w:color w:val="2E74B5" w:themeColor="accent5" w:themeShade="BF"/>
          <w:u w:val="single"/>
        </w:rPr>
        <w:t>“Observar las regulaciones internacionales y nacionales en materia de </w:t>
      </w:r>
      <w:hyperlink r:id="rId9">
        <w:r w:rsidRPr="00B0092B">
          <w:rPr>
            <w:i/>
            <w:color w:val="2E74B5" w:themeColor="accent5" w:themeShade="BF"/>
            <w:u w:val="single"/>
          </w:rPr>
          <w:t>accesibilidad web”.</w:t>
        </w:r>
      </w:hyperlink>
      <w:hyperlink r:id="rId10">
        <w:r w:rsidRPr="00FE7060">
          <w:rPr>
            <w:color w:val="4A8CC7"/>
          </w:rPr>
          <w:t> </w:t>
        </w:r>
      </w:hyperlink>
      <w:r w:rsidRPr="00FE7060">
        <w:rPr>
          <w:color w:val="000000"/>
        </w:rPr>
        <w:t xml:space="preserve"> La recomendación comenta que: “le preocupa la escasez de políticas y acciones para garantizar a las personas con discapacidad la accesibilidad web en igualdad de condiciones, a pesar de las disposiciones existentes en esta materia. Los esfuerzos por parte del sector público y privado en materia de accesibilidad web continúan siendo aislados, desarticulados e insuficientes.”</w:t>
      </w:r>
      <w:r w:rsidRPr="00FE7060">
        <w:rPr>
          <w:rFonts w:ascii="inherit" w:eastAsia="inherit" w:hAnsi="inherit" w:cs="inherit"/>
          <w:color w:val="000000"/>
        </w:rPr>
        <w:t xml:space="preserve"> </w:t>
      </w:r>
    </w:p>
    <w:p w14:paraId="00000014" w14:textId="77777777" w:rsidR="009D4D78" w:rsidRPr="00FE7060" w:rsidRDefault="009D4D78" w:rsidP="004A209F">
      <w:pPr>
        <w:pBdr>
          <w:top w:val="nil"/>
          <w:left w:val="nil"/>
          <w:bottom w:val="nil"/>
          <w:right w:val="nil"/>
          <w:between w:val="nil"/>
        </w:pBdr>
        <w:spacing w:line="276" w:lineRule="auto"/>
        <w:ind w:left="502"/>
        <w:jc w:val="both"/>
        <w:rPr>
          <w:color w:val="3D3D3D"/>
        </w:rPr>
      </w:pPr>
    </w:p>
    <w:p w14:paraId="00000015" w14:textId="624AA38A" w:rsidR="009D4D78" w:rsidRPr="00FE7060" w:rsidRDefault="00D95122" w:rsidP="005C3B98">
      <w:pPr>
        <w:pStyle w:val="Prrafodelista"/>
        <w:numPr>
          <w:ilvl w:val="0"/>
          <w:numId w:val="5"/>
        </w:numPr>
        <w:spacing w:line="276" w:lineRule="auto"/>
        <w:ind w:left="360"/>
        <w:jc w:val="both"/>
      </w:pPr>
      <w:r w:rsidRPr="004A209F">
        <w:rPr>
          <w:color w:val="3D3D3D"/>
        </w:rPr>
        <w:t>También señala que</w:t>
      </w:r>
      <w:r w:rsidR="00B807B7" w:rsidRPr="004A209F">
        <w:rPr>
          <w:color w:val="3D3D3D"/>
        </w:rPr>
        <w:t>,</w:t>
      </w:r>
      <w:r w:rsidRPr="004A209F">
        <w:rPr>
          <w:color w:val="3D3D3D"/>
        </w:rPr>
        <w:t xml:space="preserve"> en el contexto de pandemia, la falta de accesibilidad a la información en formatos digitales ha afectado más a las personas con discapacidad.</w:t>
      </w:r>
    </w:p>
    <w:p w14:paraId="00000016" w14:textId="77777777" w:rsidR="009D4D78" w:rsidRPr="00B0092B" w:rsidRDefault="009D4D78" w:rsidP="005C3B98">
      <w:pPr>
        <w:spacing w:line="276" w:lineRule="auto"/>
        <w:jc w:val="both"/>
        <w:rPr>
          <w:color w:val="2E74B5" w:themeColor="accent5" w:themeShade="BF"/>
        </w:rPr>
      </w:pPr>
    </w:p>
    <w:p w14:paraId="5D869618" w14:textId="182597E0" w:rsidR="00B44480" w:rsidRPr="00B44480" w:rsidRDefault="00D33418" w:rsidP="00B44480">
      <w:pPr>
        <w:numPr>
          <w:ilvl w:val="0"/>
          <w:numId w:val="7"/>
        </w:numPr>
        <w:pBdr>
          <w:top w:val="nil"/>
          <w:left w:val="nil"/>
          <w:bottom w:val="nil"/>
          <w:right w:val="nil"/>
          <w:between w:val="nil"/>
        </w:pBdr>
        <w:spacing w:line="276" w:lineRule="auto"/>
        <w:ind w:left="720"/>
        <w:jc w:val="both"/>
        <w:rPr>
          <w:color w:val="3D3D3D"/>
        </w:rPr>
      </w:pPr>
      <w:hyperlink r:id="rId11">
        <w:r w:rsidR="00D95122" w:rsidRPr="00B0092B">
          <w:rPr>
            <w:i/>
            <w:iCs/>
            <w:color w:val="2E74B5" w:themeColor="accent5" w:themeShade="BF"/>
            <w:u w:val="single"/>
          </w:rPr>
          <w:t>Se exhorta al Poder Legislativo a crear una Ley General de Accesibilidad.</w:t>
        </w:r>
      </w:hyperlink>
      <w:hyperlink r:id="rId12">
        <w:r w:rsidR="00D95122" w:rsidRPr="00FE7060">
          <w:rPr>
            <w:i/>
            <w:iCs/>
            <w:color w:val="4A8CC7"/>
          </w:rPr>
          <w:t> </w:t>
        </w:r>
      </w:hyperlink>
      <w:r w:rsidR="00D95122" w:rsidRPr="00FE7060">
        <w:rPr>
          <w:color w:val="3D3D3D"/>
        </w:rPr>
        <w:t xml:space="preserve"> </w:t>
      </w:r>
      <w:r w:rsidR="00211250" w:rsidRPr="00FE7060">
        <w:rPr>
          <w:color w:val="3D3D3D"/>
        </w:rPr>
        <w:t>L</w:t>
      </w:r>
      <w:r w:rsidR="00D95122" w:rsidRPr="00FE7060">
        <w:rPr>
          <w:color w:val="3D3D3D"/>
        </w:rPr>
        <w:t xml:space="preserve">e preocupa </w:t>
      </w:r>
      <w:r w:rsidR="00211250" w:rsidRPr="00FE7060">
        <w:rPr>
          <w:color w:val="3D3D3D"/>
        </w:rPr>
        <w:t>“</w:t>
      </w:r>
      <w:r w:rsidR="00D95122" w:rsidRPr="00FE7060">
        <w:rPr>
          <w:color w:val="3D3D3D"/>
        </w:rPr>
        <w:t>la omisión legislativa y normativa en esta materia donde no se han cumplido compromisos internacionales”, un tema sobre el cual México ya ha recibido observaciones del Comité de expertos de la ONU sobre derechos de las personas con discapacidad.</w:t>
      </w:r>
      <w:r w:rsidR="00D95122" w:rsidRPr="00FE7060">
        <w:rPr>
          <w:color w:val="3D3D3D"/>
          <w:vertAlign w:val="superscript"/>
        </w:rPr>
        <w:footnoteReference w:id="3"/>
      </w:r>
    </w:p>
    <w:p w14:paraId="4636E079" w14:textId="098AC232" w:rsidR="009C513A" w:rsidRDefault="00D33418" w:rsidP="00B44480">
      <w:pPr>
        <w:numPr>
          <w:ilvl w:val="0"/>
          <w:numId w:val="7"/>
        </w:numPr>
        <w:pBdr>
          <w:top w:val="nil"/>
          <w:left w:val="nil"/>
          <w:bottom w:val="nil"/>
          <w:right w:val="nil"/>
          <w:between w:val="nil"/>
        </w:pBdr>
        <w:spacing w:line="276" w:lineRule="auto"/>
        <w:ind w:left="720"/>
        <w:jc w:val="both"/>
        <w:rPr>
          <w:color w:val="3D3D3D"/>
        </w:rPr>
      </w:pPr>
      <w:hyperlink r:id="rId13">
        <w:r w:rsidR="00D95122" w:rsidRPr="00B0092B">
          <w:rPr>
            <w:i/>
            <w:iCs/>
            <w:color w:val="2E74B5" w:themeColor="accent5" w:themeShade="BF"/>
            <w:u w:val="single"/>
          </w:rPr>
          <w:t xml:space="preserve">Se exhorta al </w:t>
        </w:r>
        <w:r w:rsidR="00B807B7" w:rsidRPr="00B0092B">
          <w:rPr>
            <w:i/>
            <w:iCs/>
            <w:color w:val="2E74B5" w:themeColor="accent5" w:themeShade="BF"/>
            <w:u w:val="single"/>
          </w:rPr>
          <w:t xml:space="preserve">Poder Legislativo </w:t>
        </w:r>
        <w:r w:rsidR="00D95122" w:rsidRPr="00B0092B">
          <w:rPr>
            <w:i/>
            <w:iCs/>
            <w:color w:val="2E74B5" w:themeColor="accent5" w:themeShade="BF"/>
            <w:u w:val="single"/>
          </w:rPr>
          <w:t>a “reformar el artículo 11 de la Ley General para la Inclusión de las Personas con Discapacidad</w:t>
        </w:r>
      </w:hyperlink>
      <w:r w:rsidR="00D95122" w:rsidRPr="00B0092B">
        <w:rPr>
          <w:i/>
          <w:iCs/>
          <w:color w:val="2E74B5" w:themeColor="accent5" w:themeShade="BF"/>
          <w:u w:val="single"/>
          <w:vertAlign w:val="superscript"/>
        </w:rPr>
        <w:footnoteReference w:id="4"/>
      </w:r>
      <w:hyperlink r:id="rId14">
        <w:r w:rsidR="00D95122" w:rsidRPr="00FE7060">
          <w:rPr>
            <w:i/>
            <w:iCs/>
            <w:color w:val="4A8CC7"/>
          </w:rPr>
          <w:t> </w:t>
        </w:r>
      </w:hyperlink>
      <w:r w:rsidR="00D95122" w:rsidRPr="00FE7060">
        <w:rPr>
          <w:color w:val="3D3D3D"/>
        </w:rPr>
        <w:t xml:space="preserve">“para que además del fortalecimiento y difusión de los beneficios e incentivos fiscales existentes para favorecer la contratación de trabajadores con discapacidad, se establezcan en la ley porcentajes mínimos obligatorios de empleo y permanencia, tanto en empresas privadas como en las instituciones gubernamentales de todos los niveles. También se exhorta a la Secretaría </w:t>
      </w:r>
      <w:r w:rsidR="00D95122" w:rsidRPr="00FE7060">
        <w:rPr>
          <w:color w:val="3D3D3D"/>
        </w:rPr>
        <w:lastRenderedPageBreak/>
        <w:t>del Trabajo y Previsión Social a que fomente la inclusión laboral de las personas con discapacidad.”</w:t>
      </w:r>
    </w:p>
    <w:p w14:paraId="2B48A845" w14:textId="77777777" w:rsidR="00B44480" w:rsidRPr="00B44480" w:rsidRDefault="00B44480" w:rsidP="00B44480">
      <w:pPr>
        <w:pBdr>
          <w:top w:val="nil"/>
          <w:left w:val="nil"/>
          <w:bottom w:val="nil"/>
          <w:right w:val="nil"/>
          <w:between w:val="nil"/>
        </w:pBdr>
        <w:spacing w:line="276" w:lineRule="auto"/>
        <w:ind w:left="720"/>
        <w:jc w:val="both"/>
        <w:rPr>
          <w:color w:val="3D3D3D"/>
        </w:rPr>
      </w:pPr>
    </w:p>
    <w:p w14:paraId="10A12744" w14:textId="757C58DC" w:rsidR="009C513A" w:rsidRPr="004A209F" w:rsidRDefault="005F7D56" w:rsidP="005C3B98">
      <w:pPr>
        <w:pStyle w:val="Prrafodelista"/>
        <w:numPr>
          <w:ilvl w:val="0"/>
          <w:numId w:val="5"/>
        </w:numPr>
        <w:spacing w:line="276" w:lineRule="auto"/>
        <w:ind w:left="360"/>
        <w:jc w:val="both"/>
        <w:rPr>
          <w:color w:val="2E2E2E"/>
        </w:rPr>
      </w:pPr>
      <w:r w:rsidRPr="004A209F">
        <w:rPr>
          <w:color w:val="2E2E2E"/>
        </w:rPr>
        <w:t xml:space="preserve">Si bien </w:t>
      </w:r>
      <w:r w:rsidR="00CF3624" w:rsidRPr="004A209F">
        <w:rPr>
          <w:color w:val="2E2E2E"/>
        </w:rPr>
        <w:t>la CNDH ha exhortado al Estado mexicano</w:t>
      </w:r>
      <w:r w:rsidR="00A90B8B" w:rsidRPr="004A209F">
        <w:rPr>
          <w:color w:val="2E2E2E"/>
        </w:rPr>
        <w:t>,</w:t>
      </w:r>
      <w:r w:rsidRPr="004A209F">
        <w:rPr>
          <w:color w:val="2E2E2E"/>
        </w:rPr>
        <w:t xml:space="preserve"> </w:t>
      </w:r>
      <w:r w:rsidR="00A168E7" w:rsidRPr="004A209F">
        <w:rPr>
          <w:color w:val="2E2E2E"/>
        </w:rPr>
        <w:t xml:space="preserve">no hay datos </w:t>
      </w:r>
      <w:r w:rsidR="00A90B8B" w:rsidRPr="004A209F">
        <w:rPr>
          <w:color w:val="2E2E2E"/>
        </w:rPr>
        <w:t xml:space="preserve">oficiales </w:t>
      </w:r>
      <w:r w:rsidR="00A168E7" w:rsidRPr="004A209F">
        <w:rPr>
          <w:color w:val="2E2E2E"/>
        </w:rPr>
        <w:t>que indiquen que se atendieron estas recomendaciones</w:t>
      </w:r>
      <w:r w:rsidR="00A90B8B" w:rsidRPr="004A209F">
        <w:rPr>
          <w:color w:val="2E2E2E"/>
        </w:rPr>
        <w:t>. E</w:t>
      </w:r>
      <w:r w:rsidRPr="004A209F">
        <w:rPr>
          <w:color w:val="2E2E2E"/>
        </w:rPr>
        <w:t>s evidente que faltan políticas y acciones</w:t>
      </w:r>
      <w:r w:rsidR="00F84927" w:rsidRPr="004A209F">
        <w:rPr>
          <w:color w:val="2E2E2E"/>
        </w:rPr>
        <w:t xml:space="preserve"> </w:t>
      </w:r>
      <w:r w:rsidR="00CF3624" w:rsidRPr="004A209F">
        <w:rPr>
          <w:color w:val="2E2E2E"/>
        </w:rPr>
        <w:t xml:space="preserve">adecuadas para una </w:t>
      </w:r>
      <w:r w:rsidRPr="004A209F">
        <w:rPr>
          <w:color w:val="2E2E2E"/>
        </w:rPr>
        <w:t xml:space="preserve">total </w:t>
      </w:r>
      <w:r w:rsidR="00CF3624" w:rsidRPr="004A209F">
        <w:rPr>
          <w:color w:val="2E2E2E"/>
        </w:rPr>
        <w:t xml:space="preserve">inclusión digital de </w:t>
      </w:r>
      <w:r w:rsidR="00F84927" w:rsidRPr="004A209F">
        <w:rPr>
          <w:color w:val="2E2E2E"/>
        </w:rPr>
        <w:t xml:space="preserve">las </w:t>
      </w:r>
      <w:r w:rsidR="00CF3624" w:rsidRPr="004A209F">
        <w:rPr>
          <w:color w:val="2E2E2E"/>
        </w:rPr>
        <w:t>personas con discapacidad</w:t>
      </w:r>
      <w:r w:rsidRPr="004A209F">
        <w:rPr>
          <w:color w:val="2E2E2E"/>
        </w:rPr>
        <w:t>.</w:t>
      </w:r>
      <w:r w:rsidR="009E2BE8" w:rsidRPr="004A209F">
        <w:rPr>
          <w:color w:val="2E2E2E"/>
        </w:rPr>
        <w:t xml:space="preserve"> </w:t>
      </w:r>
      <w:r w:rsidRPr="004A209F">
        <w:rPr>
          <w:color w:val="2E2E2E"/>
        </w:rPr>
        <w:t xml:space="preserve">Por otro lado, </w:t>
      </w:r>
      <w:r w:rsidR="009C513A" w:rsidRPr="004A209F">
        <w:rPr>
          <w:color w:val="2E2E2E"/>
        </w:rPr>
        <w:t xml:space="preserve">la validación y verificación </w:t>
      </w:r>
      <w:r w:rsidR="00A168E7" w:rsidRPr="004A209F">
        <w:rPr>
          <w:color w:val="2E2E2E"/>
        </w:rPr>
        <w:t>mínima necesaria</w:t>
      </w:r>
      <w:r w:rsidR="009C513A" w:rsidRPr="004A209F">
        <w:rPr>
          <w:color w:val="2E2E2E"/>
        </w:rPr>
        <w:t xml:space="preserve"> para</w:t>
      </w:r>
      <w:r w:rsidR="00A168E7" w:rsidRPr="004A209F">
        <w:rPr>
          <w:color w:val="2E2E2E"/>
        </w:rPr>
        <w:t xml:space="preserve"> garantizar </w:t>
      </w:r>
      <w:r w:rsidR="00F84927" w:rsidRPr="004A209F">
        <w:rPr>
          <w:color w:val="2E2E2E"/>
        </w:rPr>
        <w:t xml:space="preserve">el ejercicio al derecho que tiene este grupo de la población </w:t>
      </w:r>
      <w:r w:rsidR="00CF3624" w:rsidRPr="004A209F">
        <w:rPr>
          <w:color w:val="2E2E2E"/>
        </w:rPr>
        <w:t>no siempre</w:t>
      </w:r>
      <w:r w:rsidR="00F84927" w:rsidRPr="004A209F">
        <w:rPr>
          <w:color w:val="2E2E2E"/>
        </w:rPr>
        <w:t xml:space="preserve"> </w:t>
      </w:r>
      <w:r w:rsidR="009E2BE8" w:rsidRPr="004A209F">
        <w:rPr>
          <w:color w:val="2E2E2E"/>
        </w:rPr>
        <w:t>se cumple</w:t>
      </w:r>
      <w:r w:rsidR="009C513A" w:rsidRPr="004A209F">
        <w:rPr>
          <w:color w:val="2E2E2E"/>
        </w:rPr>
        <w:t xml:space="preserve">. </w:t>
      </w:r>
      <w:r w:rsidRPr="004A209F">
        <w:rPr>
          <w:color w:val="2E2E2E"/>
        </w:rPr>
        <w:t>Incluso si</w:t>
      </w:r>
      <w:r w:rsidR="00CF3624" w:rsidRPr="004A209F">
        <w:rPr>
          <w:color w:val="2E2E2E"/>
        </w:rPr>
        <w:t xml:space="preserve"> </w:t>
      </w:r>
      <w:r w:rsidR="00211250" w:rsidRPr="004A209F">
        <w:rPr>
          <w:color w:val="2E2E2E"/>
        </w:rPr>
        <w:t>el Consejo Nacional para el Desarrollo y la Inclusión de las Personas con Discapacidad (</w:t>
      </w:r>
      <w:r w:rsidR="009C513A" w:rsidRPr="004A209F">
        <w:rPr>
          <w:color w:val="2E2E2E"/>
        </w:rPr>
        <w:t>CONADIS</w:t>
      </w:r>
      <w:r w:rsidR="00211250" w:rsidRPr="004A209F">
        <w:rPr>
          <w:color w:val="2E2E2E"/>
        </w:rPr>
        <w:t>)</w:t>
      </w:r>
      <w:r w:rsidRPr="004A209F">
        <w:rPr>
          <w:color w:val="2E2E2E"/>
        </w:rPr>
        <w:t xml:space="preserve"> realizara esta tarea</w:t>
      </w:r>
      <w:r w:rsidR="00A90B8B" w:rsidRPr="004A209F">
        <w:rPr>
          <w:color w:val="2E2E2E"/>
        </w:rPr>
        <w:t>,</w:t>
      </w:r>
      <w:r w:rsidRPr="004A209F">
        <w:rPr>
          <w:color w:val="2E2E2E"/>
        </w:rPr>
        <w:t xml:space="preserve"> </w:t>
      </w:r>
      <w:r w:rsidR="009E2BE8" w:rsidRPr="004A209F">
        <w:rPr>
          <w:color w:val="2E2E2E"/>
        </w:rPr>
        <w:t>no lo puede hacer sin la guía del IFT</w:t>
      </w:r>
      <w:r w:rsidR="00211250" w:rsidRPr="004A209F">
        <w:rPr>
          <w:color w:val="2E2E2E"/>
        </w:rPr>
        <w:t>.</w:t>
      </w:r>
      <w:r w:rsidR="009E2BE8" w:rsidRPr="004A209F">
        <w:rPr>
          <w:color w:val="2E2E2E"/>
        </w:rPr>
        <w:t xml:space="preserve"> </w:t>
      </w:r>
      <w:r w:rsidR="00211250" w:rsidRPr="004A209F">
        <w:rPr>
          <w:color w:val="2E2E2E"/>
        </w:rPr>
        <w:t>L</w:t>
      </w:r>
      <w:r w:rsidR="009E2BE8" w:rsidRPr="004A209F">
        <w:rPr>
          <w:color w:val="2E2E2E"/>
        </w:rPr>
        <w:t xml:space="preserve">a carencia de validación y verificación a todos los medios audiovisuales </w:t>
      </w:r>
      <w:r w:rsidR="009C513A" w:rsidRPr="004A209F">
        <w:rPr>
          <w:color w:val="2E2E2E"/>
        </w:rPr>
        <w:t>vulnera</w:t>
      </w:r>
      <w:r w:rsidR="00CF3624" w:rsidRPr="004A209F">
        <w:rPr>
          <w:color w:val="2E2E2E"/>
        </w:rPr>
        <w:t xml:space="preserve"> y repercute en</w:t>
      </w:r>
      <w:r w:rsidR="009C513A" w:rsidRPr="004A209F">
        <w:rPr>
          <w:color w:val="2E2E2E"/>
        </w:rPr>
        <w:t xml:space="preserve"> el ejercicio de</w:t>
      </w:r>
      <w:r w:rsidR="009C513A" w:rsidRPr="004A209F">
        <w:rPr>
          <w:color w:val="000000"/>
        </w:rPr>
        <w:t xml:space="preserve"> derecho a la accesibilidad</w:t>
      </w:r>
      <w:r w:rsidR="00CF3624" w:rsidRPr="004A209F">
        <w:rPr>
          <w:color w:val="000000"/>
        </w:rPr>
        <w:t xml:space="preserve">, </w:t>
      </w:r>
      <w:r w:rsidR="009C513A" w:rsidRPr="004A209F">
        <w:rPr>
          <w:color w:val="000000"/>
        </w:rPr>
        <w:t>pues como ya se señal</w:t>
      </w:r>
      <w:r w:rsidR="009C513A" w:rsidRPr="00FE7060">
        <w:t xml:space="preserve">ó </w:t>
      </w:r>
      <w:r w:rsidR="009C513A" w:rsidRPr="004A209F">
        <w:rPr>
          <w:color w:val="000000"/>
        </w:rPr>
        <w:t>no se está garantizando operativamente este derecho. Hoy los pocos avances para ejerc</w:t>
      </w:r>
      <w:r w:rsidR="009C513A" w:rsidRPr="00FE7060">
        <w:t xml:space="preserve">erlo </w:t>
      </w:r>
      <w:r w:rsidR="009C513A" w:rsidRPr="004A209F">
        <w:rPr>
          <w:color w:val="000000"/>
        </w:rPr>
        <w:t>están</w:t>
      </w:r>
      <w:r w:rsidR="009C513A" w:rsidRPr="00FE7060">
        <w:t xml:space="preserve"> </w:t>
      </w:r>
      <w:r w:rsidR="009C513A" w:rsidRPr="004A209F">
        <w:rPr>
          <w:color w:val="000000"/>
        </w:rPr>
        <w:t xml:space="preserve">del lado </w:t>
      </w:r>
      <w:r w:rsidR="00211250" w:rsidRPr="004A209F">
        <w:rPr>
          <w:color w:val="000000"/>
        </w:rPr>
        <w:t xml:space="preserve">de la </w:t>
      </w:r>
      <w:r w:rsidR="009C513A" w:rsidRPr="004A209F">
        <w:rPr>
          <w:color w:val="000000"/>
        </w:rPr>
        <w:t xml:space="preserve">sociedad civil. </w:t>
      </w:r>
      <w:r w:rsidR="00F84927" w:rsidRPr="004A209F">
        <w:rPr>
          <w:color w:val="000000"/>
        </w:rPr>
        <w:t>Este V Consejo Consultivo del IFT</w:t>
      </w:r>
      <w:r w:rsidR="009E2BE8" w:rsidRPr="004A209F">
        <w:rPr>
          <w:color w:val="000000"/>
        </w:rPr>
        <w:t xml:space="preserve"> </w:t>
      </w:r>
      <w:r w:rsidR="00F84927" w:rsidRPr="004A209F">
        <w:rPr>
          <w:color w:val="000000"/>
        </w:rPr>
        <w:t xml:space="preserve">considera que </w:t>
      </w:r>
      <w:r w:rsidR="00211250" w:rsidRPr="004A209F">
        <w:rPr>
          <w:color w:val="000000"/>
        </w:rPr>
        <w:t xml:space="preserve">el </w:t>
      </w:r>
      <w:r w:rsidR="009E2BE8" w:rsidRPr="004A209F">
        <w:rPr>
          <w:color w:val="2E2E2E"/>
        </w:rPr>
        <w:t xml:space="preserve">Instituto </w:t>
      </w:r>
      <w:r w:rsidR="00211250" w:rsidRPr="004A209F">
        <w:rPr>
          <w:color w:val="2E2E2E"/>
        </w:rPr>
        <w:t xml:space="preserve">debe </w:t>
      </w:r>
      <w:r w:rsidR="009E2BE8" w:rsidRPr="004A209F">
        <w:rPr>
          <w:color w:val="2E2E2E"/>
        </w:rPr>
        <w:t>asum</w:t>
      </w:r>
      <w:r w:rsidR="00211250" w:rsidRPr="004A209F">
        <w:rPr>
          <w:color w:val="2E2E2E"/>
        </w:rPr>
        <w:t>ir</w:t>
      </w:r>
      <w:r w:rsidR="009E2BE8" w:rsidRPr="004A209F">
        <w:rPr>
          <w:color w:val="2E2E2E"/>
        </w:rPr>
        <w:t xml:space="preserve"> el </w:t>
      </w:r>
      <w:r w:rsidR="009C513A" w:rsidRPr="004A209F">
        <w:rPr>
          <w:color w:val="2E2E2E"/>
        </w:rPr>
        <w:t>liderazgo</w:t>
      </w:r>
      <w:r w:rsidR="005404BA" w:rsidRPr="004A209F">
        <w:rPr>
          <w:color w:val="2E2E2E"/>
        </w:rPr>
        <w:t>,</w:t>
      </w:r>
      <w:r w:rsidR="009C513A" w:rsidRPr="004A209F">
        <w:rPr>
          <w:color w:val="2E2E2E"/>
        </w:rPr>
        <w:t xml:space="preserve"> pues </w:t>
      </w:r>
      <w:r w:rsidR="005404BA" w:rsidRPr="004A209F">
        <w:rPr>
          <w:color w:val="2E2E2E"/>
        </w:rPr>
        <w:t xml:space="preserve">no sólo </w:t>
      </w:r>
      <w:r w:rsidR="009C513A" w:rsidRPr="004A209F">
        <w:rPr>
          <w:color w:val="2E2E2E"/>
        </w:rPr>
        <w:t>está dentro de las facultades que le otorga la LFTR</w:t>
      </w:r>
      <w:r w:rsidR="005404BA" w:rsidRPr="004A209F">
        <w:rPr>
          <w:color w:val="2E2E2E"/>
        </w:rPr>
        <w:t>, sino que también en la materia es escaso</w:t>
      </w:r>
      <w:r w:rsidR="009C513A" w:rsidRPr="004A209F">
        <w:rPr>
          <w:color w:val="000000"/>
        </w:rPr>
        <w:t>.</w:t>
      </w:r>
    </w:p>
    <w:p w14:paraId="00000019" w14:textId="77777777" w:rsidR="009D4D78" w:rsidRPr="00FE7060" w:rsidRDefault="009D4D78" w:rsidP="005C3B98">
      <w:pPr>
        <w:spacing w:line="276" w:lineRule="auto"/>
        <w:ind w:left="360"/>
        <w:jc w:val="both"/>
        <w:rPr>
          <w:color w:val="3D3D3D"/>
        </w:rPr>
      </w:pPr>
    </w:p>
    <w:p w14:paraId="09843470" w14:textId="77777777" w:rsidR="005C3B98" w:rsidRDefault="00D95122" w:rsidP="005C3B98">
      <w:pPr>
        <w:pStyle w:val="Prrafodelista"/>
        <w:numPr>
          <w:ilvl w:val="0"/>
          <w:numId w:val="5"/>
        </w:numPr>
        <w:spacing w:after="150" w:line="276" w:lineRule="auto"/>
        <w:ind w:left="360"/>
        <w:jc w:val="both"/>
        <w:rPr>
          <w:color w:val="000000"/>
        </w:rPr>
      </w:pPr>
      <w:r w:rsidRPr="004A209F">
        <w:rPr>
          <w:color w:val="000000"/>
        </w:rPr>
        <w:t>Es evidente que sin la cooperación de otras instituciones y organizaciones especializadas en las estrategias de inclusión digital el IFT no tiene la capacidad para verificar y supervisar que los medios audiovisuales establecidos y las redes comunitarias de nueva creación avancen en la inclusión de las personas con discapacidad.</w:t>
      </w:r>
    </w:p>
    <w:p w14:paraId="2FDC6C01" w14:textId="77777777" w:rsidR="005C3B98" w:rsidRPr="005C3B98" w:rsidRDefault="005C3B98" w:rsidP="005C3B98">
      <w:pPr>
        <w:pStyle w:val="Prrafodelista"/>
        <w:rPr>
          <w:color w:val="000000"/>
        </w:rPr>
      </w:pPr>
    </w:p>
    <w:p w14:paraId="1E0A9CDF" w14:textId="66218FA8" w:rsidR="005F52F2" w:rsidRDefault="00D95122" w:rsidP="005F52F2">
      <w:pPr>
        <w:pStyle w:val="Prrafodelista"/>
        <w:numPr>
          <w:ilvl w:val="0"/>
          <w:numId w:val="5"/>
        </w:numPr>
        <w:spacing w:line="276" w:lineRule="auto"/>
        <w:ind w:left="360"/>
        <w:jc w:val="both"/>
        <w:rPr>
          <w:color w:val="000000"/>
        </w:rPr>
      </w:pPr>
      <w:r w:rsidRPr="005C3B98">
        <w:rPr>
          <w:color w:val="000000"/>
        </w:rPr>
        <w:t>El derecho de los mexicanos a la accesibilidad digital debe ser garantizado por el IFT</w:t>
      </w:r>
      <w:r w:rsidR="002020DC" w:rsidRPr="005C3B98">
        <w:rPr>
          <w:color w:val="000000"/>
        </w:rPr>
        <w:t xml:space="preserve">. Para </w:t>
      </w:r>
      <w:r w:rsidRPr="005C3B98">
        <w:rPr>
          <w:color w:val="000000"/>
        </w:rPr>
        <w:t>ello requiere de presupuesto</w:t>
      </w:r>
      <w:r w:rsidR="00DE3C11" w:rsidRPr="005C3B98">
        <w:rPr>
          <w:color w:val="000000"/>
        </w:rPr>
        <w:t xml:space="preserve"> y recursos destinados a este fin</w:t>
      </w:r>
      <w:r w:rsidR="005C3B98">
        <w:rPr>
          <w:color w:val="000000"/>
        </w:rPr>
        <w:t>.</w:t>
      </w:r>
    </w:p>
    <w:p w14:paraId="30910CAE" w14:textId="77777777" w:rsidR="005F52F2" w:rsidRPr="005F52F2" w:rsidRDefault="005F52F2" w:rsidP="005F52F2">
      <w:pPr>
        <w:spacing w:line="276" w:lineRule="auto"/>
        <w:jc w:val="both"/>
        <w:rPr>
          <w:color w:val="000000"/>
        </w:rPr>
      </w:pPr>
    </w:p>
    <w:p w14:paraId="0000001D" w14:textId="124D0FB8" w:rsidR="009D4D78" w:rsidRPr="00FE7060" w:rsidRDefault="00FE7060" w:rsidP="004A209F">
      <w:pPr>
        <w:spacing w:line="276" w:lineRule="auto"/>
        <w:jc w:val="both"/>
        <w:rPr>
          <w:b/>
          <w:bCs/>
        </w:rPr>
      </w:pPr>
      <w:r w:rsidRPr="00FE7060">
        <w:rPr>
          <w:b/>
          <w:bCs/>
        </w:rPr>
        <w:t>II.</w:t>
      </w:r>
      <w:r w:rsidRPr="00FE7060">
        <w:rPr>
          <w:b/>
          <w:bCs/>
        </w:rPr>
        <w:tab/>
      </w:r>
      <w:r w:rsidR="00D95122" w:rsidRPr="00FE7060">
        <w:rPr>
          <w:b/>
          <w:bCs/>
          <w:u w:val="single"/>
        </w:rPr>
        <w:t>R</w:t>
      </w:r>
      <w:r w:rsidRPr="00FE7060">
        <w:rPr>
          <w:b/>
          <w:bCs/>
          <w:u w:val="single"/>
        </w:rPr>
        <w:t>ecomendaciones</w:t>
      </w:r>
    </w:p>
    <w:p w14:paraId="0000001E" w14:textId="77777777" w:rsidR="009D4D78" w:rsidRPr="00FE7060" w:rsidRDefault="009D4D78" w:rsidP="004A209F">
      <w:pPr>
        <w:spacing w:line="276" w:lineRule="auto"/>
        <w:jc w:val="both"/>
      </w:pPr>
    </w:p>
    <w:p w14:paraId="0000001F" w14:textId="36CD46C7" w:rsidR="009D4D78" w:rsidRDefault="00CF3624" w:rsidP="004A209F">
      <w:pPr>
        <w:numPr>
          <w:ilvl w:val="0"/>
          <w:numId w:val="1"/>
        </w:numPr>
        <w:pBdr>
          <w:top w:val="nil"/>
          <w:left w:val="nil"/>
          <w:bottom w:val="nil"/>
          <w:right w:val="nil"/>
          <w:between w:val="nil"/>
        </w:pBdr>
        <w:spacing w:line="276" w:lineRule="auto"/>
        <w:jc w:val="both"/>
        <w:rPr>
          <w:color w:val="000000"/>
        </w:rPr>
      </w:pPr>
      <w:r w:rsidRPr="00FE7060">
        <w:t xml:space="preserve">Buscar que en el </w:t>
      </w:r>
      <w:r w:rsidR="00152B15" w:rsidRPr="00FE7060">
        <w:t>Presupuesto de Egresos de la Federación</w:t>
      </w:r>
      <w:r w:rsidR="00A016F8" w:rsidRPr="00FE7060">
        <w:t xml:space="preserve"> </w:t>
      </w:r>
      <w:r w:rsidR="00152B15" w:rsidRPr="00FE7060">
        <w:t>(</w:t>
      </w:r>
      <w:r w:rsidRPr="00FE7060">
        <w:t>PEF</w:t>
      </w:r>
      <w:r w:rsidR="00152B15" w:rsidRPr="00FE7060">
        <w:t>) para el año</w:t>
      </w:r>
      <w:r w:rsidRPr="00FE7060">
        <w:t xml:space="preserve"> 2022 se asigne </w:t>
      </w:r>
      <w:r w:rsidRPr="00FE7060">
        <w:rPr>
          <w:color w:val="000000"/>
        </w:rPr>
        <w:t xml:space="preserve">presupuesto para </w:t>
      </w:r>
      <w:r w:rsidR="0023550A" w:rsidRPr="00FE7060">
        <w:rPr>
          <w:color w:val="000000"/>
        </w:rPr>
        <w:t xml:space="preserve">el </w:t>
      </w:r>
      <w:r w:rsidRPr="00FE7060">
        <w:rPr>
          <w:color w:val="000000"/>
        </w:rPr>
        <w:t xml:space="preserve">desarrollo y </w:t>
      </w:r>
      <w:r w:rsidR="0023550A" w:rsidRPr="00FE7060">
        <w:rPr>
          <w:color w:val="000000"/>
        </w:rPr>
        <w:t xml:space="preserve">la </w:t>
      </w:r>
      <w:r w:rsidRPr="00FE7060">
        <w:rPr>
          <w:color w:val="000000"/>
        </w:rPr>
        <w:t xml:space="preserve">mejora de aplicaciones digitales para todos </w:t>
      </w:r>
      <w:r w:rsidR="005404BA" w:rsidRPr="00FE7060">
        <w:rPr>
          <w:color w:val="000000"/>
        </w:rPr>
        <w:t xml:space="preserve">los </w:t>
      </w:r>
      <w:r w:rsidRPr="00FE7060">
        <w:rPr>
          <w:color w:val="000000"/>
        </w:rPr>
        <w:t xml:space="preserve">medios audiovisuales a través de convenios con </w:t>
      </w:r>
      <w:r w:rsidR="0023550A" w:rsidRPr="00FE7060">
        <w:rPr>
          <w:color w:val="000000"/>
        </w:rPr>
        <w:t xml:space="preserve">instituciones y </w:t>
      </w:r>
      <w:r w:rsidRPr="00FE7060">
        <w:rPr>
          <w:color w:val="000000"/>
        </w:rPr>
        <w:t>organizaciones especializadas en el tema y la academia.</w:t>
      </w:r>
    </w:p>
    <w:p w14:paraId="7C2113D6" w14:textId="77777777" w:rsidR="005C3B98" w:rsidRPr="00FE7060" w:rsidRDefault="005C3B98" w:rsidP="005C3B98">
      <w:pPr>
        <w:pBdr>
          <w:top w:val="nil"/>
          <w:left w:val="nil"/>
          <w:bottom w:val="nil"/>
          <w:right w:val="nil"/>
          <w:between w:val="nil"/>
        </w:pBdr>
        <w:spacing w:line="276" w:lineRule="auto"/>
        <w:ind w:left="720"/>
        <w:jc w:val="both"/>
        <w:rPr>
          <w:color w:val="000000"/>
        </w:rPr>
      </w:pPr>
    </w:p>
    <w:p w14:paraId="00000020" w14:textId="1C02E6E4" w:rsidR="009D4D78" w:rsidRDefault="00D95122" w:rsidP="004A209F">
      <w:pPr>
        <w:numPr>
          <w:ilvl w:val="0"/>
          <w:numId w:val="1"/>
        </w:numPr>
        <w:pBdr>
          <w:top w:val="nil"/>
          <w:left w:val="nil"/>
          <w:bottom w:val="nil"/>
          <w:right w:val="nil"/>
          <w:between w:val="nil"/>
        </w:pBdr>
        <w:spacing w:line="276" w:lineRule="auto"/>
        <w:jc w:val="both"/>
        <w:rPr>
          <w:color w:val="000000"/>
        </w:rPr>
      </w:pPr>
      <w:r w:rsidRPr="00FE7060">
        <w:rPr>
          <w:color w:val="000000"/>
        </w:rPr>
        <w:t xml:space="preserve">Desarrollar convenios con organizaciones </w:t>
      </w:r>
      <w:r w:rsidR="0023550A" w:rsidRPr="00FE7060">
        <w:rPr>
          <w:color w:val="000000"/>
        </w:rPr>
        <w:t xml:space="preserve">certificadas </w:t>
      </w:r>
      <w:r w:rsidRPr="00FE7060">
        <w:rPr>
          <w:color w:val="000000"/>
        </w:rPr>
        <w:t>para apoyar el trabajo de implantación, validación y verificación de los lineamientos actuales y</w:t>
      </w:r>
      <w:r w:rsidR="002020DC" w:rsidRPr="00FE7060">
        <w:rPr>
          <w:color w:val="000000"/>
        </w:rPr>
        <w:t>,</w:t>
      </w:r>
      <w:r w:rsidRPr="00FE7060">
        <w:rPr>
          <w:color w:val="000000"/>
        </w:rPr>
        <w:t xml:space="preserve"> en su caso, formar un consejo operativo con organizaciones civiles expertas</w:t>
      </w:r>
      <w:r w:rsidR="0023550A" w:rsidRPr="00FE7060">
        <w:rPr>
          <w:color w:val="000000"/>
        </w:rPr>
        <w:t xml:space="preserve"> en la materia</w:t>
      </w:r>
      <w:r w:rsidRPr="00FE7060">
        <w:rPr>
          <w:color w:val="000000"/>
        </w:rPr>
        <w:t xml:space="preserve"> encargadas de verificar y evaluar los lineamientos emitidos por el propio IFT.</w:t>
      </w:r>
    </w:p>
    <w:p w14:paraId="36606CE7" w14:textId="77777777" w:rsidR="005C3B98" w:rsidRPr="00FE7060" w:rsidRDefault="005C3B98" w:rsidP="005C3B98">
      <w:pPr>
        <w:pBdr>
          <w:top w:val="nil"/>
          <w:left w:val="nil"/>
          <w:bottom w:val="nil"/>
          <w:right w:val="nil"/>
          <w:between w:val="nil"/>
        </w:pBdr>
        <w:spacing w:line="276" w:lineRule="auto"/>
        <w:jc w:val="both"/>
        <w:rPr>
          <w:color w:val="000000"/>
        </w:rPr>
      </w:pPr>
    </w:p>
    <w:p w14:paraId="00000021" w14:textId="7DE47B3D" w:rsidR="009D4D78" w:rsidRDefault="00D95122" w:rsidP="004A209F">
      <w:pPr>
        <w:numPr>
          <w:ilvl w:val="0"/>
          <w:numId w:val="1"/>
        </w:numPr>
        <w:pBdr>
          <w:top w:val="nil"/>
          <w:left w:val="nil"/>
          <w:bottom w:val="nil"/>
          <w:right w:val="nil"/>
          <w:between w:val="nil"/>
        </w:pBdr>
        <w:spacing w:line="276" w:lineRule="auto"/>
        <w:jc w:val="both"/>
        <w:rPr>
          <w:color w:val="000000"/>
        </w:rPr>
      </w:pPr>
      <w:r w:rsidRPr="00FE7060">
        <w:rPr>
          <w:color w:val="000000"/>
        </w:rPr>
        <w:lastRenderedPageBreak/>
        <w:t>Mantener una consulta permanente con los usuarios de los servicios</w:t>
      </w:r>
      <w:r w:rsidR="005404BA" w:rsidRPr="00FE7060">
        <w:rPr>
          <w:color w:val="000000"/>
        </w:rPr>
        <w:t>, por los medios que el IFT determine adecuados,</w:t>
      </w:r>
      <w:r w:rsidRPr="00FE7060">
        <w:rPr>
          <w:color w:val="000000"/>
        </w:rPr>
        <w:t xml:space="preserve"> para verificar que los lineamientos son acordes a los cambios tecnológicos. </w:t>
      </w:r>
    </w:p>
    <w:p w14:paraId="4158CABF" w14:textId="77777777" w:rsidR="005C3B98" w:rsidRPr="00FE7060" w:rsidRDefault="005C3B98" w:rsidP="005C3B98">
      <w:pPr>
        <w:pBdr>
          <w:top w:val="nil"/>
          <w:left w:val="nil"/>
          <w:bottom w:val="nil"/>
          <w:right w:val="nil"/>
          <w:between w:val="nil"/>
        </w:pBdr>
        <w:spacing w:line="276" w:lineRule="auto"/>
        <w:jc w:val="both"/>
        <w:rPr>
          <w:color w:val="000000"/>
        </w:rPr>
      </w:pPr>
    </w:p>
    <w:p w14:paraId="00000022" w14:textId="325F9878" w:rsidR="009D4D78" w:rsidRDefault="00DE3C11" w:rsidP="004A209F">
      <w:pPr>
        <w:pStyle w:val="Prrafodelista"/>
        <w:numPr>
          <w:ilvl w:val="0"/>
          <w:numId w:val="1"/>
        </w:numPr>
        <w:spacing w:line="276" w:lineRule="auto"/>
        <w:jc w:val="both"/>
        <w:rPr>
          <w:rFonts w:cstheme="minorHAnsi"/>
        </w:rPr>
      </w:pPr>
      <w:r w:rsidRPr="00FE7060">
        <w:rPr>
          <w:color w:val="000000"/>
        </w:rPr>
        <w:t>Dedicar recursos de la Coordinación General de Política del Usuario</w:t>
      </w:r>
      <w:r w:rsidR="00D95122" w:rsidRPr="00FE7060">
        <w:rPr>
          <w:color w:val="000000"/>
        </w:rPr>
        <w:t xml:space="preserve"> a la accesibilidad</w:t>
      </w:r>
      <w:r w:rsidRPr="00FE7060">
        <w:rPr>
          <w:color w:val="000000"/>
        </w:rPr>
        <w:t xml:space="preserve"> y, para ello, incrementar el empleo de </w:t>
      </w:r>
      <w:r w:rsidR="00D95122" w:rsidRPr="00FE7060">
        <w:rPr>
          <w:color w:val="000000"/>
        </w:rPr>
        <w:t>personas con discapacidad visual o auditiva</w:t>
      </w:r>
      <w:r w:rsidRPr="00FE7060">
        <w:rPr>
          <w:color w:val="000000"/>
        </w:rPr>
        <w:t xml:space="preserve"> conforme a lo que sugiere la NORMA MEXICANA NMX-R-025-SCFI-2015 </w:t>
      </w:r>
      <w:r w:rsidR="005404BA" w:rsidRPr="00FE7060">
        <w:rPr>
          <w:color w:val="000000"/>
        </w:rPr>
        <w:t>en igualdad laboral y no discriminación</w:t>
      </w:r>
      <w:r w:rsidR="00D95122" w:rsidRPr="00FE7060">
        <w:rPr>
          <w:color w:val="000000"/>
        </w:rPr>
        <w:t>.</w:t>
      </w:r>
      <w:r w:rsidR="00152B15" w:rsidRPr="00FE7060">
        <w:rPr>
          <w:rFonts w:cstheme="minorHAnsi"/>
        </w:rPr>
        <w:t xml:space="preserve"> Esto puede generar un impacto favorable para incorporar una cultura de accesibilidad</w:t>
      </w:r>
      <w:r w:rsidR="00A016F8" w:rsidRPr="00FE7060">
        <w:rPr>
          <w:rFonts w:cstheme="minorHAnsi"/>
        </w:rPr>
        <w:t>.</w:t>
      </w:r>
    </w:p>
    <w:p w14:paraId="1868FD1A" w14:textId="77777777" w:rsidR="005C3B98" w:rsidRPr="005C3B98" w:rsidRDefault="005C3B98" w:rsidP="005C3B98">
      <w:pPr>
        <w:spacing w:line="276" w:lineRule="auto"/>
        <w:jc w:val="both"/>
        <w:rPr>
          <w:rFonts w:cstheme="minorHAnsi"/>
        </w:rPr>
      </w:pPr>
    </w:p>
    <w:p w14:paraId="00000023" w14:textId="77296E3B" w:rsidR="009D4D78" w:rsidRDefault="00D95122" w:rsidP="004A209F">
      <w:pPr>
        <w:numPr>
          <w:ilvl w:val="0"/>
          <w:numId w:val="1"/>
        </w:numPr>
        <w:pBdr>
          <w:top w:val="nil"/>
          <w:left w:val="nil"/>
          <w:bottom w:val="nil"/>
          <w:right w:val="nil"/>
          <w:between w:val="nil"/>
        </w:pBdr>
        <w:spacing w:line="276" w:lineRule="auto"/>
        <w:jc w:val="both"/>
        <w:rPr>
          <w:color w:val="000000"/>
        </w:rPr>
      </w:pPr>
      <w:r w:rsidRPr="00FE7060">
        <w:rPr>
          <w:color w:val="000000"/>
        </w:rPr>
        <w:t>Actualizar los informes en materia de accesibilidad en el sitio</w:t>
      </w:r>
      <w:r w:rsidR="005404BA" w:rsidRPr="00FE7060">
        <w:rPr>
          <w:color w:val="000000"/>
        </w:rPr>
        <w:t xml:space="preserve"> del Instituto</w:t>
      </w:r>
      <w:r w:rsidR="00A016F8" w:rsidRPr="00FE7060">
        <w:rPr>
          <w:rStyle w:val="Refdenotaalpie"/>
          <w:color w:val="000000"/>
        </w:rPr>
        <w:footnoteReference w:id="5"/>
      </w:r>
      <w:r w:rsidR="00A016F8" w:rsidRPr="00FE7060">
        <w:rPr>
          <w:color w:val="000000"/>
        </w:rPr>
        <w:t>.</w:t>
      </w:r>
      <w:r w:rsidR="00A016F8" w:rsidRPr="00FE7060" w:rsidDel="00A016F8">
        <w:rPr>
          <w:color w:val="000000"/>
        </w:rPr>
        <w:t xml:space="preserve"> </w:t>
      </w:r>
    </w:p>
    <w:p w14:paraId="0B76D49C" w14:textId="77777777" w:rsidR="005C3B98" w:rsidRPr="00FE7060" w:rsidRDefault="005C3B98" w:rsidP="005C3B98">
      <w:pPr>
        <w:pBdr>
          <w:top w:val="nil"/>
          <w:left w:val="nil"/>
          <w:bottom w:val="nil"/>
          <w:right w:val="nil"/>
          <w:between w:val="nil"/>
        </w:pBdr>
        <w:spacing w:line="276" w:lineRule="auto"/>
        <w:jc w:val="both"/>
        <w:rPr>
          <w:color w:val="000000"/>
        </w:rPr>
      </w:pPr>
    </w:p>
    <w:p w14:paraId="41BE4406" w14:textId="650B67FE" w:rsidR="003077FF" w:rsidRPr="003077FF" w:rsidRDefault="00D95122" w:rsidP="003077FF">
      <w:pPr>
        <w:numPr>
          <w:ilvl w:val="0"/>
          <w:numId w:val="1"/>
        </w:numPr>
        <w:pBdr>
          <w:top w:val="nil"/>
          <w:left w:val="nil"/>
          <w:bottom w:val="nil"/>
          <w:right w:val="nil"/>
          <w:between w:val="nil"/>
        </w:pBdr>
        <w:spacing w:line="276" w:lineRule="auto"/>
        <w:jc w:val="both"/>
        <w:rPr>
          <w:color w:val="000000"/>
        </w:rPr>
      </w:pPr>
      <w:r w:rsidRPr="00FE7060">
        <w:rPr>
          <w:color w:val="000000"/>
        </w:rPr>
        <w:t>Verificar que los parámetros de la accesibilidad en los recuadros de televisión para LSM cumplan con lineamientos, en consulta permanente con los usuarios y titulares del derecho a la accesibilidad a la información.</w:t>
      </w:r>
    </w:p>
    <w:p w14:paraId="67B12AFE" w14:textId="55C5BBF1" w:rsidR="002142E6" w:rsidRPr="005F52F2" w:rsidRDefault="00A016F8" w:rsidP="005F52F2">
      <w:pPr>
        <w:pStyle w:val="m-726356541951961692msolistparagraph"/>
        <w:numPr>
          <w:ilvl w:val="0"/>
          <w:numId w:val="1"/>
        </w:numPr>
        <w:spacing w:line="276" w:lineRule="auto"/>
        <w:jc w:val="both"/>
        <w:rPr>
          <w:rFonts w:ascii="Calibri" w:eastAsia="Calibri" w:hAnsi="Calibri" w:cs="Calibri"/>
          <w:color w:val="000000"/>
          <w:lang w:eastAsia="es-MX"/>
        </w:rPr>
      </w:pPr>
      <w:r w:rsidRPr="00FE7060">
        <w:rPr>
          <w:rFonts w:ascii="Calibri" w:eastAsia="Calibri" w:hAnsi="Calibri" w:cs="Calibri"/>
          <w:color w:val="000000"/>
          <w:lang w:eastAsia="es-MX"/>
        </w:rPr>
        <w:t>En el ámbito de su competencia, difundir y promover la aplicación de</w:t>
      </w:r>
      <w:r w:rsidR="008B339A" w:rsidRPr="00FE7060">
        <w:rPr>
          <w:rFonts w:ascii="Calibri" w:eastAsia="Calibri" w:hAnsi="Calibri" w:cs="Calibri"/>
          <w:color w:val="000000"/>
          <w:lang w:eastAsia="es-MX"/>
        </w:rPr>
        <w:t xml:space="preserve"> la NORMA MEXICANA </w:t>
      </w:r>
      <w:r w:rsidRPr="00FE7060">
        <w:rPr>
          <w:rFonts w:ascii="Calibri" w:eastAsia="Calibri" w:hAnsi="Calibri" w:cs="Calibri"/>
          <w:color w:val="000000"/>
          <w:lang w:eastAsia="es-MX"/>
        </w:rPr>
        <w:t>“NMX-R-099-SCFI-2018-Requisitos de accesibilidad de productos y servicios de Tecnologías de la Información y la Comunicación (TIC) aplicables a la contratación pública en México”,</w:t>
      </w:r>
      <w:r w:rsidRPr="00FE7060">
        <w:rPr>
          <w:rStyle w:val="Refdenotaalpie"/>
          <w:rFonts w:ascii="Calibri" w:eastAsia="Calibri" w:hAnsi="Calibri" w:cs="Calibri"/>
          <w:color w:val="000000"/>
          <w:lang w:eastAsia="es-MX"/>
        </w:rPr>
        <w:footnoteReference w:id="6"/>
      </w:r>
      <w:r w:rsidRPr="00FE7060">
        <w:rPr>
          <w:rFonts w:ascii="Calibri" w:eastAsia="Calibri" w:hAnsi="Calibri" w:cs="Calibri"/>
          <w:color w:val="000000"/>
          <w:lang w:eastAsia="es-MX"/>
        </w:rPr>
        <w:t xml:space="preserve"> para que el Instituto y las instituciones públicas de México usen productos y servicios TIC accesibles</w:t>
      </w:r>
      <w:r w:rsidR="005F52F2">
        <w:rPr>
          <w:rFonts w:ascii="Calibri" w:eastAsia="Calibri" w:hAnsi="Calibri" w:cs="Calibri"/>
          <w:color w:val="000000"/>
          <w:lang w:eastAsia="es-MX"/>
        </w:rPr>
        <w:t>.</w:t>
      </w:r>
    </w:p>
    <w:p w14:paraId="1C67A36E" w14:textId="77777777" w:rsidR="00373300" w:rsidRPr="00373300" w:rsidRDefault="00373300" w:rsidP="00373300">
      <w:pPr>
        <w:pBdr>
          <w:top w:val="nil"/>
          <w:left w:val="nil"/>
          <w:bottom w:val="nil"/>
          <w:right w:val="nil"/>
          <w:between w:val="nil"/>
        </w:pBdr>
        <w:spacing w:line="276" w:lineRule="auto"/>
        <w:ind w:left="720"/>
        <w:jc w:val="both"/>
        <w:rPr>
          <w:color w:val="000000"/>
        </w:rPr>
      </w:pPr>
    </w:p>
    <w:p w14:paraId="4EF568C2" w14:textId="4BDB78CA" w:rsidR="00373300" w:rsidRPr="00373300" w:rsidRDefault="00373300" w:rsidP="00373300">
      <w:pPr>
        <w:pBdr>
          <w:top w:val="nil"/>
          <w:left w:val="nil"/>
          <w:bottom w:val="nil"/>
          <w:right w:val="nil"/>
          <w:between w:val="nil"/>
        </w:pBdr>
        <w:spacing w:line="276" w:lineRule="auto"/>
        <w:ind w:left="720"/>
        <w:jc w:val="center"/>
        <w:rPr>
          <w:b/>
          <w:bCs/>
          <w:color w:val="000000"/>
        </w:rPr>
      </w:pPr>
      <w:r w:rsidRPr="00373300">
        <w:rPr>
          <w:b/>
          <w:bCs/>
          <w:color w:val="000000"/>
        </w:rPr>
        <w:t>Dr. Ernesto M. Flores-Roux</w:t>
      </w:r>
    </w:p>
    <w:p w14:paraId="37C0C45A" w14:textId="77777777" w:rsidR="00373300" w:rsidRPr="00373300" w:rsidRDefault="00373300" w:rsidP="00373300">
      <w:pPr>
        <w:pBdr>
          <w:top w:val="nil"/>
          <w:left w:val="nil"/>
          <w:bottom w:val="nil"/>
          <w:right w:val="nil"/>
          <w:between w:val="nil"/>
        </w:pBdr>
        <w:spacing w:line="276" w:lineRule="auto"/>
        <w:ind w:left="720"/>
        <w:jc w:val="center"/>
        <w:rPr>
          <w:b/>
          <w:bCs/>
          <w:color w:val="000000"/>
        </w:rPr>
      </w:pPr>
      <w:r w:rsidRPr="00373300">
        <w:rPr>
          <w:b/>
          <w:bCs/>
          <w:color w:val="000000"/>
        </w:rPr>
        <w:t>Presidente</w:t>
      </w:r>
    </w:p>
    <w:p w14:paraId="12FEB7DD" w14:textId="1DC7EFE8" w:rsidR="00373300" w:rsidRDefault="00373300" w:rsidP="00B35AE9">
      <w:pPr>
        <w:pBdr>
          <w:top w:val="nil"/>
          <w:left w:val="nil"/>
          <w:bottom w:val="nil"/>
          <w:right w:val="nil"/>
          <w:between w:val="nil"/>
        </w:pBdr>
        <w:spacing w:line="276" w:lineRule="auto"/>
        <w:jc w:val="both"/>
        <w:rPr>
          <w:color w:val="000000"/>
        </w:rPr>
      </w:pPr>
    </w:p>
    <w:p w14:paraId="1A4B6B94" w14:textId="77777777" w:rsidR="005F52F2" w:rsidRPr="00373300" w:rsidRDefault="005F52F2" w:rsidP="00B35AE9">
      <w:pPr>
        <w:pBdr>
          <w:top w:val="nil"/>
          <w:left w:val="nil"/>
          <w:bottom w:val="nil"/>
          <w:right w:val="nil"/>
          <w:between w:val="nil"/>
        </w:pBdr>
        <w:spacing w:line="276" w:lineRule="auto"/>
        <w:jc w:val="both"/>
        <w:rPr>
          <w:color w:val="000000"/>
        </w:rPr>
      </w:pPr>
    </w:p>
    <w:p w14:paraId="50E0656A" w14:textId="6B43857E" w:rsidR="00373300" w:rsidRPr="00373300" w:rsidRDefault="00373300" w:rsidP="00373300">
      <w:pPr>
        <w:pBdr>
          <w:top w:val="nil"/>
          <w:left w:val="nil"/>
          <w:bottom w:val="nil"/>
          <w:right w:val="nil"/>
          <w:between w:val="nil"/>
        </w:pBdr>
        <w:spacing w:line="276" w:lineRule="auto"/>
        <w:ind w:left="720"/>
        <w:jc w:val="center"/>
        <w:rPr>
          <w:b/>
          <w:bCs/>
          <w:color w:val="000000"/>
        </w:rPr>
      </w:pPr>
      <w:r w:rsidRPr="00373300">
        <w:rPr>
          <w:b/>
          <w:bCs/>
          <w:color w:val="000000"/>
        </w:rPr>
        <w:t>Mtr</w:t>
      </w:r>
      <w:r>
        <w:rPr>
          <w:b/>
          <w:bCs/>
          <w:color w:val="000000"/>
        </w:rPr>
        <w:t>a</w:t>
      </w:r>
      <w:r w:rsidRPr="00373300">
        <w:rPr>
          <w:b/>
          <w:bCs/>
          <w:color w:val="000000"/>
        </w:rPr>
        <w:t xml:space="preserve">. </w:t>
      </w:r>
      <w:r>
        <w:rPr>
          <w:b/>
          <w:bCs/>
          <w:color w:val="000000"/>
        </w:rPr>
        <w:t>Rebeca</w:t>
      </w:r>
      <w:r w:rsidR="00B35AE9">
        <w:rPr>
          <w:b/>
          <w:bCs/>
          <w:color w:val="000000"/>
        </w:rPr>
        <w:t xml:space="preserve"> Escobar Briones</w:t>
      </w:r>
    </w:p>
    <w:p w14:paraId="3BCF7834" w14:textId="1EFDF233" w:rsidR="00A016F8" w:rsidRDefault="00373300" w:rsidP="00373300">
      <w:pPr>
        <w:pBdr>
          <w:top w:val="nil"/>
          <w:left w:val="nil"/>
          <w:bottom w:val="nil"/>
          <w:right w:val="nil"/>
          <w:between w:val="nil"/>
        </w:pBdr>
        <w:spacing w:line="276" w:lineRule="auto"/>
        <w:ind w:left="720"/>
        <w:jc w:val="center"/>
        <w:rPr>
          <w:b/>
          <w:bCs/>
          <w:color w:val="000000"/>
        </w:rPr>
      </w:pPr>
      <w:r w:rsidRPr="00373300">
        <w:rPr>
          <w:b/>
          <w:bCs/>
          <w:color w:val="000000"/>
        </w:rPr>
        <w:t>Secretari</w:t>
      </w:r>
      <w:r w:rsidR="00B35AE9">
        <w:rPr>
          <w:b/>
          <w:bCs/>
          <w:color w:val="000000"/>
        </w:rPr>
        <w:t>a</w:t>
      </w:r>
      <w:r w:rsidRPr="00373300">
        <w:rPr>
          <w:b/>
          <w:bCs/>
          <w:color w:val="000000"/>
        </w:rPr>
        <w:t xml:space="preserve"> del Consejo Consultivo</w:t>
      </w:r>
    </w:p>
    <w:p w14:paraId="1F2B0F68" w14:textId="51FAD6DB" w:rsidR="002142E6" w:rsidRDefault="002142E6" w:rsidP="005F52F2">
      <w:pPr>
        <w:pBdr>
          <w:top w:val="nil"/>
          <w:left w:val="nil"/>
          <w:bottom w:val="nil"/>
          <w:right w:val="nil"/>
          <w:between w:val="nil"/>
        </w:pBdr>
        <w:spacing w:line="276" w:lineRule="auto"/>
        <w:rPr>
          <w:b/>
          <w:bCs/>
          <w:color w:val="000000"/>
        </w:rPr>
      </w:pPr>
    </w:p>
    <w:p w14:paraId="6E9F1ABD" w14:textId="77777777" w:rsidR="002142E6" w:rsidRPr="002142E6" w:rsidRDefault="002142E6" w:rsidP="009E57A6">
      <w:pPr>
        <w:pBdr>
          <w:top w:val="nil"/>
          <w:left w:val="nil"/>
          <w:bottom w:val="nil"/>
          <w:right w:val="nil"/>
          <w:between w:val="nil"/>
        </w:pBdr>
        <w:spacing w:line="276" w:lineRule="auto"/>
        <w:jc w:val="both"/>
        <w:rPr>
          <w:color w:val="000000"/>
          <w:sz w:val="14"/>
          <w:szCs w:val="14"/>
        </w:rPr>
      </w:pPr>
      <w:r w:rsidRPr="002142E6">
        <w:rPr>
          <w:color w:val="000000"/>
          <w:sz w:val="14"/>
          <w:szCs w:val="14"/>
        </w:rPr>
        <w:t xml:space="preserve">La Recomendación fue aprobada por el V Consejo Consultivo del Instituto Federal de Telecomunicaciones el 20 de mayo de 2021 y votada en términos del artículo 17 último párrafo, con unanimidad de votos de los Consejeros Sara Gabriela Castellanos Pascacio, Isabel Clavijo Mostajo, Mario de la Cruz Sarabia, Ernesto M. Flores-Roux, Gerardo Francisco González Abarca, Erik Huesca Morales, Salvador Landeros Ayala, Luis Miguel Martínez Cervantes, Jorge Fernando Negrete Pacheco, Lucía Ojeda Cárdenas, María Catalina Ovando Chico, </w:t>
      </w:r>
      <w:proofErr w:type="spellStart"/>
      <w:r w:rsidRPr="002142E6">
        <w:rPr>
          <w:color w:val="000000"/>
          <w:sz w:val="14"/>
          <w:szCs w:val="14"/>
        </w:rPr>
        <w:t>Euridice</w:t>
      </w:r>
      <w:proofErr w:type="spellEnd"/>
      <w:r w:rsidRPr="002142E6">
        <w:rPr>
          <w:color w:val="000000"/>
          <w:sz w:val="14"/>
          <w:szCs w:val="14"/>
        </w:rPr>
        <w:t xml:space="preserve"> Palma Salas, Fabiola Alicia Peña Ahumada, Armida Sánchez Arellano  y Salomón Woldenberg Esperón mediante Acuerdo CC/IFT/</w:t>
      </w:r>
      <w:proofErr w:type="spellStart"/>
      <w:r w:rsidRPr="002142E6">
        <w:rPr>
          <w:color w:val="000000"/>
          <w:sz w:val="14"/>
          <w:szCs w:val="14"/>
        </w:rPr>
        <w:t>VotaciónElectrónica</w:t>
      </w:r>
      <w:proofErr w:type="spellEnd"/>
      <w:r w:rsidRPr="002142E6">
        <w:rPr>
          <w:color w:val="000000"/>
          <w:sz w:val="14"/>
          <w:szCs w:val="14"/>
        </w:rPr>
        <w:t>/4, de fecha 02 de junio de 2021.</w:t>
      </w:r>
    </w:p>
    <w:p w14:paraId="68D1BF64" w14:textId="77777777" w:rsidR="002142E6" w:rsidRPr="002142E6" w:rsidRDefault="002142E6" w:rsidP="002142E6">
      <w:pPr>
        <w:pBdr>
          <w:top w:val="nil"/>
          <w:left w:val="nil"/>
          <w:bottom w:val="nil"/>
          <w:right w:val="nil"/>
          <w:between w:val="nil"/>
        </w:pBdr>
        <w:spacing w:line="276" w:lineRule="auto"/>
        <w:ind w:left="720"/>
        <w:jc w:val="both"/>
        <w:rPr>
          <w:color w:val="000000"/>
          <w:sz w:val="14"/>
          <w:szCs w:val="14"/>
        </w:rPr>
      </w:pPr>
    </w:p>
    <w:p w14:paraId="1F1173BD" w14:textId="51A84D8C" w:rsidR="002142E6" w:rsidRPr="002142E6" w:rsidRDefault="002142E6" w:rsidP="009E57A6">
      <w:pPr>
        <w:pBdr>
          <w:top w:val="nil"/>
          <w:left w:val="nil"/>
          <w:bottom w:val="nil"/>
          <w:right w:val="nil"/>
          <w:between w:val="nil"/>
        </w:pBdr>
        <w:spacing w:line="276" w:lineRule="auto"/>
        <w:jc w:val="both"/>
        <w:rPr>
          <w:color w:val="000000"/>
          <w:sz w:val="14"/>
          <w:szCs w:val="14"/>
        </w:rPr>
      </w:pPr>
      <w:r w:rsidRPr="002142E6">
        <w:rPr>
          <w:color w:val="000000"/>
          <w:sz w:val="14"/>
          <w:szCs w:val="14"/>
        </w:rPr>
        <w:t xml:space="preserve">El proyecto de Recomendación fue desarrollado por el </w:t>
      </w:r>
      <w:proofErr w:type="gramStart"/>
      <w:r w:rsidRPr="002142E6">
        <w:rPr>
          <w:color w:val="000000"/>
          <w:sz w:val="14"/>
          <w:szCs w:val="14"/>
        </w:rPr>
        <w:t>Consejero</w:t>
      </w:r>
      <w:proofErr w:type="gramEnd"/>
      <w:r w:rsidRPr="002142E6">
        <w:rPr>
          <w:color w:val="000000"/>
          <w:sz w:val="14"/>
          <w:szCs w:val="14"/>
        </w:rPr>
        <w:t xml:space="preserve"> Erik Huesca Morales.</w:t>
      </w:r>
    </w:p>
    <w:sectPr w:rsidR="002142E6" w:rsidRPr="002142E6">
      <w:headerReference w:type="default" r:id="rId15"/>
      <w:footerReference w:type="default" r:id="rId16"/>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713F5" w14:textId="77777777" w:rsidR="00D33418" w:rsidRDefault="00D33418">
      <w:r>
        <w:separator/>
      </w:r>
    </w:p>
  </w:endnote>
  <w:endnote w:type="continuationSeparator" w:id="0">
    <w:p w14:paraId="334791B9" w14:textId="77777777" w:rsidR="00D33418" w:rsidRDefault="00D3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189979347"/>
      <w:docPartObj>
        <w:docPartGallery w:val="Page Numbers (Bottom of Page)"/>
        <w:docPartUnique/>
      </w:docPartObj>
    </w:sdtPr>
    <w:sdtEndPr/>
    <w:sdtContent>
      <w:p w14:paraId="41373106" w14:textId="790F4D04" w:rsidR="005C3B98" w:rsidRPr="005C3B98" w:rsidRDefault="005C3B98">
        <w:pPr>
          <w:pStyle w:val="Piedepgina"/>
          <w:jc w:val="right"/>
          <w:rPr>
            <w:sz w:val="20"/>
            <w:szCs w:val="20"/>
          </w:rPr>
        </w:pPr>
        <w:r w:rsidRPr="005C3B98">
          <w:rPr>
            <w:sz w:val="20"/>
            <w:szCs w:val="20"/>
          </w:rPr>
          <w:fldChar w:fldCharType="begin"/>
        </w:r>
        <w:r w:rsidRPr="005C3B98">
          <w:rPr>
            <w:sz w:val="20"/>
            <w:szCs w:val="20"/>
          </w:rPr>
          <w:instrText>PAGE   \* MERGEFORMAT</w:instrText>
        </w:r>
        <w:r w:rsidRPr="005C3B98">
          <w:rPr>
            <w:sz w:val="20"/>
            <w:szCs w:val="20"/>
          </w:rPr>
          <w:fldChar w:fldCharType="separate"/>
        </w:r>
        <w:r w:rsidRPr="005C3B98">
          <w:rPr>
            <w:sz w:val="20"/>
            <w:szCs w:val="20"/>
          </w:rPr>
          <w:t>2</w:t>
        </w:r>
        <w:r w:rsidRPr="005C3B98">
          <w:rPr>
            <w:sz w:val="20"/>
            <w:szCs w:val="20"/>
          </w:rPr>
          <w:fldChar w:fldCharType="end"/>
        </w:r>
      </w:p>
    </w:sdtContent>
  </w:sdt>
  <w:p w14:paraId="09EFC158" w14:textId="77777777" w:rsidR="005C3B98" w:rsidRDefault="005C3B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E4B5C" w14:textId="77777777" w:rsidR="00D33418" w:rsidRDefault="00D33418">
      <w:r>
        <w:separator/>
      </w:r>
    </w:p>
  </w:footnote>
  <w:footnote w:type="continuationSeparator" w:id="0">
    <w:p w14:paraId="2C02BCFF" w14:textId="77777777" w:rsidR="00D33418" w:rsidRDefault="00D33418">
      <w:r>
        <w:continuationSeparator/>
      </w:r>
    </w:p>
  </w:footnote>
  <w:footnote w:id="1">
    <w:p w14:paraId="00000025" w14:textId="16069247" w:rsidR="009D4D78" w:rsidRPr="00FE7060" w:rsidRDefault="00D95122">
      <w:pPr>
        <w:rPr>
          <w:color w:val="000000"/>
          <w:sz w:val="20"/>
          <w:szCs w:val="20"/>
        </w:rPr>
      </w:pPr>
      <w:r w:rsidRPr="00FE7060">
        <w:rPr>
          <w:rStyle w:val="Refdenotaalpie"/>
          <w:sz w:val="20"/>
          <w:szCs w:val="20"/>
        </w:rPr>
        <w:footnoteRef/>
      </w:r>
      <w:r w:rsidRPr="00FE7060">
        <w:rPr>
          <w:sz w:val="20"/>
          <w:szCs w:val="20"/>
        </w:rPr>
        <w:t xml:space="preserve"> </w:t>
      </w:r>
      <w:hyperlink r:id="rId1" w:history="1">
        <w:r w:rsidR="004A209F" w:rsidRPr="009A0521">
          <w:rPr>
            <w:rStyle w:val="Hipervnculo"/>
            <w:sz w:val="20"/>
            <w:szCs w:val="20"/>
          </w:rPr>
          <w:t>https://dof.gob.mx/nota_detalle.php?codigo=5418749&amp;fecha=03/12/2015</w:t>
        </w:r>
      </w:hyperlink>
      <w:r w:rsidR="004A209F">
        <w:rPr>
          <w:color w:val="000000"/>
          <w:sz w:val="20"/>
          <w:szCs w:val="20"/>
        </w:rPr>
        <w:t xml:space="preserve"> </w:t>
      </w:r>
    </w:p>
  </w:footnote>
  <w:footnote w:id="2">
    <w:p w14:paraId="178704C1" w14:textId="1995AF39" w:rsidR="009C513A" w:rsidRPr="00A90B8B" w:rsidRDefault="009C513A">
      <w:pPr>
        <w:pStyle w:val="Textonotapie"/>
        <w:rPr>
          <w:sz w:val="16"/>
          <w:szCs w:val="16"/>
        </w:rPr>
      </w:pPr>
      <w:r w:rsidRPr="00FE7060">
        <w:rPr>
          <w:rStyle w:val="Refdenotaalpie"/>
        </w:rPr>
        <w:footnoteRef/>
      </w:r>
      <w:r w:rsidRPr="00FE7060">
        <w:t xml:space="preserve"> </w:t>
      </w:r>
      <w:r w:rsidRPr="00FE7060">
        <w:rPr>
          <w:color w:val="000000"/>
        </w:rPr>
        <w:t>Basta con observar que la CONDIS no opera y el IFT dejó de emitir informes en 2019</w:t>
      </w:r>
      <w:r w:rsidR="004A209F">
        <w:rPr>
          <w:color w:val="000000"/>
        </w:rPr>
        <w:t>.</w:t>
      </w:r>
    </w:p>
  </w:footnote>
  <w:footnote w:id="3">
    <w:p w14:paraId="00000026" w14:textId="05DA7B67" w:rsidR="009D4D78" w:rsidRPr="00FE7060" w:rsidRDefault="00D95122">
      <w:pPr>
        <w:pBdr>
          <w:top w:val="nil"/>
          <w:left w:val="nil"/>
          <w:bottom w:val="nil"/>
          <w:right w:val="nil"/>
          <w:between w:val="nil"/>
        </w:pBdr>
        <w:rPr>
          <w:color w:val="000000"/>
          <w:sz w:val="20"/>
          <w:szCs w:val="20"/>
        </w:rPr>
      </w:pPr>
      <w:r w:rsidRPr="00FE7060">
        <w:rPr>
          <w:rStyle w:val="Refdenotaalpie"/>
          <w:sz w:val="20"/>
          <w:szCs w:val="20"/>
        </w:rPr>
        <w:footnoteRef/>
      </w:r>
      <w:r w:rsidRPr="00FE7060">
        <w:rPr>
          <w:color w:val="000000"/>
          <w:sz w:val="20"/>
          <w:szCs w:val="20"/>
        </w:rPr>
        <w:t xml:space="preserve"> </w:t>
      </w:r>
      <w:hyperlink r:id="rId2" w:history="1">
        <w:r w:rsidR="004A209F" w:rsidRPr="009A0521">
          <w:rPr>
            <w:rStyle w:val="Hipervnculo"/>
            <w:sz w:val="20"/>
            <w:szCs w:val="20"/>
          </w:rPr>
          <w:t>https://www.cndh.org.mx/sites/default/files/documentos/2020-12/COM_2020_367.pdf</w:t>
        </w:r>
      </w:hyperlink>
      <w:r w:rsidR="004A209F">
        <w:rPr>
          <w:color w:val="000000"/>
          <w:sz w:val="20"/>
          <w:szCs w:val="20"/>
        </w:rPr>
        <w:t xml:space="preserve"> </w:t>
      </w:r>
    </w:p>
  </w:footnote>
  <w:footnote w:id="4">
    <w:p w14:paraId="00000027" w14:textId="51F23F40" w:rsidR="009D4D78" w:rsidRDefault="00D95122">
      <w:pPr>
        <w:pBdr>
          <w:top w:val="nil"/>
          <w:left w:val="nil"/>
          <w:bottom w:val="nil"/>
          <w:right w:val="nil"/>
          <w:between w:val="nil"/>
        </w:pBdr>
        <w:rPr>
          <w:color w:val="000000"/>
          <w:sz w:val="16"/>
          <w:szCs w:val="16"/>
        </w:rPr>
      </w:pPr>
      <w:r w:rsidRPr="00FE7060">
        <w:rPr>
          <w:rStyle w:val="Refdenotaalpie"/>
          <w:sz w:val="20"/>
          <w:szCs w:val="20"/>
        </w:rPr>
        <w:footnoteRef/>
      </w:r>
      <w:r w:rsidRPr="00FE7060">
        <w:rPr>
          <w:color w:val="000000"/>
          <w:sz w:val="20"/>
          <w:szCs w:val="20"/>
        </w:rPr>
        <w:t xml:space="preserve"> </w:t>
      </w:r>
      <w:hyperlink r:id="rId3" w:history="1">
        <w:r w:rsidR="004A209F" w:rsidRPr="009A0521">
          <w:rPr>
            <w:rStyle w:val="Hipervnculo"/>
            <w:sz w:val="20"/>
            <w:szCs w:val="20"/>
          </w:rPr>
          <w:t>https://www.cndh.org.mx/sites/default/files/documentos/2020-12/COM_2020_368.pdf</w:t>
        </w:r>
      </w:hyperlink>
      <w:r w:rsidR="004A209F">
        <w:rPr>
          <w:color w:val="000000"/>
          <w:sz w:val="20"/>
          <w:szCs w:val="20"/>
        </w:rPr>
        <w:t xml:space="preserve"> </w:t>
      </w:r>
    </w:p>
  </w:footnote>
  <w:footnote w:id="5">
    <w:p w14:paraId="0DEAF9FA" w14:textId="2CBAFF17" w:rsidR="00A016F8" w:rsidRPr="00FE7060" w:rsidRDefault="00A016F8">
      <w:pPr>
        <w:pStyle w:val="Textonotapie"/>
      </w:pPr>
      <w:r w:rsidRPr="00FE7060">
        <w:rPr>
          <w:rStyle w:val="Refdenotaalpie"/>
        </w:rPr>
        <w:footnoteRef/>
      </w:r>
      <w:r w:rsidRPr="00FE7060">
        <w:t xml:space="preserve"> Los últimos informes al respecto son del año 2019</w:t>
      </w:r>
      <w:r w:rsidR="00FE7060">
        <w:t>.</w:t>
      </w:r>
    </w:p>
  </w:footnote>
  <w:footnote w:id="6">
    <w:p w14:paraId="2A752F81" w14:textId="31D35DFB" w:rsidR="00A016F8" w:rsidRPr="00FE7060" w:rsidRDefault="00A016F8" w:rsidP="00FE7060">
      <w:pPr>
        <w:pStyle w:val="Textonotapie"/>
        <w:jc w:val="both"/>
      </w:pPr>
      <w:r>
        <w:rPr>
          <w:rStyle w:val="Refdenotaalpie"/>
        </w:rPr>
        <w:footnoteRef/>
      </w:r>
      <w:r w:rsidR="002142E6">
        <w:t xml:space="preserve"> </w:t>
      </w:r>
      <w:hyperlink r:id="rId4" w:history="1">
        <w:r w:rsidR="002142E6" w:rsidRPr="006F21D8">
          <w:rPr>
            <w:rStyle w:val="Hipervnculo"/>
          </w:rPr>
          <w:t>https://www.sinec.gob.mx/SINEC/Vista/Normalizacion/DetalleNMX.xhtml?pidn=RjFxckViU0toSmNpSTUzcmVnODRTdz09</w:t>
        </w:r>
      </w:hyperlink>
    </w:p>
    <w:p w14:paraId="6CAC3CC1" w14:textId="77777777" w:rsidR="00A016F8" w:rsidRPr="0020358B" w:rsidRDefault="00A016F8" w:rsidP="00A016F8">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3D0EC" w14:textId="55C6D455" w:rsidR="00B44480" w:rsidRDefault="00D33418">
    <w:pPr>
      <w:pStyle w:val="Encabezado"/>
    </w:pPr>
    <w:r>
      <w:rPr>
        <w:noProof/>
      </w:rPr>
      <w:pict w14:anchorId="11260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506562" o:spid="_x0000_s2049" type="#_x0000_t75" alt="V CC logo (hoja)-01" style="position:absolute;margin-left:-55.3pt;margin-top:-85.4pt;width:609.6pt;height:793.9pt;z-index:-251658752;mso-wrap-style:square;mso-wrap-edited:f;mso-width-percent:0;mso-height-percent:0;mso-wrap-distance-left:9pt;mso-wrap-distance-top:0;mso-wrap-distance-right:9pt;mso-wrap-distance-bottom:0;mso-position-horizontal-relative:margin;mso-position-vertical-relative:margin;mso-width-percent:0;mso-height-percent:0;mso-width-relative:page;mso-height-relative:page;mso-position-horizontal-col-start:0;mso-width-col-span:0;v-text-anchor:top" o:allowincell="f">
          <v:imagedata r:id="rId1" o:title="V CC logo (hoja)-01"/>
          <w10:wrap anchorx="margin" anchory="margin"/>
        </v:shape>
      </w:pict>
    </w:r>
  </w:p>
  <w:p w14:paraId="29FBD3C4" w14:textId="752634DC" w:rsidR="004A209F" w:rsidRDefault="004A209F">
    <w:pPr>
      <w:pStyle w:val="Encabezado"/>
    </w:pPr>
  </w:p>
  <w:p w14:paraId="352DE57A" w14:textId="03DD58EE" w:rsidR="004A209F" w:rsidRDefault="004A20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F5CDC"/>
    <w:multiLevelType w:val="hybridMultilevel"/>
    <w:tmpl w:val="9E9A14D4"/>
    <w:lvl w:ilvl="0" w:tplc="7C7AF5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B363A4"/>
    <w:multiLevelType w:val="multilevel"/>
    <w:tmpl w:val="9AD0B6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6030B1"/>
    <w:multiLevelType w:val="multilevel"/>
    <w:tmpl w:val="7E0AD132"/>
    <w:lvl w:ilvl="0">
      <w:start w:val="1"/>
      <w:numFmt w:val="decimal"/>
      <w:lvlText w:val="%1."/>
      <w:lvlJc w:val="left"/>
      <w:pPr>
        <w:ind w:left="772" w:hanging="360"/>
      </w:pPr>
    </w:lvl>
    <w:lvl w:ilvl="1">
      <w:start w:val="1"/>
      <w:numFmt w:val="lowerLetter"/>
      <w:lvlText w:val="%2."/>
      <w:lvlJc w:val="left"/>
      <w:pPr>
        <w:ind w:left="1492" w:hanging="360"/>
      </w:pPr>
    </w:lvl>
    <w:lvl w:ilvl="2">
      <w:start w:val="1"/>
      <w:numFmt w:val="lowerRoman"/>
      <w:lvlText w:val="%3."/>
      <w:lvlJc w:val="right"/>
      <w:pPr>
        <w:ind w:left="2212" w:hanging="180"/>
      </w:pPr>
    </w:lvl>
    <w:lvl w:ilvl="3">
      <w:start w:val="1"/>
      <w:numFmt w:val="decimal"/>
      <w:lvlText w:val="%4."/>
      <w:lvlJc w:val="left"/>
      <w:pPr>
        <w:ind w:left="2932" w:hanging="360"/>
      </w:pPr>
    </w:lvl>
    <w:lvl w:ilvl="4">
      <w:start w:val="1"/>
      <w:numFmt w:val="lowerLetter"/>
      <w:lvlText w:val="%5."/>
      <w:lvlJc w:val="left"/>
      <w:pPr>
        <w:ind w:left="3652" w:hanging="360"/>
      </w:pPr>
    </w:lvl>
    <w:lvl w:ilvl="5">
      <w:start w:val="1"/>
      <w:numFmt w:val="lowerRoman"/>
      <w:lvlText w:val="%6."/>
      <w:lvlJc w:val="right"/>
      <w:pPr>
        <w:ind w:left="4372" w:hanging="180"/>
      </w:pPr>
    </w:lvl>
    <w:lvl w:ilvl="6">
      <w:start w:val="1"/>
      <w:numFmt w:val="decimal"/>
      <w:lvlText w:val="%7."/>
      <w:lvlJc w:val="left"/>
      <w:pPr>
        <w:ind w:left="5092" w:hanging="360"/>
      </w:pPr>
    </w:lvl>
    <w:lvl w:ilvl="7">
      <w:start w:val="1"/>
      <w:numFmt w:val="lowerLetter"/>
      <w:lvlText w:val="%8."/>
      <w:lvlJc w:val="left"/>
      <w:pPr>
        <w:ind w:left="5812" w:hanging="360"/>
      </w:pPr>
    </w:lvl>
    <w:lvl w:ilvl="8">
      <w:start w:val="1"/>
      <w:numFmt w:val="lowerRoman"/>
      <w:lvlText w:val="%9."/>
      <w:lvlJc w:val="right"/>
      <w:pPr>
        <w:ind w:left="6532" w:hanging="180"/>
      </w:pPr>
    </w:lvl>
  </w:abstractNum>
  <w:abstractNum w:abstractNumId="3" w15:restartNumberingAfterBreak="0">
    <w:nsid w:val="1E501D65"/>
    <w:multiLevelType w:val="multilevel"/>
    <w:tmpl w:val="AEF69D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3215215"/>
    <w:multiLevelType w:val="hybridMultilevel"/>
    <w:tmpl w:val="9A7E5192"/>
    <w:lvl w:ilvl="0" w:tplc="05168890">
      <w:start w:val="1"/>
      <w:numFmt w:val="decimal"/>
      <w:lvlText w:val="%1."/>
      <w:lvlJc w:val="left"/>
      <w:pPr>
        <w:ind w:left="720" w:hanging="360"/>
      </w:pPr>
      <w:rPr>
        <w:rFonts w:hint="default"/>
        <w:color w:val="2E2E2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B368A0"/>
    <w:multiLevelType w:val="multilevel"/>
    <w:tmpl w:val="25022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45C101A"/>
    <w:multiLevelType w:val="hybridMultilevel"/>
    <w:tmpl w:val="4686D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D78"/>
    <w:rsid w:val="000E6BA7"/>
    <w:rsid w:val="0015213F"/>
    <w:rsid w:val="00152B15"/>
    <w:rsid w:val="00193534"/>
    <w:rsid w:val="001A3C97"/>
    <w:rsid w:val="002020DC"/>
    <w:rsid w:val="00211250"/>
    <w:rsid w:val="002142E6"/>
    <w:rsid w:val="0023550A"/>
    <w:rsid w:val="00297E47"/>
    <w:rsid w:val="003077FF"/>
    <w:rsid w:val="00337DCF"/>
    <w:rsid w:val="00373300"/>
    <w:rsid w:val="004034CA"/>
    <w:rsid w:val="004054AE"/>
    <w:rsid w:val="0048392E"/>
    <w:rsid w:val="004A209F"/>
    <w:rsid w:val="00520CAB"/>
    <w:rsid w:val="005404BA"/>
    <w:rsid w:val="005C3B98"/>
    <w:rsid w:val="005F52F2"/>
    <w:rsid w:val="005F7D56"/>
    <w:rsid w:val="00634343"/>
    <w:rsid w:val="00676B08"/>
    <w:rsid w:val="006E4A8B"/>
    <w:rsid w:val="00804611"/>
    <w:rsid w:val="00807B9F"/>
    <w:rsid w:val="008242C3"/>
    <w:rsid w:val="008B339A"/>
    <w:rsid w:val="00971691"/>
    <w:rsid w:val="009C513A"/>
    <w:rsid w:val="009D4D78"/>
    <w:rsid w:val="009E2BE8"/>
    <w:rsid w:val="009E57A6"/>
    <w:rsid w:val="00A016F8"/>
    <w:rsid w:val="00A168E7"/>
    <w:rsid w:val="00A90A72"/>
    <w:rsid w:val="00A90B8B"/>
    <w:rsid w:val="00B0092B"/>
    <w:rsid w:val="00B02612"/>
    <w:rsid w:val="00B35AE9"/>
    <w:rsid w:val="00B44480"/>
    <w:rsid w:val="00B807B7"/>
    <w:rsid w:val="00B86842"/>
    <w:rsid w:val="00C25BCF"/>
    <w:rsid w:val="00CB141F"/>
    <w:rsid w:val="00CB233A"/>
    <w:rsid w:val="00CC5889"/>
    <w:rsid w:val="00CF3624"/>
    <w:rsid w:val="00D0005F"/>
    <w:rsid w:val="00D33418"/>
    <w:rsid w:val="00D95122"/>
    <w:rsid w:val="00DE3C11"/>
    <w:rsid w:val="00E5308E"/>
    <w:rsid w:val="00F31F78"/>
    <w:rsid w:val="00F84927"/>
    <w:rsid w:val="00F86179"/>
    <w:rsid w:val="00FE286A"/>
    <w:rsid w:val="00FE70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FCB539"/>
  <w15:docId w15:val="{38D32B68-40D4-4762-ADBF-049C5E9F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A5B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0564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Fuentedeprrafopredeter"/>
    <w:rsid w:val="0050564B"/>
  </w:style>
  <w:style w:type="character" w:styleId="Textoennegrita">
    <w:name w:val="Strong"/>
    <w:basedOn w:val="Fuentedeprrafopredeter"/>
    <w:uiPriority w:val="22"/>
    <w:qFormat/>
    <w:rsid w:val="0050564B"/>
    <w:rPr>
      <w:b/>
      <w:bCs/>
    </w:rPr>
  </w:style>
  <w:style w:type="character" w:styleId="Refdecomentario">
    <w:name w:val="annotation reference"/>
    <w:basedOn w:val="Fuentedeprrafopredeter"/>
    <w:uiPriority w:val="99"/>
    <w:semiHidden/>
    <w:unhideWhenUsed/>
    <w:rsid w:val="0050564B"/>
    <w:rPr>
      <w:sz w:val="16"/>
      <w:szCs w:val="16"/>
    </w:rPr>
  </w:style>
  <w:style w:type="paragraph" w:styleId="Textocomentario">
    <w:name w:val="annotation text"/>
    <w:basedOn w:val="Normal"/>
    <w:link w:val="TextocomentarioCar"/>
    <w:uiPriority w:val="99"/>
    <w:unhideWhenUsed/>
    <w:rsid w:val="0050564B"/>
    <w:rPr>
      <w:rFonts w:ascii="Times New Roman" w:eastAsia="Times New Roman" w:hAnsi="Times New Roman" w:cs="Times New Roman"/>
      <w:sz w:val="20"/>
      <w:szCs w:val="20"/>
      <w:lang w:val="es-MX"/>
    </w:rPr>
  </w:style>
  <w:style w:type="character" w:customStyle="1" w:styleId="TextocomentarioCar">
    <w:name w:val="Texto comentario Car"/>
    <w:basedOn w:val="Fuentedeprrafopredeter"/>
    <w:link w:val="Textocomentario"/>
    <w:uiPriority w:val="99"/>
    <w:rsid w:val="0050564B"/>
    <w:rPr>
      <w:rFonts w:ascii="Times New Roman" w:eastAsia="Times New Roman" w:hAnsi="Times New Roman" w:cs="Times New Roman"/>
      <w:sz w:val="20"/>
      <w:szCs w:val="20"/>
      <w:lang w:val="es-MX" w:eastAsia="es-MX"/>
    </w:rPr>
  </w:style>
  <w:style w:type="paragraph" w:styleId="Prrafodelista">
    <w:name w:val="List Paragraph"/>
    <w:aliases w:val="4 Viñ 1nivel,Numeración 1,Cuadrícula media 1 - Énfasis 21,Listas,lp1,CNBV Parrafo1,List Paragraph-Thesis,List Paragraph1,Dot pt,List Paragraph Char Char Char,Indicator Text,Numbered Para 1,No Spacing1,Párrafo de lista1,Bullet List,列出段落"/>
    <w:basedOn w:val="Normal"/>
    <w:link w:val="PrrafodelistaCar"/>
    <w:uiPriority w:val="34"/>
    <w:qFormat/>
    <w:rsid w:val="0050564B"/>
    <w:pPr>
      <w:ind w:left="720"/>
      <w:contextualSpacing/>
    </w:pPr>
  </w:style>
  <w:style w:type="character" w:customStyle="1" w:styleId="Ttulo1Car">
    <w:name w:val="Título 1 Car"/>
    <w:basedOn w:val="Fuentedeprrafopredeter"/>
    <w:link w:val="Ttulo1"/>
    <w:uiPriority w:val="9"/>
    <w:rsid w:val="003A5BD5"/>
    <w:rPr>
      <w:rFonts w:asciiTheme="majorHAnsi" w:eastAsiaTheme="majorEastAsia" w:hAnsiTheme="majorHAnsi" w:cstheme="majorBidi"/>
      <w:color w:val="2F5496" w:themeColor="accent1" w:themeShade="BF"/>
      <w:sz w:val="32"/>
      <w:szCs w:val="32"/>
    </w:rPr>
  </w:style>
  <w:style w:type="paragraph" w:styleId="Textonotapie">
    <w:name w:val="footnote text"/>
    <w:basedOn w:val="Normal"/>
    <w:link w:val="TextonotapieCar"/>
    <w:uiPriority w:val="99"/>
    <w:semiHidden/>
    <w:unhideWhenUsed/>
    <w:rsid w:val="003A5BD5"/>
    <w:rPr>
      <w:sz w:val="20"/>
      <w:szCs w:val="20"/>
    </w:rPr>
  </w:style>
  <w:style w:type="character" w:customStyle="1" w:styleId="TextonotapieCar">
    <w:name w:val="Texto nota pie Car"/>
    <w:basedOn w:val="Fuentedeprrafopredeter"/>
    <w:link w:val="Textonotapie"/>
    <w:uiPriority w:val="99"/>
    <w:semiHidden/>
    <w:rsid w:val="003A5BD5"/>
    <w:rPr>
      <w:sz w:val="20"/>
      <w:szCs w:val="20"/>
    </w:rPr>
  </w:style>
  <w:style w:type="character" w:styleId="Refdenotaalpie">
    <w:name w:val="footnote reference"/>
    <w:basedOn w:val="Fuentedeprrafopredeter"/>
    <w:uiPriority w:val="99"/>
    <w:semiHidden/>
    <w:unhideWhenUsed/>
    <w:rsid w:val="003A5BD5"/>
    <w:rPr>
      <w:vertAlign w:val="superscript"/>
    </w:rPr>
  </w:style>
  <w:style w:type="character" w:styleId="Hipervnculo">
    <w:name w:val="Hyperlink"/>
    <w:basedOn w:val="Fuentedeprrafopredeter"/>
    <w:uiPriority w:val="99"/>
    <w:unhideWhenUsed/>
    <w:rsid w:val="000F7291"/>
    <w:rPr>
      <w:color w:val="0000FF"/>
      <w:u w:val="single"/>
    </w:rPr>
  </w:style>
  <w:style w:type="paragraph" w:styleId="Asuntodelcomentario">
    <w:name w:val="annotation subject"/>
    <w:basedOn w:val="Textocomentario"/>
    <w:next w:val="Textocomentario"/>
    <w:link w:val="AsuntodelcomentarioCar"/>
    <w:uiPriority w:val="99"/>
    <w:semiHidden/>
    <w:unhideWhenUsed/>
    <w:rsid w:val="0078368A"/>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78368A"/>
    <w:rPr>
      <w:rFonts w:ascii="Times New Roman" w:eastAsia="Times New Roman" w:hAnsi="Times New Roman" w:cs="Times New Roman"/>
      <w:b/>
      <w:bCs/>
      <w:sz w:val="20"/>
      <w:szCs w:val="20"/>
      <w:lang w:val="es-MX" w:eastAsia="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337D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7DCF"/>
    <w:rPr>
      <w:rFonts w:ascii="Segoe UI" w:hAnsi="Segoe UI" w:cs="Segoe UI"/>
      <w:sz w:val="18"/>
      <w:szCs w:val="18"/>
    </w:rPr>
  </w:style>
  <w:style w:type="paragraph" w:styleId="Textoindependiente">
    <w:name w:val="Body Text"/>
    <w:basedOn w:val="Normal"/>
    <w:link w:val="TextoindependienteCar"/>
    <w:uiPriority w:val="1"/>
    <w:qFormat/>
    <w:rsid w:val="00D0005F"/>
    <w:pPr>
      <w:autoSpaceDE w:val="0"/>
      <w:autoSpaceDN w:val="0"/>
      <w:adjustRightInd w:val="0"/>
      <w:spacing w:before="1"/>
      <w:ind w:left="99"/>
      <w:jc w:val="both"/>
    </w:pPr>
    <w:rPr>
      <w:rFonts w:ascii="Verdana" w:hAnsi="Verdana" w:cs="Verdana"/>
      <w:sz w:val="22"/>
      <w:szCs w:val="22"/>
      <w:lang w:val="es-MX"/>
    </w:rPr>
  </w:style>
  <w:style w:type="character" w:customStyle="1" w:styleId="TextoindependienteCar">
    <w:name w:val="Texto independiente Car"/>
    <w:basedOn w:val="Fuentedeprrafopredeter"/>
    <w:link w:val="Textoindependiente"/>
    <w:uiPriority w:val="1"/>
    <w:rsid w:val="00D0005F"/>
    <w:rPr>
      <w:rFonts w:ascii="Verdana" w:hAnsi="Verdana" w:cs="Verdana"/>
      <w:sz w:val="22"/>
      <w:szCs w:val="22"/>
      <w:lang w:val="es-MX"/>
    </w:rPr>
  </w:style>
  <w:style w:type="paragraph" w:customStyle="1" w:styleId="m-726356541951961692msolistparagraph">
    <w:name w:val="m_-726356541951961692msolistparagraph"/>
    <w:basedOn w:val="Normal"/>
    <w:rsid w:val="00A016F8"/>
    <w:pPr>
      <w:spacing w:before="100" w:beforeAutospacing="1" w:after="100" w:afterAutospacing="1"/>
    </w:pPr>
    <w:rPr>
      <w:rFonts w:ascii="Times New Roman" w:eastAsia="Times New Roman" w:hAnsi="Times New Roman" w:cs="Times New Roman"/>
      <w:lang w:eastAsia="en-US"/>
    </w:rPr>
  </w:style>
  <w:style w:type="character" w:styleId="Mencinsinresolver">
    <w:name w:val="Unresolved Mention"/>
    <w:basedOn w:val="Fuentedeprrafopredeter"/>
    <w:uiPriority w:val="99"/>
    <w:semiHidden/>
    <w:unhideWhenUsed/>
    <w:rsid w:val="00FE7060"/>
    <w:rPr>
      <w:color w:val="605E5C"/>
      <w:shd w:val="clear" w:color="auto" w:fill="E1DFDD"/>
    </w:rPr>
  </w:style>
  <w:style w:type="paragraph" w:styleId="Encabezado">
    <w:name w:val="header"/>
    <w:basedOn w:val="Normal"/>
    <w:link w:val="EncabezadoCar"/>
    <w:uiPriority w:val="99"/>
    <w:unhideWhenUsed/>
    <w:rsid w:val="004A209F"/>
    <w:pPr>
      <w:tabs>
        <w:tab w:val="center" w:pos="4419"/>
        <w:tab w:val="right" w:pos="8838"/>
      </w:tabs>
    </w:pPr>
  </w:style>
  <w:style w:type="character" w:customStyle="1" w:styleId="EncabezadoCar">
    <w:name w:val="Encabezado Car"/>
    <w:basedOn w:val="Fuentedeprrafopredeter"/>
    <w:link w:val="Encabezado"/>
    <w:uiPriority w:val="99"/>
    <w:rsid w:val="004A209F"/>
  </w:style>
  <w:style w:type="paragraph" w:styleId="Piedepgina">
    <w:name w:val="footer"/>
    <w:basedOn w:val="Normal"/>
    <w:link w:val="PiedepginaCar"/>
    <w:uiPriority w:val="99"/>
    <w:unhideWhenUsed/>
    <w:rsid w:val="004A209F"/>
    <w:pPr>
      <w:tabs>
        <w:tab w:val="center" w:pos="4419"/>
        <w:tab w:val="right" w:pos="8838"/>
      </w:tabs>
    </w:pPr>
  </w:style>
  <w:style w:type="character" w:customStyle="1" w:styleId="PiedepginaCar">
    <w:name w:val="Pie de página Car"/>
    <w:basedOn w:val="Fuentedeprrafopredeter"/>
    <w:link w:val="Piedepgina"/>
    <w:uiPriority w:val="99"/>
    <w:rsid w:val="004A209F"/>
  </w:style>
  <w:style w:type="character" w:customStyle="1" w:styleId="PrrafodelistaCar">
    <w:name w:val="Párrafo de lista Car"/>
    <w:aliases w:val="4 Viñ 1nivel Car,Numeración 1 Car,Cuadrícula media 1 - Énfasis 21 Car,Listas Car,lp1 Car,CNBV Parrafo1 Car,List Paragraph-Thesis Car,List Paragraph1 Car,Dot pt Car,List Paragraph Char Char Char Car,Indicator Text Car,No Spacing1 Car"/>
    <w:link w:val="Prrafodelista"/>
    <w:uiPriority w:val="34"/>
    <w:qFormat/>
    <w:locked/>
    <w:rsid w:val="004A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005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ndh.org.mx/sites/default/files/documentos/2020-12/COM_2020_368.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ndh.org.mx/sites/default/files/documentos/2020-12/COM_2020_367.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ndh.org.mx/sites/default/files/documentos/2020-12/COM_2020_367.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cndh.org.mx/sites/default/files/documentos/2020-12/COM_2020_366.pdf" TargetMode="External"/><Relationship Id="rId4" Type="http://schemas.openxmlformats.org/officeDocument/2006/relationships/styles" Target="styles.xml"/><Relationship Id="rId9" Type="http://schemas.openxmlformats.org/officeDocument/2006/relationships/hyperlink" Target="https://www.cndh.org.mx/sites/default/files/documentos/2020-12/COM_2020_366.pdf" TargetMode="External"/><Relationship Id="rId14" Type="http://schemas.openxmlformats.org/officeDocument/2006/relationships/hyperlink" Target="https://www.cndh.org.mx/sites/default/files/documentos/2020-12/COM_2020_368.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ndh.org.mx/sites/default/files/documentos/2020-12/COM_2020_368.pdf" TargetMode="External"/><Relationship Id="rId2" Type="http://schemas.openxmlformats.org/officeDocument/2006/relationships/hyperlink" Target="https://www.cndh.org.mx/sites/default/files/documentos/2020-12/COM_2020_367.pdf" TargetMode="External"/><Relationship Id="rId1" Type="http://schemas.openxmlformats.org/officeDocument/2006/relationships/hyperlink" Target="https://dof.gob.mx/nota_detalle.php?codigo=5418749&amp;fecha=03/12/2015" TargetMode="External"/><Relationship Id="rId4" Type="http://schemas.openxmlformats.org/officeDocument/2006/relationships/hyperlink" Target="https://www.sinec.gob.mx/SINEC/Vista/Normalizacion/DetalleNMX.xhtml?pidn=RjFxckViU0toSmNpSTUzcmVnODRTdz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p/ojQNInc9cW1ObAh4Et0bWQg==">AMUW2mXQTOH7wYmxBkiej1DWqv0hA32MtNFCgWigpBe8y5qT3FUwflaKp8VUEYsb3LqSZyCTSi5XBzAaBfoehyHT4TF7plTmkYalQXY7smqScPg68eiYor0=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5E63FC-14E9-4C40-95B9-A178CF1D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1394</Words>
  <Characters>7671</Characters>
  <Application>Microsoft Office Word</Application>
  <DocSecurity>0</DocSecurity>
  <Lines>63</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Huesca</dc:creator>
  <cp:lastModifiedBy>Eunice Rosales </cp:lastModifiedBy>
  <cp:revision>32</cp:revision>
  <dcterms:created xsi:type="dcterms:W3CDTF">2021-06-02T15:55:00Z</dcterms:created>
  <dcterms:modified xsi:type="dcterms:W3CDTF">2021-06-07T17:06:00Z</dcterms:modified>
</cp:coreProperties>
</file>