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1DA8E" w14:textId="35F34B2F" w:rsidR="00C87ED4" w:rsidRDefault="00AB4775" w:rsidP="001F0CA7">
      <w:pPr>
        <w:spacing w:line="276" w:lineRule="auto"/>
        <w:jc w:val="both"/>
        <w:rPr>
          <w:rFonts w:ascii="Calibri" w:hAnsi="Calibri" w:cs="Calibri"/>
          <w:b/>
          <w:bCs/>
          <w:lang w:val="es-ES"/>
        </w:rPr>
      </w:pPr>
      <w:r w:rsidRPr="00AB4775">
        <w:rPr>
          <w:rFonts w:ascii="Calibri" w:hAnsi="Calibri" w:cs="Calibri"/>
          <w:b/>
          <w:bCs/>
          <w:lang w:val="es-ES"/>
        </w:rPr>
        <w:t xml:space="preserve">RECOMENDACIÓN </w:t>
      </w:r>
      <w:r>
        <w:rPr>
          <w:rFonts w:ascii="Calibri" w:hAnsi="Calibri" w:cs="Calibri"/>
          <w:b/>
          <w:bCs/>
          <w:lang w:val="es-ES"/>
        </w:rPr>
        <w:t xml:space="preserve">QUE EMITE </w:t>
      </w:r>
      <w:r w:rsidRPr="00AB4775">
        <w:rPr>
          <w:rFonts w:ascii="Calibri" w:hAnsi="Calibri" w:cs="Calibri"/>
          <w:b/>
          <w:bCs/>
          <w:lang w:val="es-ES"/>
        </w:rPr>
        <w:t>EL</w:t>
      </w:r>
      <w:r>
        <w:rPr>
          <w:rFonts w:ascii="Calibri" w:hAnsi="Calibri" w:cs="Calibri"/>
          <w:b/>
          <w:bCs/>
          <w:lang w:val="es-ES"/>
        </w:rPr>
        <w:t xml:space="preserve"> </w:t>
      </w:r>
      <w:r w:rsidRPr="00AB4775">
        <w:rPr>
          <w:rFonts w:ascii="Calibri" w:hAnsi="Calibri" w:cs="Calibri"/>
          <w:b/>
          <w:bCs/>
          <w:lang w:val="es-ES"/>
        </w:rPr>
        <w:t>CONSEJO CONSULTIVO DEL INSTITUTO FEDERAL DE TELECOMUNICACIONES</w:t>
      </w:r>
      <w:r>
        <w:rPr>
          <w:rFonts w:ascii="Calibri" w:hAnsi="Calibri" w:cs="Calibri"/>
          <w:b/>
          <w:bCs/>
          <w:lang w:val="es-ES"/>
        </w:rPr>
        <w:t xml:space="preserve"> (INSTITUTO)</w:t>
      </w:r>
      <w:r w:rsidRPr="00AB4775">
        <w:rPr>
          <w:rFonts w:ascii="Calibri" w:hAnsi="Calibri" w:cs="Calibri"/>
          <w:b/>
          <w:bCs/>
          <w:lang w:val="es-ES"/>
        </w:rPr>
        <w:t xml:space="preserve"> SOBRE LA BANDA DE 6 GHZ (</w:t>
      </w:r>
      <w:r w:rsidRPr="00AB4775">
        <w:rPr>
          <w:rFonts w:ascii="Calibri" w:hAnsi="Calibri" w:cs="Calibri"/>
          <w:b/>
          <w:bCs/>
        </w:rPr>
        <w:t>5.925–7.125 GHZ</w:t>
      </w:r>
      <w:r w:rsidRPr="00AB4775">
        <w:rPr>
          <w:rFonts w:ascii="Calibri" w:hAnsi="Calibri" w:cs="Calibri"/>
          <w:b/>
          <w:bCs/>
          <w:lang w:val="es-ES"/>
        </w:rPr>
        <w:t>)</w:t>
      </w:r>
    </w:p>
    <w:p w14:paraId="4670BF58" w14:textId="77777777" w:rsidR="001F0CA7" w:rsidRDefault="001F0CA7" w:rsidP="001F0CA7">
      <w:pPr>
        <w:spacing w:line="276" w:lineRule="auto"/>
        <w:jc w:val="both"/>
        <w:rPr>
          <w:rFonts w:ascii="Calibri" w:hAnsi="Calibri" w:cs="Calibri"/>
          <w:b/>
          <w:bCs/>
          <w:lang w:val="es-ES"/>
        </w:rPr>
      </w:pPr>
    </w:p>
    <w:p w14:paraId="09386A3C" w14:textId="11A484C1" w:rsidR="001F0CA7" w:rsidRPr="005B63AD" w:rsidRDefault="001F0CA7" w:rsidP="007A5F21">
      <w:pPr>
        <w:spacing w:after="160" w:line="276" w:lineRule="auto"/>
        <w:jc w:val="both"/>
        <w:rPr>
          <w:rFonts w:ascii="Calibri" w:hAnsi="Calibri" w:cs="Calibri"/>
          <w:b/>
          <w:bCs/>
          <w:u w:val="single"/>
          <w:lang w:val="es-ES"/>
        </w:rPr>
      </w:pPr>
      <w:r w:rsidRPr="005B63AD">
        <w:rPr>
          <w:rFonts w:ascii="Calibri" w:hAnsi="Calibri" w:cs="Calibri"/>
          <w:b/>
          <w:bCs/>
          <w:u w:val="single"/>
          <w:lang w:val="es-ES"/>
        </w:rPr>
        <w:t>Índice</w:t>
      </w:r>
    </w:p>
    <w:p w14:paraId="31E0F5AB" w14:textId="491C5913" w:rsidR="001F0CA7" w:rsidRDefault="001F0CA7" w:rsidP="007A5F21">
      <w:pPr>
        <w:pStyle w:val="Prrafodelista"/>
        <w:numPr>
          <w:ilvl w:val="0"/>
          <w:numId w:val="7"/>
        </w:numPr>
        <w:spacing w:line="276" w:lineRule="auto"/>
        <w:ind w:left="851" w:hanging="567"/>
        <w:jc w:val="both"/>
        <w:rPr>
          <w:rFonts w:ascii="Calibri" w:hAnsi="Calibri" w:cs="Calibri"/>
          <w:b/>
          <w:bCs/>
          <w:lang w:val="es-ES"/>
        </w:rPr>
      </w:pPr>
      <w:r w:rsidRPr="001F0CA7">
        <w:rPr>
          <w:rFonts w:ascii="Calibri" w:hAnsi="Calibri" w:cs="Calibri"/>
          <w:b/>
          <w:bCs/>
          <w:lang w:val="es-ES"/>
        </w:rPr>
        <w:t>Contexto…………………………………………………………………………</w:t>
      </w:r>
      <w:proofErr w:type="gramStart"/>
      <w:r w:rsidRPr="001F0CA7">
        <w:rPr>
          <w:rFonts w:ascii="Calibri" w:hAnsi="Calibri" w:cs="Calibri"/>
          <w:b/>
          <w:bCs/>
          <w:lang w:val="es-ES"/>
        </w:rPr>
        <w:t>…….</w:t>
      </w:r>
      <w:proofErr w:type="gramEnd"/>
      <w:r w:rsidRPr="001F0CA7">
        <w:rPr>
          <w:rFonts w:ascii="Calibri" w:hAnsi="Calibri" w:cs="Calibri"/>
          <w:b/>
          <w:bCs/>
          <w:lang w:val="es-ES"/>
        </w:rPr>
        <w:t>……………………</w:t>
      </w:r>
      <w:r>
        <w:rPr>
          <w:rFonts w:ascii="Calibri" w:hAnsi="Calibri" w:cs="Calibri"/>
          <w:b/>
          <w:bCs/>
          <w:lang w:val="es-ES"/>
        </w:rPr>
        <w:t>..</w:t>
      </w:r>
      <w:r w:rsidRPr="001F0CA7">
        <w:rPr>
          <w:rFonts w:ascii="Calibri" w:hAnsi="Calibri" w:cs="Calibri"/>
          <w:b/>
          <w:bCs/>
          <w:lang w:val="es-ES"/>
        </w:rPr>
        <w:t>…</w:t>
      </w:r>
      <w:r>
        <w:rPr>
          <w:rFonts w:ascii="Calibri" w:hAnsi="Calibri" w:cs="Calibri"/>
          <w:b/>
          <w:bCs/>
          <w:lang w:val="es-ES"/>
        </w:rPr>
        <w:t>1</w:t>
      </w:r>
    </w:p>
    <w:p w14:paraId="6A91BADC" w14:textId="2E99CEF0" w:rsidR="001415CB" w:rsidRPr="005948E0" w:rsidRDefault="001F0CA7" w:rsidP="001F0CA7">
      <w:pPr>
        <w:pStyle w:val="Prrafodelista"/>
        <w:numPr>
          <w:ilvl w:val="0"/>
          <w:numId w:val="7"/>
        </w:numPr>
        <w:spacing w:line="276" w:lineRule="auto"/>
        <w:ind w:left="851" w:hanging="567"/>
        <w:jc w:val="both"/>
        <w:rPr>
          <w:rFonts w:ascii="Calibri" w:hAnsi="Calibri" w:cs="Calibri"/>
          <w:b/>
          <w:bCs/>
          <w:lang w:val="es-ES"/>
        </w:rPr>
      </w:pPr>
      <w:r w:rsidRPr="001F0CA7">
        <w:rPr>
          <w:rFonts w:ascii="Calibri" w:hAnsi="Calibri" w:cs="Calibri"/>
          <w:b/>
          <w:bCs/>
          <w:lang w:val="es-ES"/>
        </w:rPr>
        <w:t>Recomendaciones…………………………………………………</w:t>
      </w:r>
      <w:proofErr w:type="gramStart"/>
      <w:r w:rsidRPr="001F0CA7">
        <w:rPr>
          <w:rFonts w:ascii="Calibri" w:hAnsi="Calibri" w:cs="Calibri"/>
          <w:b/>
          <w:bCs/>
          <w:lang w:val="es-ES"/>
        </w:rPr>
        <w:t>…</w:t>
      </w:r>
      <w:r w:rsidR="005B63AD">
        <w:rPr>
          <w:rFonts w:ascii="Calibri" w:hAnsi="Calibri" w:cs="Calibri"/>
          <w:b/>
          <w:bCs/>
          <w:lang w:val="es-ES"/>
        </w:rPr>
        <w:t>….</w:t>
      </w:r>
      <w:proofErr w:type="gramEnd"/>
      <w:r w:rsidRPr="001F0CA7">
        <w:rPr>
          <w:rFonts w:ascii="Calibri" w:hAnsi="Calibri" w:cs="Calibri"/>
          <w:b/>
          <w:bCs/>
          <w:lang w:val="es-ES"/>
        </w:rPr>
        <w:t>…………………..……………..</w:t>
      </w:r>
      <w:r w:rsidR="007533B9">
        <w:rPr>
          <w:rFonts w:ascii="Calibri" w:hAnsi="Calibri" w:cs="Calibri"/>
          <w:b/>
          <w:bCs/>
          <w:lang w:val="es-ES"/>
        </w:rPr>
        <w:t>10</w:t>
      </w:r>
    </w:p>
    <w:p w14:paraId="75B0C0A8" w14:textId="77777777" w:rsidR="007A5F21" w:rsidRDefault="007A5F21" w:rsidP="001F0CA7">
      <w:pPr>
        <w:spacing w:line="276" w:lineRule="auto"/>
        <w:jc w:val="both"/>
        <w:rPr>
          <w:rFonts w:ascii="Calibri" w:hAnsi="Calibri" w:cs="Calibri"/>
        </w:rPr>
      </w:pPr>
    </w:p>
    <w:p w14:paraId="7722D233" w14:textId="7F0D115A" w:rsidR="001F0CA7" w:rsidRPr="001F0CA7" w:rsidRDefault="001F0CA7" w:rsidP="001F0CA7">
      <w:pPr>
        <w:spacing w:line="276" w:lineRule="auto"/>
        <w:jc w:val="both"/>
        <w:rPr>
          <w:rFonts w:ascii="Calibri" w:hAnsi="Calibri" w:cs="Calibri"/>
          <w:b/>
          <w:bCs/>
        </w:rPr>
      </w:pPr>
      <w:r w:rsidRPr="001F0CA7">
        <w:rPr>
          <w:rFonts w:ascii="Calibri" w:hAnsi="Calibri" w:cs="Calibri"/>
          <w:b/>
          <w:bCs/>
        </w:rPr>
        <w:t>I.</w:t>
      </w:r>
      <w:r w:rsidRPr="001F0CA7">
        <w:rPr>
          <w:rFonts w:ascii="Calibri" w:hAnsi="Calibri" w:cs="Calibri"/>
          <w:b/>
          <w:bCs/>
        </w:rPr>
        <w:tab/>
      </w:r>
      <w:r w:rsidRPr="001F0CA7">
        <w:rPr>
          <w:rFonts w:ascii="Calibri" w:hAnsi="Calibri" w:cs="Calibri"/>
          <w:b/>
          <w:bCs/>
          <w:u w:val="single"/>
        </w:rPr>
        <w:t xml:space="preserve">Contexto </w:t>
      </w:r>
    </w:p>
    <w:p w14:paraId="335F9B96" w14:textId="77777777" w:rsidR="001F0CA7" w:rsidRPr="001F0CA7" w:rsidRDefault="001F0CA7" w:rsidP="001F0CA7">
      <w:pPr>
        <w:spacing w:line="276" w:lineRule="auto"/>
        <w:jc w:val="both"/>
        <w:rPr>
          <w:rFonts w:ascii="Calibri" w:hAnsi="Calibri" w:cs="Calibri"/>
        </w:rPr>
      </w:pPr>
    </w:p>
    <w:p w14:paraId="030E422C" w14:textId="1311B547" w:rsidR="005E39A5" w:rsidRPr="001F0CA7" w:rsidRDefault="005E39A5" w:rsidP="001F0CA7">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El ciclo de vida de la tecnología de telecomunicaciones habitualmente genera necesidades de espectro radioeléctrico. </w:t>
      </w:r>
      <w:r w:rsidR="00B142DF" w:rsidRPr="001F0CA7">
        <w:rPr>
          <w:rFonts w:ascii="Calibri" w:hAnsi="Calibri" w:cs="Calibri"/>
          <w:lang w:val="es-ES"/>
        </w:rPr>
        <w:t xml:space="preserve">Actualmente, la </w:t>
      </w:r>
      <w:r w:rsidRPr="001F0CA7">
        <w:rPr>
          <w:rFonts w:ascii="Calibri" w:hAnsi="Calibri" w:cs="Calibri"/>
          <w:lang w:val="es-ES"/>
        </w:rPr>
        <w:t xml:space="preserve">banda de 6 GHz está siendo considerada como el espacio apto para habilitar servicios que ofrezcan mayor calidad y experiencia de uso a la mayoría de las personas que requieren acceso a las redes de datos. Esta recomendación aporta elementos de análisis y opciones para la evaluación </w:t>
      </w:r>
      <w:r w:rsidR="00B142DF" w:rsidRPr="001F0CA7">
        <w:rPr>
          <w:rFonts w:ascii="Calibri" w:hAnsi="Calibri" w:cs="Calibri"/>
          <w:lang w:val="es-ES"/>
        </w:rPr>
        <w:t>del mejor</w:t>
      </w:r>
      <w:r w:rsidRPr="001F0CA7">
        <w:rPr>
          <w:rFonts w:ascii="Calibri" w:hAnsi="Calibri" w:cs="Calibri"/>
          <w:lang w:val="es-ES"/>
        </w:rPr>
        <w:t xml:space="preserve"> aprovechamiento de esta banda. </w:t>
      </w:r>
    </w:p>
    <w:p w14:paraId="29C27577" w14:textId="77777777" w:rsidR="005E39A5" w:rsidRPr="001F0CA7" w:rsidRDefault="005E39A5" w:rsidP="001F0CA7">
      <w:pPr>
        <w:spacing w:line="276" w:lineRule="auto"/>
        <w:jc w:val="both"/>
        <w:rPr>
          <w:rFonts w:ascii="Calibri" w:hAnsi="Calibri" w:cs="Calibri"/>
          <w:color w:val="000000"/>
        </w:rPr>
      </w:pPr>
    </w:p>
    <w:p w14:paraId="56156203" w14:textId="1076BF51" w:rsidR="001415CB" w:rsidRPr="001F0CA7" w:rsidRDefault="001415CB" w:rsidP="001F0CA7">
      <w:pPr>
        <w:spacing w:line="276" w:lineRule="auto"/>
        <w:jc w:val="both"/>
        <w:rPr>
          <w:rFonts w:ascii="Calibri" w:hAnsi="Calibri" w:cs="Calibri"/>
          <w:lang w:val="es-ES"/>
        </w:rPr>
      </w:pPr>
      <w:r w:rsidRPr="001F0CA7">
        <w:rPr>
          <w:rFonts w:ascii="Calibri" w:hAnsi="Calibri" w:cs="Calibri"/>
          <w:b/>
          <w:bCs/>
          <w:lang w:val="es-ES"/>
        </w:rPr>
        <w:t>Considerando</w:t>
      </w:r>
      <w:r w:rsidRPr="001F0CA7">
        <w:rPr>
          <w:rFonts w:ascii="Calibri" w:hAnsi="Calibri" w:cs="Calibri"/>
          <w:lang w:val="es-ES"/>
        </w:rPr>
        <w:t xml:space="preserve"> </w:t>
      </w:r>
      <w:r w:rsidRPr="001F0CA7">
        <w:rPr>
          <w:rFonts w:ascii="Calibri" w:hAnsi="Calibri" w:cs="Calibri"/>
          <w:b/>
          <w:bCs/>
          <w:lang w:val="es-ES"/>
        </w:rPr>
        <w:t>que:</w:t>
      </w:r>
    </w:p>
    <w:p w14:paraId="369643B8" w14:textId="77777777" w:rsidR="001415CB" w:rsidRPr="001F0CA7" w:rsidRDefault="001415CB" w:rsidP="001F0CA7">
      <w:pPr>
        <w:spacing w:line="276" w:lineRule="auto"/>
        <w:jc w:val="both"/>
        <w:rPr>
          <w:rFonts w:ascii="Calibri" w:hAnsi="Calibri" w:cs="Calibri"/>
          <w:lang w:val="es-ES"/>
        </w:rPr>
      </w:pPr>
    </w:p>
    <w:p w14:paraId="1D8909E4" w14:textId="7392BBD4" w:rsidR="004C20E1" w:rsidRPr="001F0CA7" w:rsidRDefault="001029E9"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El beneficio social es el fin último de las telecomunicaciones y la radiodifusión. La causalidad es fundamental para entender el beneficio social una vez que se espera que la inversión en tecnología e infraestructura tenga un impacto socioeconómico positivo. El modelo de Katz (2009</w:t>
      </w:r>
      <w:r w:rsidR="00421204" w:rsidRPr="001F0CA7">
        <w:rPr>
          <w:rStyle w:val="Refdenotaalpie"/>
          <w:rFonts w:ascii="Calibri" w:hAnsi="Calibri" w:cs="Calibri"/>
          <w:lang w:val="es-ES"/>
        </w:rPr>
        <w:footnoteReference w:id="1"/>
      </w:r>
      <w:r w:rsidRPr="001F0CA7">
        <w:rPr>
          <w:rFonts w:ascii="Calibri" w:hAnsi="Calibri" w:cs="Calibri"/>
          <w:lang w:val="es-ES"/>
        </w:rPr>
        <w:t xml:space="preserve">) demuestra que </w:t>
      </w:r>
      <w:r w:rsidR="004C20E1" w:rsidRPr="001F0CA7">
        <w:rPr>
          <w:rFonts w:ascii="Calibri" w:hAnsi="Calibri" w:cs="Calibri"/>
          <w:lang w:val="es-ES"/>
        </w:rPr>
        <w:t>este</w:t>
      </w:r>
      <w:r w:rsidRPr="001F0CA7">
        <w:rPr>
          <w:rFonts w:ascii="Calibri" w:hAnsi="Calibri" w:cs="Calibri"/>
          <w:lang w:val="es-ES"/>
        </w:rPr>
        <w:t xml:space="preserve"> impacto depende de la adopción y difusión de las TIC que resulta del desarrollo industrial y</w:t>
      </w:r>
      <w:r w:rsidR="00BB4E7D" w:rsidRPr="001F0CA7">
        <w:rPr>
          <w:rFonts w:ascii="Calibri" w:hAnsi="Calibri" w:cs="Calibri"/>
          <w:lang w:val="es-ES"/>
        </w:rPr>
        <w:t>,</w:t>
      </w:r>
      <w:r w:rsidRPr="001F0CA7">
        <w:rPr>
          <w:rFonts w:ascii="Calibri" w:hAnsi="Calibri" w:cs="Calibri"/>
          <w:lang w:val="es-ES"/>
        </w:rPr>
        <w:t xml:space="preserve"> en primera instancia</w:t>
      </w:r>
      <w:r w:rsidR="00BB4E7D" w:rsidRPr="001F0CA7">
        <w:rPr>
          <w:rFonts w:ascii="Calibri" w:hAnsi="Calibri" w:cs="Calibri"/>
          <w:lang w:val="es-ES"/>
        </w:rPr>
        <w:t>,</w:t>
      </w:r>
      <w:r w:rsidRPr="001F0CA7">
        <w:rPr>
          <w:rFonts w:ascii="Calibri" w:hAnsi="Calibri" w:cs="Calibri"/>
          <w:lang w:val="es-ES"/>
        </w:rPr>
        <w:t xml:space="preserve"> de un marco regulatorio y políticas públicas</w:t>
      </w:r>
      <w:r w:rsidR="00BB4E7D" w:rsidRPr="001F0CA7">
        <w:rPr>
          <w:rFonts w:ascii="Calibri" w:hAnsi="Calibri" w:cs="Calibri"/>
          <w:lang w:val="es-ES"/>
        </w:rPr>
        <w:t xml:space="preserve"> que las promuevan</w:t>
      </w:r>
      <w:r w:rsidRPr="001F0CA7">
        <w:rPr>
          <w:rFonts w:ascii="Calibri" w:hAnsi="Calibri" w:cs="Calibri"/>
          <w:lang w:val="es-ES"/>
        </w:rPr>
        <w:t xml:space="preserve">. Van </w:t>
      </w:r>
      <w:proofErr w:type="spellStart"/>
      <w:r w:rsidRPr="001F0CA7">
        <w:rPr>
          <w:rFonts w:ascii="Calibri" w:hAnsi="Calibri" w:cs="Calibri"/>
          <w:lang w:val="es-ES"/>
        </w:rPr>
        <w:t>der</w:t>
      </w:r>
      <w:proofErr w:type="spellEnd"/>
      <w:r w:rsidRPr="001F0CA7">
        <w:rPr>
          <w:rFonts w:ascii="Calibri" w:hAnsi="Calibri" w:cs="Calibri"/>
          <w:lang w:val="es-ES"/>
        </w:rPr>
        <w:t xml:space="preserve"> </w:t>
      </w:r>
      <w:proofErr w:type="spellStart"/>
      <w:r w:rsidR="00C87418" w:rsidRPr="001F0CA7">
        <w:rPr>
          <w:rFonts w:ascii="Calibri" w:hAnsi="Calibri" w:cs="Calibri"/>
          <w:lang w:val="es-ES"/>
        </w:rPr>
        <w:t>Wee</w:t>
      </w:r>
      <w:proofErr w:type="spellEnd"/>
      <w:r w:rsidR="004C20E1" w:rsidRPr="001F0CA7">
        <w:rPr>
          <w:rFonts w:ascii="Calibri" w:hAnsi="Calibri" w:cs="Calibri"/>
          <w:lang w:val="es-ES"/>
        </w:rPr>
        <w:t xml:space="preserve"> (2015</w:t>
      </w:r>
      <w:r w:rsidR="009242E9" w:rsidRPr="001F0CA7">
        <w:rPr>
          <w:rStyle w:val="Refdenotaalpie"/>
          <w:rFonts w:ascii="Calibri" w:hAnsi="Calibri" w:cs="Calibri"/>
          <w:lang w:val="es-ES"/>
        </w:rPr>
        <w:footnoteReference w:id="2"/>
      </w:r>
      <w:r w:rsidR="004C20E1" w:rsidRPr="001F0CA7">
        <w:rPr>
          <w:rFonts w:ascii="Calibri" w:hAnsi="Calibri" w:cs="Calibri"/>
          <w:lang w:val="es-ES"/>
        </w:rPr>
        <w:t>)</w:t>
      </w:r>
      <w:r w:rsidR="00C87418" w:rsidRPr="001F0CA7">
        <w:rPr>
          <w:rFonts w:ascii="Calibri" w:hAnsi="Calibri" w:cs="Calibri"/>
          <w:lang w:val="es-ES"/>
        </w:rPr>
        <w:t xml:space="preserve"> desarrolla otro modelo que </w:t>
      </w:r>
      <w:r w:rsidR="004C20E1" w:rsidRPr="001F0CA7">
        <w:rPr>
          <w:rFonts w:ascii="Calibri" w:hAnsi="Calibri" w:cs="Calibri"/>
          <w:lang w:val="es-ES"/>
        </w:rPr>
        <w:t xml:space="preserve">también </w:t>
      </w:r>
      <w:r w:rsidR="00C87418" w:rsidRPr="001F0CA7">
        <w:rPr>
          <w:rFonts w:ascii="Calibri" w:hAnsi="Calibri" w:cs="Calibri"/>
          <w:lang w:val="es-ES"/>
        </w:rPr>
        <w:t xml:space="preserve">depende de la causalidad </w:t>
      </w:r>
      <w:r w:rsidR="004C20E1" w:rsidRPr="001F0CA7">
        <w:rPr>
          <w:rFonts w:ascii="Calibri" w:hAnsi="Calibri" w:cs="Calibri"/>
          <w:lang w:val="es-ES"/>
        </w:rPr>
        <w:t xml:space="preserve">– pero en dirección inversa a Katz </w:t>
      </w:r>
      <w:r w:rsidR="009B7130" w:rsidRPr="001F0CA7">
        <w:rPr>
          <w:rFonts w:ascii="Calibri" w:hAnsi="Calibri" w:cs="Calibri"/>
          <w:lang w:val="es-ES"/>
        </w:rPr>
        <w:t>(</w:t>
      </w:r>
      <w:r w:rsidR="004C20E1" w:rsidRPr="001F0CA7">
        <w:rPr>
          <w:rFonts w:ascii="Calibri" w:hAnsi="Calibri" w:cs="Calibri"/>
          <w:lang w:val="es-ES"/>
        </w:rPr>
        <w:t>i.e.</w:t>
      </w:r>
      <w:r w:rsidR="009B7130" w:rsidRPr="001F0CA7">
        <w:rPr>
          <w:rFonts w:ascii="Calibri" w:hAnsi="Calibri" w:cs="Calibri"/>
          <w:lang w:val="es-ES"/>
        </w:rPr>
        <w:t>,</w:t>
      </w:r>
      <w:r w:rsidR="004C20E1" w:rsidRPr="001F0CA7">
        <w:rPr>
          <w:rFonts w:ascii="Calibri" w:hAnsi="Calibri" w:cs="Calibri"/>
          <w:lang w:val="es-ES"/>
        </w:rPr>
        <w:t xml:space="preserve"> de abajo </w:t>
      </w:r>
      <w:r w:rsidR="009B7130" w:rsidRPr="001F0CA7">
        <w:rPr>
          <w:rFonts w:ascii="Calibri" w:hAnsi="Calibri" w:cs="Calibri"/>
          <w:lang w:val="es-ES"/>
        </w:rPr>
        <w:t>hacia</w:t>
      </w:r>
      <w:r w:rsidR="004C20E1" w:rsidRPr="001F0CA7">
        <w:rPr>
          <w:rFonts w:ascii="Calibri" w:hAnsi="Calibri" w:cs="Calibri"/>
          <w:lang w:val="es-ES"/>
        </w:rPr>
        <w:t xml:space="preserve"> arriba</w:t>
      </w:r>
      <w:r w:rsidR="009B7130" w:rsidRPr="001F0CA7">
        <w:rPr>
          <w:rFonts w:ascii="Calibri" w:hAnsi="Calibri" w:cs="Calibri"/>
          <w:lang w:val="es-ES"/>
        </w:rPr>
        <w:t>)</w:t>
      </w:r>
      <w:r w:rsidR="004C20E1" w:rsidRPr="001F0CA7">
        <w:rPr>
          <w:rFonts w:ascii="Calibri" w:hAnsi="Calibri" w:cs="Calibri"/>
          <w:lang w:val="es-ES"/>
        </w:rPr>
        <w:t xml:space="preserve"> </w:t>
      </w:r>
      <w:r w:rsidR="00C87418" w:rsidRPr="001F0CA7">
        <w:rPr>
          <w:rFonts w:ascii="Calibri" w:hAnsi="Calibri" w:cs="Calibri"/>
          <w:lang w:val="es-ES"/>
        </w:rPr>
        <w:t>para concluir que</w:t>
      </w:r>
      <w:r w:rsidR="004C20E1" w:rsidRPr="001F0CA7">
        <w:rPr>
          <w:rFonts w:ascii="Calibri" w:hAnsi="Calibri" w:cs="Calibri"/>
          <w:lang w:val="es-ES"/>
        </w:rPr>
        <w:t xml:space="preserve"> es necesario cuantificar</w:t>
      </w:r>
      <w:r w:rsidR="00C87418" w:rsidRPr="001F0CA7">
        <w:rPr>
          <w:rFonts w:ascii="Calibri" w:hAnsi="Calibri" w:cs="Calibri"/>
          <w:lang w:val="es-ES"/>
        </w:rPr>
        <w:t xml:space="preserve"> los efectos indirectos de la inversión en telecomunicaciones</w:t>
      </w:r>
      <w:r w:rsidR="004C20E1" w:rsidRPr="001F0CA7">
        <w:rPr>
          <w:rFonts w:ascii="Calibri" w:hAnsi="Calibri" w:cs="Calibri"/>
          <w:lang w:val="es-ES"/>
        </w:rPr>
        <w:t xml:space="preserve"> e incluirlos en cualquier análisis costo beneficio. Para la OCDE (2009</w:t>
      </w:r>
      <w:r w:rsidR="00421204" w:rsidRPr="001F0CA7">
        <w:rPr>
          <w:rStyle w:val="Refdenotaalpie"/>
          <w:rFonts w:ascii="Calibri" w:hAnsi="Calibri" w:cs="Calibri"/>
          <w:lang w:val="es-ES"/>
        </w:rPr>
        <w:footnoteReference w:id="3"/>
      </w:r>
      <w:r w:rsidR="004C20E1" w:rsidRPr="001F0CA7">
        <w:rPr>
          <w:rFonts w:ascii="Calibri" w:hAnsi="Calibri" w:cs="Calibri"/>
          <w:lang w:val="es-ES"/>
        </w:rPr>
        <w:t xml:space="preserve">) el beneficio social surge de los ahorros en transporte, salud, energía y educación. Finalmente, para las Naciones Unidas en el contexto de la Sociedad Digital, el beneficio de una mayor conectividad resulta en una mejor inclusión financiera, el acceso a los servicios de comercio, a los servicios públicos y a la tecnología. También hace ver el impacto positivo en la salud, el trabajo y el ejercicio de los </w:t>
      </w:r>
      <w:r w:rsidR="004C20E1" w:rsidRPr="001F0CA7">
        <w:rPr>
          <w:rFonts w:ascii="Calibri" w:hAnsi="Calibri" w:cs="Calibri"/>
          <w:lang w:val="es-ES"/>
        </w:rPr>
        <w:lastRenderedPageBreak/>
        <w:t xml:space="preserve">derechos humanos. De esta forma el beneficio social se podrá cuantificar en función de la medición del cambio (en intensidad, forma o costo) de estas actividades en función de las telecomunicaciones. </w:t>
      </w:r>
    </w:p>
    <w:p w14:paraId="6DD08328" w14:textId="11705567" w:rsidR="001029E9" w:rsidRPr="001F0CA7" w:rsidRDefault="004C20E1" w:rsidP="001F0CA7">
      <w:pPr>
        <w:spacing w:line="276" w:lineRule="auto"/>
        <w:jc w:val="both"/>
        <w:rPr>
          <w:rFonts w:ascii="Calibri" w:hAnsi="Calibri" w:cs="Calibri"/>
        </w:rPr>
      </w:pPr>
      <w:r w:rsidRPr="001F0CA7">
        <w:rPr>
          <w:rFonts w:ascii="Calibri" w:hAnsi="Calibri" w:cs="Calibri"/>
        </w:rPr>
        <w:t xml:space="preserve"> </w:t>
      </w:r>
    </w:p>
    <w:p w14:paraId="51D96C7A" w14:textId="46185966" w:rsidR="007A269D" w:rsidRPr="001F0CA7" w:rsidRDefault="001029E9"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La Agenda 2030 para el Desarrollo Sustentable reconoce el gran potencial de la conectividad global para estimular el progreso humano. Las telecomunicaciones y la radiodifusión son “habilitadoras de derechos, facilitadoras de oportunidades, así como la base de la Cuarta Revolución Industrial y, en esa medida, promotoras del desarrollo nacional”</w:t>
      </w:r>
      <w:r w:rsidRPr="001F0CA7">
        <w:rPr>
          <w:rStyle w:val="Refdenotaalpie"/>
          <w:rFonts w:ascii="Calibri" w:hAnsi="Calibri" w:cs="Calibri"/>
          <w:lang w:val="es-ES"/>
        </w:rPr>
        <w:footnoteReference w:id="4"/>
      </w:r>
      <w:r w:rsidRPr="001F0CA7">
        <w:rPr>
          <w:rFonts w:ascii="Calibri" w:hAnsi="Calibri" w:cs="Calibri"/>
          <w:lang w:val="es-ES"/>
        </w:rPr>
        <w:t xml:space="preserve">. Pese al enorme beneficio económico que </w:t>
      </w:r>
      <w:r w:rsidR="000F1614" w:rsidRPr="001F0CA7">
        <w:rPr>
          <w:rFonts w:ascii="Calibri" w:hAnsi="Calibri" w:cs="Calibri"/>
          <w:lang w:val="es-ES"/>
        </w:rPr>
        <w:t>las telecomunicaciones</w:t>
      </w:r>
      <w:r w:rsidRPr="001F0CA7">
        <w:rPr>
          <w:rFonts w:ascii="Calibri" w:hAnsi="Calibri" w:cs="Calibri"/>
          <w:lang w:val="es-ES"/>
        </w:rPr>
        <w:t xml:space="preserve"> representa</w:t>
      </w:r>
      <w:r w:rsidR="000F1614" w:rsidRPr="001F0CA7">
        <w:rPr>
          <w:rFonts w:ascii="Calibri" w:hAnsi="Calibri" w:cs="Calibri"/>
          <w:lang w:val="es-ES"/>
        </w:rPr>
        <w:t>n</w:t>
      </w:r>
      <w:r w:rsidRPr="001F0CA7">
        <w:rPr>
          <w:rFonts w:ascii="Calibri" w:hAnsi="Calibri" w:cs="Calibri"/>
          <w:lang w:val="es-ES"/>
        </w:rPr>
        <w:t xml:space="preserve"> a los inversionistas </w:t>
      </w:r>
      <w:r w:rsidR="000F1614" w:rsidRPr="001F0CA7">
        <w:rPr>
          <w:rFonts w:ascii="Calibri" w:hAnsi="Calibri" w:cs="Calibri"/>
          <w:lang w:val="es-ES"/>
        </w:rPr>
        <w:t>al</w:t>
      </w:r>
      <w:r w:rsidRPr="001F0CA7">
        <w:rPr>
          <w:rFonts w:ascii="Calibri" w:hAnsi="Calibri" w:cs="Calibri"/>
          <w:lang w:val="es-ES"/>
        </w:rPr>
        <w:t xml:space="preserve"> proveer servicios al usuario final</w:t>
      </w:r>
      <w:r w:rsidR="00421204" w:rsidRPr="001F0CA7">
        <w:rPr>
          <w:rFonts w:ascii="Calibri" w:hAnsi="Calibri" w:cs="Calibri"/>
          <w:lang w:val="es-ES"/>
        </w:rPr>
        <w:t xml:space="preserve">, </w:t>
      </w:r>
      <w:r w:rsidRPr="001F0CA7">
        <w:rPr>
          <w:rFonts w:ascii="Calibri" w:hAnsi="Calibri" w:cs="Calibri"/>
          <w:lang w:val="es-ES"/>
        </w:rPr>
        <w:t>no todas tienen la madurez necesaria para justificar comenzar a generar el beneficio social a través del acceso a la comunicación con mayor calidad y mejor experiencia del usuario.</w:t>
      </w:r>
      <w:r w:rsidR="007A269D" w:rsidRPr="001F0CA7">
        <w:rPr>
          <w:rFonts w:ascii="Calibri" w:hAnsi="Calibri" w:cs="Calibri"/>
          <w:lang w:val="es-ES"/>
        </w:rPr>
        <w:t xml:space="preserve"> </w:t>
      </w:r>
    </w:p>
    <w:p w14:paraId="1D236CEC" w14:textId="77777777" w:rsidR="007A269D" w:rsidRPr="001F0CA7" w:rsidRDefault="007A269D" w:rsidP="001F0CA7">
      <w:pPr>
        <w:pStyle w:val="Prrafodelista"/>
        <w:spacing w:line="276" w:lineRule="auto"/>
        <w:jc w:val="both"/>
        <w:rPr>
          <w:rFonts w:ascii="Calibri" w:hAnsi="Calibri" w:cs="Calibri"/>
          <w:lang w:val="es-ES"/>
        </w:rPr>
      </w:pPr>
    </w:p>
    <w:p w14:paraId="53EE3018" w14:textId="03CF269C" w:rsidR="000F1614" w:rsidRPr="001F0CA7" w:rsidRDefault="009B7130"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Prácticamente todas </w:t>
      </w:r>
      <w:r w:rsidR="007A269D" w:rsidRPr="001F0CA7">
        <w:rPr>
          <w:rFonts w:ascii="Calibri" w:hAnsi="Calibri" w:cs="Calibri"/>
          <w:lang w:val="es-ES"/>
        </w:rPr>
        <w:t xml:space="preserve">las tecnologías de comunicación requieren de espectro radioeléctrico para su funcionamiento. Conforme se incremente el uso de una u otra tecnología se incrementará la necesidad de espectro. Idealmente, cuando una tecnología está en la parte final de su ciclo de vida, </w:t>
      </w:r>
      <w:r w:rsidR="00BB4E7D" w:rsidRPr="001F0CA7">
        <w:rPr>
          <w:rFonts w:ascii="Calibri" w:hAnsi="Calibri" w:cs="Calibri"/>
          <w:lang w:val="es-ES"/>
        </w:rPr>
        <w:t xml:space="preserve">debería </w:t>
      </w:r>
      <w:r w:rsidR="007A269D" w:rsidRPr="001F0CA7">
        <w:rPr>
          <w:rFonts w:ascii="Calibri" w:hAnsi="Calibri" w:cs="Calibri"/>
          <w:lang w:val="es-ES"/>
        </w:rPr>
        <w:t xml:space="preserve">ser sustituida </w:t>
      </w:r>
      <w:r w:rsidR="00834D04" w:rsidRPr="001F0CA7">
        <w:rPr>
          <w:rFonts w:ascii="Calibri" w:hAnsi="Calibri" w:cs="Calibri"/>
          <w:lang w:val="es-ES"/>
        </w:rPr>
        <w:t>debido a su</w:t>
      </w:r>
      <w:r w:rsidR="007A269D" w:rsidRPr="001F0CA7">
        <w:rPr>
          <w:rFonts w:ascii="Calibri" w:hAnsi="Calibri" w:cs="Calibri"/>
          <w:lang w:val="es-ES"/>
        </w:rPr>
        <w:t xml:space="preserve"> obsolescencia y el espectro que está utilizando</w:t>
      </w:r>
      <w:r w:rsidR="00BB4E7D" w:rsidRPr="001F0CA7">
        <w:rPr>
          <w:rFonts w:ascii="Calibri" w:hAnsi="Calibri" w:cs="Calibri"/>
          <w:lang w:val="es-ES"/>
        </w:rPr>
        <w:t xml:space="preserve"> debería ser liberado para garantizar un uso eficiente</w:t>
      </w:r>
      <w:r w:rsidR="007A269D" w:rsidRPr="001F0CA7">
        <w:rPr>
          <w:rFonts w:ascii="Calibri" w:hAnsi="Calibri" w:cs="Calibri"/>
          <w:lang w:val="es-ES"/>
        </w:rPr>
        <w:t>. Sin embargo, la historia nos ha mostrado lo contrario, una vez que es común que el regulador de telecomunicaciones tenga que rescatar frecuencias o reasignar el uso a partir de las recomendaciones internacionales o regionales</w:t>
      </w:r>
      <w:r w:rsidR="00F0510C" w:rsidRPr="001F0CA7">
        <w:rPr>
          <w:rFonts w:ascii="Calibri" w:hAnsi="Calibri" w:cs="Calibri"/>
          <w:lang w:val="es-ES"/>
        </w:rPr>
        <w:t>,</w:t>
      </w:r>
      <w:r w:rsidR="00834D04" w:rsidRPr="001F0CA7">
        <w:rPr>
          <w:rFonts w:ascii="Calibri" w:hAnsi="Calibri" w:cs="Calibri"/>
          <w:lang w:val="es-ES"/>
        </w:rPr>
        <w:t xml:space="preserve"> lo </w:t>
      </w:r>
      <w:r w:rsidR="00F0510C" w:rsidRPr="001F0CA7">
        <w:rPr>
          <w:rFonts w:ascii="Calibri" w:hAnsi="Calibri" w:cs="Calibri"/>
          <w:lang w:val="es-ES"/>
        </w:rPr>
        <w:t xml:space="preserve">que frecuentemente </w:t>
      </w:r>
      <w:r w:rsidR="00834D04" w:rsidRPr="001F0CA7">
        <w:rPr>
          <w:rFonts w:ascii="Calibri" w:hAnsi="Calibri" w:cs="Calibri"/>
          <w:lang w:val="es-ES"/>
        </w:rPr>
        <w:t xml:space="preserve">implica </w:t>
      </w:r>
      <w:r w:rsidR="00F0510C" w:rsidRPr="001F0CA7">
        <w:rPr>
          <w:rFonts w:ascii="Calibri" w:hAnsi="Calibri" w:cs="Calibri"/>
          <w:lang w:val="es-ES"/>
        </w:rPr>
        <w:t xml:space="preserve">que el Estado tiene que </w:t>
      </w:r>
      <w:r w:rsidR="00834D04" w:rsidRPr="001F0CA7">
        <w:rPr>
          <w:rFonts w:ascii="Calibri" w:hAnsi="Calibri" w:cs="Calibri"/>
          <w:lang w:val="es-ES"/>
        </w:rPr>
        <w:t>compensa</w:t>
      </w:r>
      <w:r w:rsidR="00F0510C" w:rsidRPr="001F0CA7">
        <w:rPr>
          <w:rFonts w:ascii="Calibri" w:hAnsi="Calibri" w:cs="Calibri"/>
          <w:lang w:val="es-ES"/>
        </w:rPr>
        <w:t>r a quienes lo tienen asignado</w:t>
      </w:r>
      <w:r w:rsidR="007A269D" w:rsidRPr="001F0CA7">
        <w:rPr>
          <w:rFonts w:ascii="Calibri" w:hAnsi="Calibri" w:cs="Calibri"/>
          <w:lang w:val="es-ES"/>
        </w:rPr>
        <w:t xml:space="preserve">. </w:t>
      </w:r>
      <w:r w:rsidR="000F1614" w:rsidRPr="001F0CA7">
        <w:rPr>
          <w:rFonts w:ascii="Calibri" w:hAnsi="Calibri" w:cs="Calibri"/>
          <w:lang w:val="es-ES"/>
        </w:rPr>
        <w:t>Al favorecer</w:t>
      </w:r>
      <w:r w:rsidR="007A269D" w:rsidRPr="001F0CA7">
        <w:rPr>
          <w:rFonts w:ascii="Calibri" w:hAnsi="Calibri" w:cs="Calibri"/>
          <w:lang w:val="es-ES"/>
        </w:rPr>
        <w:t xml:space="preserve"> el regulador</w:t>
      </w:r>
      <w:r w:rsidR="000F1614" w:rsidRPr="001F0CA7">
        <w:rPr>
          <w:rFonts w:ascii="Calibri" w:hAnsi="Calibri" w:cs="Calibri"/>
          <w:lang w:val="es-ES"/>
        </w:rPr>
        <w:t xml:space="preserve"> un </w:t>
      </w:r>
      <w:r w:rsidR="007A269D" w:rsidRPr="001F0CA7">
        <w:rPr>
          <w:rFonts w:ascii="Calibri" w:hAnsi="Calibri" w:cs="Calibri"/>
          <w:lang w:val="es-ES"/>
        </w:rPr>
        <w:t>tipo de servicio (v.g</w:t>
      </w:r>
      <w:r w:rsidRPr="001F0CA7">
        <w:rPr>
          <w:rFonts w:ascii="Calibri" w:hAnsi="Calibri" w:cs="Calibri"/>
          <w:lang w:val="es-ES"/>
        </w:rPr>
        <w:t>r</w:t>
      </w:r>
      <w:r w:rsidR="007A269D" w:rsidRPr="001F0CA7">
        <w:rPr>
          <w:rFonts w:ascii="Calibri" w:hAnsi="Calibri" w:cs="Calibri"/>
          <w:lang w:val="es-ES"/>
        </w:rPr>
        <w:t>.</w:t>
      </w:r>
      <w:r w:rsidRPr="001F0CA7">
        <w:rPr>
          <w:rFonts w:ascii="Calibri" w:hAnsi="Calibri" w:cs="Calibri"/>
          <w:lang w:val="es-ES"/>
        </w:rPr>
        <w:t>,</w:t>
      </w:r>
      <w:r w:rsidR="007A269D" w:rsidRPr="001F0CA7">
        <w:rPr>
          <w:rFonts w:ascii="Calibri" w:hAnsi="Calibri" w:cs="Calibri"/>
          <w:lang w:val="es-ES"/>
        </w:rPr>
        <w:t xml:space="preserve"> móvil, fijo, satelital) en una banda del espectro </w:t>
      </w:r>
      <w:r w:rsidR="000F1614" w:rsidRPr="001F0CA7">
        <w:rPr>
          <w:rFonts w:ascii="Calibri" w:hAnsi="Calibri" w:cs="Calibri"/>
          <w:lang w:val="es-ES"/>
        </w:rPr>
        <w:t>es</w:t>
      </w:r>
      <w:r w:rsidR="007A269D" w:rsidRPr="001F0CA7">
        <w:rPr>
          <w:rFonts w:ascii="Calibri" w:hAnsi="Calibri" w:cs="Calibri"/>
          <w:lang w:val="es-ES"/>
        </w:rPr>
        <w:t>tá</w:t>
      </w:r>
      <w:r w:rsidR="000F1614" w:rsidRPr="001F0CA7">
        <w:rPr>
          <w:rFonts w:ascii="Calibri" w:hAnsi="Calibri" w:cs="Calibri"/>
          <w:lang w:val="es-ES"/>
        </w:rPr>
        <w:t xml:space="preserve"> también beneficiando </w:t>
      </w:r>
      <w:r w:rsidR="007A269D" w:rsidRPr="001F0CA7">
        <w:rPr>
          <w:rFonts w:ascii="Calibri" w:hAnsi="Calibri" w:cs="Calibri"/>
          <w:lang w:val="es-ES"/>
        </w:rPr>
        <w:t xml:space="preserve">las </w:t>
      </w:r>
      <w:r w:rsidR="000F1614" w:rsidRPr="001F0CA7">
        <w:rPr>
          <w:rFonts w:ascii="Calibri" w:hAnsi="Calibri" w:cs="Calibri"/>
          <w:lang w:val="es-ES"/>
        </w:rPr>
        <w:t xml:space="preserve">tecnologías </w:t>
      </w:r>
      <w:r w:rsidR="007A269D" w:rsidRPr="001F0CA7">
        <w:rPr>
          <w:rFonts w:ascii="Calibri" w:hAnsi="Calibri" w:cs="Calibri"/>
          <w:lang w:val="es-ES"/>
        </w:rPr>
        <w:t>asociadas a esos servicios</w:t>
      </w:r>
      <w:r w:rsidRPr="001F0CA7">
        <w:rPr>
          <w:rFonts w:ascii="Calibri" w:hAnsi="Calibri" w:cs="Calibri"/>
          <w:lang w:val="es-ES"/>
        </w:rPr>
        <w:t xml:space="preserve">, por </w:t>
      </w:r>
      <w:r w:rsidR="007A269D" w:rsidRPr="001F0CA7">
        <w:rPr>
          <w:rFonts w:ascii="Calibri" w:hAnsi="Calibri" w:cs="Calibri"/>
          <w:lang w:val="es-ES"/>
        </w:rPr>
        <w:t xml:space="preserve">lo que se requiere </w:t>
      </w:r>
      <w:r w:rsidR="000F1614" w:rsidRPr="001F0CA7">
        <w:rPr>
          <w:rFonts w:ascii="Calibri" w:hAnsi="Calibri" w:cs="Calibri"/>
          <w:lang w:val="es-ES"/>
        </w:rPr>
        <w:t xml:space="preserve">evaluar la tecnología no sólo en su estado actual sino también </w:t>
      </w:r>
      <w:r w:rsidR="00D93884" w:rsidRPr="001F0CA7">
        <w:rPr>
          <w:rFonts w:ascii="Calibri" w:hAnsi="Calibri" w:cs="Calibri"/>
          <w:lang w:val="es-ES"/>
        </w:rPr>
        <w:t xml:space="preserve">respecto a </w:t>
      </w:r>
      <w:r w:rsidR="000F1614" w:rsidRPr="001F0CA7">
        <w:rPr>
          <w:rFonts w:ascii="Calibri" w:hAnsi="Calibri" w:cs="Calibri"/>
          <w:lang w:val="es-ES"/>
        </w:rPr>
        <w:t>las proyecciones de su uso y factibilidad económica a mediano y largo plazo</w:t>
      </w:r>
      <w:r w:rsidRPr="001F0CA7">
        <w:rPr>
          <w:rFonts w:ascii="Calibri" w:hAnsi="Calibri" w:cs="Calibri"/>
          <w:lang w:val="es-ES"/>
        </w:rPr>
        <w:t>s</w:t>
      </w:r>
      <w:r w:rsidR="000F1614" w:rsidRPr="001F0CA7">
        <w:rPr>
          <w:rFonts w:ascii="Calibri" w:hAnsi="Calibri" w:cs="Calibri"/>
          <w:lang w:val="es-ES"/>
        </w:rPr>
        <w:t xml:space="preserve">. El resultado final de la regulación ante el cambio tecnológico impactará el desarrollo del país. </w:t>
      </w:r>
    </w:p>
    <w:p w14:paraId="64020E73" w14:textId="77777777" w:rsidR="001029E9" w:rsidRPr="001F0CA7" w:rsidRDefault="001029E9" w:rsidP="001F0CA7">
      <w:pPr>
        <w:spacing w:line="276" w:lineRule="auto"/>
        <w:jc w:val="both"/>
        <w:rPr>
          <w:rFonts w:ascii="Calibri" w:hAnsi="Calibri" w:cs="Calibri"/>
          <w:lang w:val="es-ES"/>
        </w:rPr>
      </w:pPr>
    </w:p>
    <w:p w14:paraId="01D4C5A7" w14:textId="03F56ABE" w:rsidR="007F0490" w:rsidRPr="001F0CA7" w:rsidRDefault="007F0490"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El escenario que emerge a partir de la pandemia por la propagación </w:t>
      </w:r>
      <w:r w:rsidR="009B7130" w:rsidRPr="001F0CA7">
        <w:rPr>
          <w:rFonts w:ascii="Calibri" w:hAnsi="Calibri" w:cs="Calibri"/>
          <w:lang w:val="es-ES"/>
        </w:rPr>
        <w:t xml:space="preserve">del </w:t>
      </w:r>
      <w:r w:rsidRPr="001F0CA7">
        <w:rPr>
          <w:rFonts w:ascii="Calibri" w:hAnsi="Calibri" w:cs="Calibri"/>
          <w:lang w:val="es-ES"/>
        </w:rPr>
        <w:t>SARS-CoV-2</w:t>
      </w:r>
      <w:r w:rsidR="0077396A" w:rsidRPr="001F0CA7">
        <w:rPr>
          <w:rFonts w:ascii="Calibri" w:hAnsi="Calibri" w:cs="Calibri"/>
          <w:lang w:val="es-ES"/>
        </w:rPr>
        <w:t>,</w:t>
      </w:r>
      <w:r w:rsidRPr="001F0CA7">
        <w:rPr>
          <w:rFonts w:ascii="Calibri" w:hAnsi="Calibri" w:cs="Calibri"/>
          <w:lang w:val="es-ES"/>
        </w:rPr>
        <w:t xml:space="preserve"> </w:t>
      </w:r>
      <w:r w:rsidR="00D36F7B" w:rsidRPr="001F0CA7">
        <w:rPr>
          <w:rFonts w:ascii="Calibri" w:hAnsi="Calibri" w:cs="Calibri"/>
          <w:lang w:val="es-ES"/>
        </w:rPr>
        <w:t xml:space="preserve">y </w:t>
      </w:r>
      <w:r w:rsidRPr="001F0CA7">
        <w:rPr>
          <w:rFonts w:ascii="Calibri" w:hAnsi="Calibri" w:cs="Calibri"/>
          <w:lang w:val="es-ES"/>
        </w:rPr>
        <w:t>que obliga a un distanciamiento social</w:t>
      </w:r>
      <w:r w:rsidR="00F0510C" w:rsidRPr="001F0CA7">
        <w:rPr>
          <w:rFonts w:ascii="Calibri" w:hAnsi="Calibri" w:cs="Calibri"/>
          <w:lang w:val="es-ES"/>
        </w:rPr>
        <w:t>,</w:t>
      </w:r>
      <w:r w:rsidRPr="001F0CA7">
        <w:rPr>
          <w:rFonts w:ascii="Calibri" w:hAnsi="Calibri" w:cs="Calibri"/>
          <w:lang w:val="es-ES"/>
        </w:rPr>
        <w:t xml:space="preserve"> ha mostrado</w:t>
      </w:r>
      <w:r w:rsidR="00D36F7B" w:rsidRPr="001F0CA7">
        <w:rPr>
          <w:rFonts w:ascii="Calibri" w:hAnsi="Calibri" w:cs="Calibri"/>
          <w:lang w:val="es-ES"/>
        </w:rPr>
        <w:t xml:space="preserve"> de nuevo</w:t>
      </w:r>
      <w:r w:rsidRPr="001F0CA7">
        <w:rPr>
          <w:rFonts w:ascii="Calibri" w:hAnsi="Calibri" w:cs="Calibri"/>
          <w:lang w:val="es-ES"/>
        </w:rPr>
        <w:t xml:space="preserve"> la utilidad</w:t>
      </w:r>
      <w:r w:rsidR="00D36F7B" w:rsidRPr="001F0CA7">
        <w:rPr>
          <w:rFonts w:ascii="Calibri" w:hAnsi="Calibri" w:cs="Calibri"/>
          <w:lang w:val="es-ES"/>
        </w:rPr>
        <w:t>, urgencia</w:t>
      </w:r>
      <w:r w:rsidRPr="001F0CA7">
        <w:rPr>
          <w:rFonts w:ascii="Calibri" w:hAnsi="Calibri" w:cs="Calibri"/>
          <w:lang w:val="es-ES"/>
        </w:rPr>
        <w:t xml:space="preserve"> y necesidad de uso de tecnologías de información y comunicación para ejercer los derechos fundamentales de acceso a la salud, comunicación, acceso a la información y la libertad de expresión. En este sentido el ciudadano como usuario final requiere más conectividad para realizar actividades laborales, sociales, educativas e industriales en un entorno más distribuido y con mayores tasas de intercambio de información. En los entornos rurales la desconexión y </w:t>
      </w:r>
      <w:r w:rsidRPr="001F0CA7">
        <w:rPr>
          <w:rFonts w:ascii="Calibri" w:hAnsi="Calibri" w:cs="Calibri"/>
          <w:lang w:val="es-ES"/>
        </w:rPr>
        <w:lastRenderedPageBreak/>
        <w:t xml:space="preserve">distanciamiento social hacen ver la urgencia de la conexión de las localidades </w:t>
      </w:r>
      <w:r w:rsidR="00F0510C" w:rsidRPr="001F0CA7">
        <w:rPr>
          <w:rFonts w:ascii="Calibri" w:hAnsi="Calibri" w:cs="Calibri"/>
          <w:lang w:val="es-ES"/>
        </w:rPr>
        <w:t xml:space="preserve">en donde la </w:t>
      </w:r>
      <w:r w:rsidRPr="001F0CA7">
        <w:rPr>
          <w:rFonts w:ascii="Calibri" w:hAnsi="Calibri" w:cs="Calibri"/>
          <w:lang w:val="es-ES"/>
        </w:rPr>
        <w:t xml:space="preserve">conectividad </w:t>
      </w:r>
      <w:r w:rsidR="00F0510C" w:rsidRPr="001F0CA7">
        <w:rPr>
          <w:rFonts w:ascii="Calibri" w:hAnsi="Calibri" w:cs="Calibri"/>
          <w:lang w:val="es-ES"/>
        </w:rPr>
        <w:t xml:space="preserve">es baja </w:t>
      </w:r>
      <w:r w:rsidRPr="001F0CA7">
        <w:rPr>
          <w:rFonts w:ascii="Calibri" w:hAnsi="Calibri" w:cs="Calibri"/>
          <w:lang w:val="es-ES"/>
        </w:rPr>
        <w:t>o</w:t>
      </w:r>
      <w:r w:rsidR="00F0510C" w:rsidRPr="001F0CA7">
        <w:rPr>
          <w:rFonts w:ascii="Calibri" w:hAnsi="Calibri" w:cs="Calibri"/>
          <w:lang w:val="es-ES"/>
        </w:rPr>
        <w:t xml:space="preserve"> la </w:t>
      </w:r>
      <w:r w:rsidRPr="001F0CA7">
        <w:rPr>
          <w:rFonts w:ascii="Calibri" w:hAnsi="Calibri" w:cs="Calibri"/>
          <w:lang w:val="es-ES"/>
        </w:rPr>
        <w:t>calidad de servicio</w:t>
      </w:r>
      <w:r w:rsidR="00F0510C" w:rsidRPr="001F0CA7">
        <w:rPr>
          <w:rFonts w:ascii="Calibri" w:hAnsi="Calibri" w:cs="Calibri"/>
          <w:lang w:val="es-ES"/>
        </w:rPr>
        <w:t xml:space="preserve"> es deficiente</w:t>
      </w:r>
      <w:r w:rsidRPr="001F0CA7">
        <w:rPr>
          <w:rFonts w:ascii="Calibri" w:hAnsi="Calibri" w:cs="Calibri"/>
          <w:lang w:val="es-ES"/>
        </w:rPr>
        <w:t xml:space="preserve">. </w:t>
      </w:r>
    </w:p>
    <w:p w14:paraId="31B708E3" w14:textId="77777777" w:rsidR="007D1D8C" w:rsidRPr="001F0CA7" w:rsidRDefault="007D1D8C" w:rsidP="001F0CA7">
      <w:pPr>
        <w:spacing w:line="276" w:lineRule="auto"/>
        <w:jc w:val="both"/>
        <w:rPr>
          <w:rFonts w:ascii="Calibri" w:hAnsi="Calibri" w:cs="Calibri"/>
          <w:color w:val="000000"/>
          <w:lang w:val="es-ES"/>
        </w:rPr>
      </w:pPr>
    </w:p>
    <w:p w14:paraId="481DD9E2" w14:textId="73E77576" w:rsidR="0076552D" w:rsidRPr="001F0CA7" w:rsidRDefault="0076552D" w:rsidP="005B63AD">
      <w:pPr>
        <w:pStyle w:val="Prrafodelista"/>
        <w:numPr>
          <w:ilvl w:val="0"/>
          <w:numId w:val="6"/>
        </w:numPr>
        <w:spacing w:line="276" w:lineRule="auto"/>
        <w:jc w:val="both"/>
        <w:rPr>
          <w:rFonts w:ascii="Calibri" w:hAnsi="Calibri" w:cs="Calibri"/>
          <w:color w:val="000000"/>
          <w:lang w:val="es-ES"/>
        </w:rPr>
      </w:pPr>
      <w:r w:rsidRPr="001F0CA7">
        <w:rPr>
          <w:rFonts w:ascii="Calibri" w:hAnsi="Calibri" w:cs="Calibri"/>
          <w:color w:val="000000"/>
        </w:rPr>
        <w:t>El Instituto Federal de Telecomunicaciones</w:t>
      </w:r>
      <w:r w:rsidR="0018235D" w:rsidRPr="001F0CA7">
        <w:rPr>
          <w:rFonts w:ascii="Calibri" w:hAnsi="Calibri" w:cs="Calibri"/>
          <w:color w:val="000000"/>
        </w:rPr>
        <w:t xml:space="preserve"> (IFT)</w:t>
      </w:r>
      <w:r w:rsidR="00C36228" w:rsidRPr="001F0CA7">
        <w:rPr>
          <w:rFonts w:ascii="Calibri" w:hAnsi="Calibri" w:cs="Calibri"/>
          <w:color w:val="000000"/>
        </w:rPr>
        <w:t>,</w:t>
      </w:r>
      <w:r w:rsidRPr="001F0CA7">
        <w:rPr>
          <w:rFonts w:ascii="Calibri" w:hAnsi="Calibri" w:cs="Calibri"/>
          <w:color w:val="000000"/>
        </w:rPr>
        <w:t xml:space="preserve"> a través de la Dirección General de Planeación del Espectro, adscrita a la Unidad de Espectro Radioeléctrico, elabora y mantiene actualizado el </w:t>
      </w:r>
      <w:r w:rsidR="007D1D8C" w:rsidRPr="001F0CA7">
        <w:rPr>
          <w:rFonts w:ascii="Calibri" w:hAnsi="Calibri" w:cs="Calibri"/>
          <w:color w:val="000000"/>
          <w:lang w:val="es-ES"/>
        </w:rPr>
        <w:t>Cuadro Nacional de Atribución de Frecuencias (</w:t>
      </w:r>
      <w:r w:rsidRPr="001F0CA7">
        <w:rPr>
          <w:rFonts w:ascii="Calibri" w:hAnsi="Calibri" w:cs="Calibri"/>
          <w:color w:val="000000"/>
        </w:rPr>
        <w:t>CNAF</w:t>
      </w:r>
      <w:r w:rsidR="007D1D8C" w:rsidRPr="001F0CA7">
        <w:rPr>
          <w:rFonts w:ascii="Calibri" w:hAnsi="Calibri" w:cs="Calibri"/>
          <w:color w:val="000000"/>
          <w:lang w:val="es-ES"/>
        </w:rPr>
        <w:t>)</w:t>
      </w:r>
      <w:r w:rsidRPr="001F0CA7">
        <w:rPr>
          <w:rFonts w:ascii="Calibri" w:hAnsi="Calibri" w:cs="Calibri"/>
          <w:color w:val="000000"/>
        </w:rPr>
        <w:t xml:space="preserve"> con la finalidad de llevar a cabo la adecuada planeación, administración y control del espectro radioeléctrico en nuestro país.</w:t>
      </w:r>
      <w:r w:rsidR="0077396A" w:rsidRPr="001F0CA7">
        <w:rPr>
          <w:rFonts w:ascii="Calibri" w:hAnsi="Calibri" w:cs="Calibri"/>
          <w:color w:val="000000"/>
        </w:rPr>
        <w:t xml:space="preserve"> </w:t>
      </w:r>
      <w:r w:rsidRPr="001F0CA7">
        <w:rPr>
          <w:rFonts w:ascii="Calibri" w:hAnsi="Calibri" w:cs="Calibri"/>
          <w:color w:val="000000"/>
        </w:rPr>
        <w:t>El CNAF es la disposición administrativa que indica el servicio o servicios de radiocomunicaciones a los que se encuentra atribuida una determinada banda de frecuencias del espectro radioeléctrico</w:t>
      </w:r>
      <w:r w:rsidR="009B7130" w:rsidRPr="001F0CA7">
        <w:rPr>
          <w:rFonts w:ascii="Calibri" w:hAnsi="Calibri" w:cs="Calibri"/>
          <w:color w:val="000000"/>
        </w:rPr>
        <w:t>. Además</w:t>
      </w:r>
      <w:r w:rsidRPr="001F0CA7">
        <w:rPr>
          <w:rFonts w:ascii="Calibri" w:hAnsi="Calibri" w:cs="Calibri"/>
          <w:color w:val="000000"/>
        </w:rPr>
        <w:t>, proporciona información adicional sobre el uso y planificación de determinadas bandas de frecuencias</w:t>
      </w:r>
      <w:r w:rsidR="000D0121" w:rsidRPr="001F0CA7">
        <w:rPr>
          <w:rStyle w:val="Refdenotaalpie"/>
          <w:rFonts w:ascii="Calibri" w:hAnsi="Calibri" w:cs="Calibri"/>
          <w:color w:val="000000"/>
        </w:rPr>
        <w:footnoteReference w:id="5"/>
      </w:r>
      <w:r w:rsidR="007D1D8C" w:rsidRPr="001F0CA7">
        <w:rPr>
          <w:rFonts w:ascii="Calibri" w:hAnsi="Calibri" w:cs="Calibri"/>
          <w:color w:val="000000"/>
          <w:lang w:val="es-ES"/>
        </w:rPr>
        <w:t xml:space="preserve">. </w:t>
      </w:r>
    </w:p>
    <w:p w14:paraId="1150A4C0" w14:textId="77777777" w:rsidR="007D1D8C" w:rsidRPr="001F0CA7" w:rsidRDefault="007D1D8C" w:rsidP="001F0CA7">
      <w:pPr>
        <w:spacing w:line="276" w:lineRule="auto"/>
        <w:jc w:val="both"/>
        <w:rPr>
          <w:rFonts w:ascii="Calibri" w:hAnsi="Calibri" w:cs="Calibri"/>
          <w:lang w:val="es-ES"/>
        </w:rPr>
      </w:pPr>
    </w:p>
    <w:p w14:paraId="363444FF" w14:textId="5C6E2BC0" w:rsidR="0076552D" w:rsidRPr="001F0CA7" w:rsidRDefault="0047244D"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En abril de 2020, la </w:t>
      </w:r>
      <w:r w:rsidRPr="001F0CA7">
        <w:rPr>
          <w:rFonts w:ascii="Calibri" w:hAnsi="Calibri" w:cs="Calibri"/>
          <w:i/>
          <w:iCs/>
          <w:lang w:val="es-ES"/>
        </w:rPr>
        <w:t xml:space="preserve">Federal </w:t>
      </w:r>
      <w:proofErr w:type="spellStart"/>
      <w:r w:rsidRPr="001F0CA7">
        <w:rPr>
          <w:rFonts w:ascii="Calibri" w:hAnsi="Calibri" w:cs="Calibri"/>
          <w:i/>
          <w:iCs/>
          <w:lang w:val="es-ES"/>
        </w:rPr>
        <w:t>Communications</w:t>
      </w:r>
      <w:proofErr w:type="spellEnd"/>
      <w:r w:rsidRPr="001F0CA7">
        <w:rPr>
          <w:rFonts w:ascii="Calibri" w:hAnsi="Calibri" w:cs="Calibri"/>
          <w:i/>
          <w:iCs/>
          <w:lang w:val="es-ES"/>
        </w:rPr>
        <w:t xml:space="preserve"> </w:t>
      </w:r>
      <w:proofErr w:type="spellStart"/>
      <w:r w:rsidRPr="001F0CA7">
        <w:rPr>
          <w:rFonts w:ascii="Calibri" w:hAnsi="Calibri" w:cs="Calibri"/>
          <w:i/>
          <w:iCs/>
          <w:lang w:val="es-ES"/>
        </w:rPr>
        <w:t>Comission</w:t>
      </w:r>
      <w:proofErr w:type="spellEnd"/>
      <w:r w:rsidRPr="001F0CA7">
        <w:rPr>
          <w:rFonts w:ascii="Calibri" w:hAnsi="Calibri" w:cs="Calibri"/>
          <w:lang w:val="es-ES"/>
        </w:rPr>
        <w:t xml:space="preserve"> (FCC) de los Estados Unidos de América anunció las reglas que permiten en </w:t>
      </w:r>
      <w:r w:rsidR="0077396A" w:rsidRPr="001F0CA7">
        <w:rPr>
          <w:rFonts w:ascii="Calibri" w:hAnsi="Calibri" w:cs="Calibri"/>
          <w:lang w:val="es-ES"/>
        </w:rPr>
        <w:t>ese país</w:t>
      </w:r>
      <w:r w:rsidRPr="001F0CA7">
        <w:rPr>
          <w:rFonts w:ascii="Calibri" w:hAnsi="Calibri" w:cs="Calibri"/>
          <w:lang w:val="es-ES"/>
        </w:rPr>
        <w:t xml:space="preserve"> utilizar la banda de </w:t>
      </w:r>
      <w:r w:rsidRPr="001F0CA7">
        <w:rPr>
          <w:rFonts w:ascii="Calibri" w:hAnsi="Calibri" w:cs="Calibri"/>
        </w:rPr>
        <w:t>6 GHz (5.925–7.125 GHz)</w:t>
      </w:r>
      <w:r w:rsidRPr="001F0CA7">
        <w:rPr>
          <w:rFonts w:ascii="Calibri" w:hAnsi="Calibri" w:cs="Calibri"/>
          <w:lang w:val="es-ES"/>
        </w:rPr>
        <w:t xml:space="preserve"> como uso no</w:t>
      </w:r>
      <w:r w:rsidR="0077396A" w:rsidRPr="001F0CA7">
        <w:rPr>
          <w:rFonts w:ascii="Calibri" w:hAnsi="Calibri" w:cs="Calibri"/>
          <w:lang w:val="es-ES"/>
        </w:rPr>
        <w:t xml:space="preserve"> </w:t>
      </w:r>
      <w:r w:rsidRPr="001F0CA7">
        <w:rPr>
          <w:rFonts w:ascii="Calibri" w:hAnsi="Calibri" w:cs="Calibri"/>
          <w:lang w:val="es-ES"/>
        </w:rPr>
        <w:t>licenciado (espectro libre) y aprovecharla como espacio para la WiFi6. Entre los beneficios señalado</w:t>
      </w:r>
      <w:r w:rsidR="0077396A" w:rsidRPr="001F0CA7">
        <w:rPr>
          <w:rFonts w:ascii="Calibri" w:hAnsi="Calibri" w:cs="Calibri"/>
          <w:lang w:val="es-ES"/>
        </w:rPr>
        <w:t>s</w:t>
      </w:r>
      <w:r w:rsidR="00C36228" w:rsidRPr="001F0CA7">
        <w:rPr>
          <w:rFonts w:ascii="Calibri" w:hAnsi="Calibri" w:cs="Calibri"/>
          <w:lang w:val="es-ES"/>
        </w:rPr>
        <w:t xml:space="preserve"> por la Comisión</w:t>
      </w:r>
      <w:r w:rsidRPr="001F0CA7">
        <w:rPr>
          <w:rFonts w:ascii="Calibri" w:hAnsi="Calibri" w:cs="Calibri"/>
          <w:lang w:val="es-ES"/>
        </w:rPr>
        <w:t xml:space="preserve"> son la importancia como habilitador del Internet de las Cosas (</w:t>
      </w:r>
      <w:proofErr w:type="spellStart"/>
      <w:r w:rsidRPr="001F0CA7">
        <w:rPr>
          <w:rFonts w:ascii="Calibri" w:hAnsi="Calibri" w:cs="Calibri"/>
          <w:lang w:val="es-ES"/>
        </w:rPr>
        <w:t>IoT</w:t>
      </w:r>
      <w:proofErr w:type="spellEnd"/>
      <w:r w:rsidRPr="001F0CA7">
        <w:rPr>
          <w:rFonts w:ascii="Calibri" w:hAnsi="Calibri" w:cs="Calibri"/>
          <w:lang w:val="es-ES"/>
        </w:rPr>
        <w:t xml:space="preserve">), la velocidad de acceso 2.5 veces más rápida que la actual, mejores condiciones para la utilización de </w:t>
      </w:r>
      <w:r w:rsidR="0077396A" w:rsidRPr="001F0CA7">
        <w:rPr>
          <w:rFonts w:ascii="Calibri" w:hAnsi="Calibri" w:cs="Calibri"/>
          <w:lang w:val="es-ES"/>
        </w:rPr>
        <w:t>i</w:t>
      </w:r>
      <w:r w:rsidRPr="001F0CA7">
        <w:rPr>
          <w:rFonts w:ascii="Calibri" w:hAnsi="Calibri" w:cs="Calibri"/>
          <w:lang w:val="es-ES"/>
        </w:rPr>
        <w:t xml:space="preserve">nternet y mayor conectividad rural. </w:t>
      </w:r>
    </w:p>
    <w:p w14:paraId="3F45F539" w14:textId="79DD62B2" w:rsidR="00D05055" w:rsidRPr="001F0CA7" w:rsidRDefault="00D05055" w:rsidP="001F0CA7">
      <w:pPr>
        <w:spacing w:line="276" w:lineRule="auto"/>
        <w:jc w:val="both"/>
        <w:rPr>
          <w:rFonts w:ascii="Calibri" w:hAnsi="Calibri" w:cs="Calibri"/>
          <w:lang w:val="es-ES"/>
        </w:rPr>
      </w:pPr>
    </w:p>
    <w:p w14:paraId="3D204272" w14:textId="687A7450" w:rsidR="00D05055" w:rsidRPr="001F0CA7" w:rsidRDefault="00D05055"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De acuerdo con la información que publica la </w:t>
      </w:r>
      <w:proofErr w:type="spellStart"/>
      <w:r w:rsidRPr="001F0CA7">
        <w:rPr>
          <w:rFonts w:ascii="Calibri" w:hAnsi="Calibri" w:cs="Calibri"/>
          <w:lang w:val="es-ES"/>
        </w:rPr>
        <w:t>WiFi</w:t>
      </w:r>
      <w:proofErr w:type="spellEnd"/>
      <w:r w:rsidRPr="001F0CA7">
        <w:rPr>
          <w:rFonts w:ascii="Calibri" w:hAnsi="Calibri" w:cs="Calibri"/>
          <w:lang w:val="es-ES"/>
        </w:rPr>
        <w:t xml:space="preserve"> Alliance respecto a la asignación de la banda de 6 GHz, 24 </w:t>
      </w:r>
      <w:r w:rsidR="001415CB" w:rsidRPr="001F0CA7">
        <w:rPr>
          <w:rFonts w:ascii="Calibri" w:hAnsi="Calibri" w:cs="Calibri"/>
          <w:lang w:val="es-ES"/>
        </w:rPr>
        <w:t>países</w:t>
      </w:r>
      <w:r w:rsidR="00D97503" w:rsidRPr="001F0CA7">
        <w:rPr>
          <w:rFonts w:ascii="Calibri" w:hAnsi="Calibri" w:cs="Calibri"/>
          <w:lang w:val="es-ES"/>
        </w:rPr>
        <w:t xml:space="preserve"> (considerando a la Unión Europea y la CEPT como un país)</w:t>
      </w:r>
      <w:r w:rsidRPr="001F0CA7">
        <w:rPr>
          <w:rFonts w:ascii="Calibri" w:hAnsi="Calibri" w:cs="Calibri"/>
          <w:lang w:val="es-ES"/>
        </w:rPr>
        <w:t xml:space="preserve"> están considerando (como México) o han regulado a favor de la asignación como espectro libre (i.e.</w:t>
      </w:r>
      <w:r w:rsidR="00AE4EBA" w:rsidRPr="001F0CA7">
        <w:rPr>
          <w:rFonts w:ascii="Calibri" w:hAnsi="Calibri" w:cs="Calibri"/>
          <w:lang w:val="es-ES"/>
        </w:rPr>
        <w:t>,</w:t>
      </w:r>
      <w:r w:rsidRPr="001F0CA7">
        <w:rPr>
          <w:rFonts w:ascii="Calibri" w:hAnsi="Calibri" w:cs="Calibri"/>
          <w:lang w:val="es-ES"/>
        </w:rPr>
        <w:t xml:space="preserve"> Estados Unidos de América, Guatemala, Honduras). El </w:t>
      </w:r>
      <w:r w:rsidR="00D97503" w:rsidRPr="001F0CA7">
        <w:rPr>
          <w:rFonts w:ascii="Calibri" w:hAnsi="Calibri" w:cs="Calibri"/>
          <w:lang w:val="es-ES"/>
        </w:rPr>
        <w:t>50</w:t>
      </w:r>
      <w:r w:rsidRPr="001F0CA7">
        <w:rPr>
          <w:rFonts w:ascii="Calibri" w:hAnsi="Calibri" w:cs="Calibri"/>
          <w:lang w:val="es-ES"/>
        </w:rPr>
        <w:t xml:space="preserve">% está considerando su adopción y </w:t>
      </w:r>
      <w:r w:rsidR="00D97503" w:rsidRPr="001F0CA7">
        <w:rPr>
          <w:rFonts w:ascii="Calibri" w:hAnsi="Calibri" w:cs="Calibri"/>
          <w:lang w:val="es-ES"/>
        </w:rPr>
        <w:t>por lo tanto el rest</w:t>
      </w:r>
      <w:r w:rsidR="009B7130" w:rsidRPr="001F0CA7">
        <w:rPr>
          <w:rFonts w:ascii="Calibri" w:hAnsi="Calibri" w:cs="Calibri"/>
          <w:lang w:val="es-ES"/>
        </w:rPr>
        <w:t>o</w:t>
      </w:r>
      <w:r w:rsidR="00D97503" w:rsidRPr="001F0CA7">
        <w:rPr>
          <w:rFonts w:ascii="Calibri" w:hAnsi="Calibri" w:cs="Calibri"/>
          <w:lang w:val="es-ES"/>
        </w:rPr>
        <w:t xml:space="preserve"> de este grupo ya lo adoptó. Sin embargo, el sesgo de la información al considerar la EU como un país indicaría que aumenta la cantidad de países que han asignado la banda como espectro libre. También es importante considerar que existen dos tendencias</w:t>
      </w:r>
      <w:r w:rsidR="00AE4EBA" w:rsidRPr="001F0CA7">
        <w:rPr>
          <w:rFonts w:ascii="Calibri" w:hAnsi="Calibri" w:cs="Calibri"/>
          <w:lang w:val="es-ES"/>
        </w:rPr>
        <w:t>:</w:t>
      </w:r>
      <w:r w:rsidR="00D97503" w:rsidRPr="001F0CA7">
        <w:rPr>
          <w:rFonts w:ascii="Calibri" w:hAnsi="Calibri" w:cs="Calibri"/>
          <w:lang w:val="es-ES"/>
        </w:rPr>
        <w:t xml:space="preserve"> una por liberar toda la banda como </w:t>
      </w:r>
      <w:r w:rsidR="00AE4EBA" w:rsidRPr="001F0CA7">
        <w:rPr>
          <w:rFonts w:ascii="Calibri" w:hAnsi="Calibri" w:cs="Calibri"/>
          <w:lang w:val="es-ES"/>
        </w:rPr>
        <w:t>Estados Unidos</w:t>
      </w:r>
      <w:r w:rsidR="00D97503" w:rsidRPr="001F0CA7">
        <w:rPr>
          <w:rFonts w:ascii="Calibri" w:hAnsi="Calibri" w:cs="Calibri"/>
          <w:lang w:val="es-ES"/>
        </w:rPr>
        <w:t xml:space="preserve"> (16 </w:t>
      </w:r>
      <w:r w:rsidR="001415CB" w:rsidRPr="001F0CA7">
        <w:rPr>
          <w:rFonts w:ascii="Calibri" w:hAnsi="Calibri" w:cs="Calibri"/>
          <w:lang w:val="es-ES"/>
        </w:rPr>
        <w:t>países</w:t>
      </w:r>
      <w:r w:rsidR="00D97503" w:rsidRPr="001F0CA7">
        <w:rPr>
          <w:rFonts w:ascii="Calibri" w:hAnsi="Calibri" w:cs="Calibri"/>
          <w:lang w:val="es-ES"/>
        </w:rPr>
        <w:t xml:space="preserve">) o sólo una parte de </w:t>
      </w:r>
      <w:r w:rsidR="00C62293" w:rsidRPr="001F0CA7">
        <w:rPr>
          <w:rFonts w:ascii="Calibri" w:hAnsi="Calibri" w:cs="Calibri"/>
          <w:lang w:val="es-ES"/>
        </w:rPr>
        <w:t>é</w:t>
      </w:r>
      <w:r w:rsidR="00D97503" w:rsidRPr="001F0CA7">
        <w:rPr>
          <w:rFonts w:ascii="Calibri" w:hAnsi="Calibri" w:cs="Calibri"/>
          <w:lang w:val="es-ES"/>
        </w:rPr>
        <w:t xml:space="preserve">sta (8 </w:t>
      </w:r>
      <w:r w:rsidR="001415CB" w:rsidRPr="001F0CA7">
        <w:rPr>
          <w:rFonts w:ascii="Calibri" w:hAnsi="Calibri" w:cs="Calibri"/>
          <w:lang w:val="es-ES"/>
        </w:rPr>
        <w:t>países</w:t>
      </w:r>
      <w:r w:rsidR="00D97503" w:rsidRPr="001F0CA7">
        <w:rPr>
          <w:rFonts w:ascii="Calibri" w:hAnsi="Calibri" w:cs="Calibri"/>
          <w:lang w:val="es-ES"/>
        </w:rPr>
        <w:t xml:space="preserve">). </w:t>
      </w:r>
      <w:r w:rsidR="00057EBA" w:rsidRPr="001F0CA7">
        <w:rPr>
          <w:rFonts w:ascii="Calibri" w:hAnsi="Calibri" w:cs="Calibri"/>
          <w:lang w:val="es-ES"/>
        </w:rPr>
        <w:t xml:space="preserve">Respecto a Asia, </w:t>
      </w:r>
      <w:r w:rsidR="001415CB" w:rsidRPr="001F0CA7">
        <w:rPr>
          <w:rFonts w:ascii="Calibri" w:hAnsi="Calibri" w:cs="Calibri"/>
          <w:lang w:val="es-ES"/>
        </w:rPr>
        <w:t>África</w:t>
      </w:r>
      <w:r w:rsidR="00057EBA" w:rsidRPr="001F0CA7">
        <w:rPr>
          <w:rFonts w:ascii="Calibri" w:hAnsi="Calibri" w:cs="Calibri"/>
          <w:lang w:val="es-ES"/>
        </w:rPr>
        <w:t xml:space="preserve"> y Oceanía, salvo algunos </w:t>
      </w:r>
      <w:r w:rsidR="00B0238B" w:rsidRPr="001F0CA7">
        <w:rPr>
          <w:rFonts w:ascii="Calibri" w:hAnsi="Calibri" w:cs="Calibri"/>
          <w:lang w:val="es-ES"/>
        </w:rPr>
        <w:t xml:space="preserve">países </w:t>
      </w:r>
      <w:r w:rsidR="00057EBA" w:rsidRPr="001F0CA7">
        <w:rPr>
          <w:rFonts w:ascii="Calibri" w:hAnsi="Calibri" w:cs="Calibri"/>
          <w:lang w:val="es-ES"/>
        </w:rPr>
        <w:t>árabes, Australia, Japón</w:t>
      </w:r>
      <w:r w:rsidR="00B0238B" w:rsidRPr="001F0CA7">
        <w:rPr>
          <w:rFonts w:ascii="Calibri" w:hAnsi="Calibri" w:cs="Calibri"/>
          <w:lang w:val="es-ES"/>
        </w:rPr>
        <w:t xml:space="preserve"> y </w:t>
      </w:r>
      <w:r w:rsidR="00057EBA" w:rsidRPr="001F0CA7">
        <w:rPr>
          <w:rFonts w:ascii="Calibri" w:hAnsi="Calibri" w:cs="Calibri"/>
          <w:lang w:val="es-ES"/>
        </w:rPr>
        <w:t>Corea del Sur, el resto no se ha pronunciado total o parcialmente a favor de designar la banda como espectro libre y por lo tanto para el servicio de WiFi6.</w:t>
      </w:r>
    </w:p>
    <w:p w14:paraId="345C974B" w14:textId="3B15FC65" w:rsidR="00057EBA" w:rsidRPr="001F0CA7" w:rsidRDefault="00057EBA" w:rsidP="001F0CA7">
      <w:pPr>
        <w:spacing w:line="276" w:lineRule="auto"/>
        <w:jc w:val="both"/>
        <w:rPr>
          <w:rFonts w:ascii="Calibri" w:hAnsi="Calibri" w:cs="Calibri"/>
          <w:lang w:val="es-ES"/>
        </w:rPr>
      </w:pPr>
    </w:p>
    <w:p w14:paraId="1193C2E9" w14:textId="3704EA83" w:rsidR="00A9192F" w:rsidRPr="001F0CA7" w:rsidRDefault="00057EBA"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Por otra </w:t>
      </w:r>
      <w:r w:rsidR="00B07AC2" w:rsidRPr="001F0CA7">
        <w:rPr>
          <w:rFonts w:ascii="Calibri" w:hAnsi="Calibri" w:cs="Calibri"/>
          <w:lang w:val="es-ES"/>
        </w:rPr>
        <w:t>parte,</w:t>
      </w:r>
      <w:r w:rsidRPr="001F0CA7">
        <w:rPr>
          <w:rFonts w:ascii="Calibri" w:hAnsi="Calibri" w:cs="Calibri"/>
          <w:lang w:val="es-ES"/>
        </w:rPr>
        <w:t xml:space="preserve"> la GSMA (</w:t>
      </w:r>
      <w:r w:rsidR="00B07AC2" w:rsidRPr="001F0CA7">
        <w:rPr>
          <w:rFonts w:ascii="Calibri" w:hAnsi="Calibri" w:cs="Calibri"/>
          <w:i/>
          <w:iCs/>
          <w:lang w:val="es-ES"/>
        </w:rPr>
        <w:t xml:space="preserve">GSM </w:t>
      </w:r>
      <w:proofErr w:type="spellStart"/>
      <w:r w:rsidR="00B07AC2" w:rsidRPr="001F0CA7">
        <w:rPr>
          <w:rFonts w:ascii="Calibri" w:hAnsi="Calibri" w:cs="Calibri"/>
          <w:i/>
          <w:iCs/>
          <w:lang w:val="es-ES"/>
        </w:rPr>
        <w:t>Association</w:t>
      </w:r>
      <w:proofErr w:type="spellEnd"/>
      <w:r w:rsidR="00B07AC2" w:rsidRPr="001F0CA7">
        <w:rPr>
          <w:rFonts w:ascii="Calibri" w:hAnsi="Calibri" w:cs="Calibri"/>
          <w:lang w:val="es-ES"/>
        </w:rPr>
        <w:t>)</w:t>
      </w:r>
      <w:r w:rsidR="00AE4EBA" w:rsidRPr="001F0CA7">
        <w:rPr>
          <w:rFonts w:ascii="Calibri" w:hAnsi="Calibri" w:cs="Calibri"/>
          <w:lang w:val="es-ES"/>
        </w:rPr>
        <w:t>,</w:t>
      </w:r>
      <w:r w:rsidR="00B07AC2" w:rsidRPr="001F0CA7">
        <w:rPr>
          <w:rFonts w:ascii="Calibri" w:hAnsi="Calibri" w:cs="Calibri"/>
          <w:lang w:val="es-ES"/>
        </w:rPr>
        <w:t xml:space="preserve"> que representa los intereses de los operadores de telecomunicaciones móviles (telefonía celular)</w:t>
      </w:r>
      <w:r w:rsidR="00AE4EBA" w:rsidRPr="001F0CA7">
        <w:rPr>
          <w:rFonts w:ascii="Calibri" w:hAnsi="Calibri" w:cs="Calibri"/>
          <w:lang w:val="es-ES"/>
        </w:rPr>
        <w:t>,</w:t>
      </w:r>
      <w:r w:rsidR="00B07AC2" w:rsidRPr="001F0CA7">
        <w:rPr>
          <w:rFonts w:ascii="Calibri" w:hAnsi="Calibri" w:cs="Calibri"/>
          <w:lang w:val="es-ES"/>
        </w:rPr>
        <w:t xml:space="preserve"> insiste en la necesidad de contar con todo el espectro de la banda de 6</w:t>
      </w:r>
      <w:r w:rsidR="009B7130" w:rsidRPr="001F0CA7">
        <w:rPr>
          <w:rFonts w:ascii="Calibri" w:hAnsi="Calibri" w:cs="Calibri"/>
          <w:lang w:val="es-ES"/>
        </w:rPr>
        <w:t xml:space="preserve"> </w:t>
      </w:r>
      <w:r w:rsidR="00B07AC2" w:rsidRPr="001F0CA7">
        <w:rPr>
          <w:rFonts w:ascii="Calibri" w:hAnsi="Calibri" w:cs="Calibri"/>
          <w:lang w:val="es-ES"/>
        </w:rPr>
        <w:t>GHz para lograr el despliegue de IMT / 5G. Para la GSMA, “5G necesita espectro en las bandas bajas, medias y altas para ofrecer una amplia cobertura y dar soporte a una amplia gama de casos de uso”. En su perspectiva</w:t>
      </w:r>
      <w:r w:rsidR="00AE4EBA" w:rsidRPr="001F0CA7">
        <w:rPr>
          <w:rFonts w:ascii="Calibri" w:hAnsi="Calibri" w:cs="Calibri"/>
          <w:lang w:val="es-ES"/>
        </w:rPr>
        <w:t>,</w:t>
      </w:r>
      <w:r w:rsidR="00B07AC2" w:rsidRPr="001F0CA7">
        <w:rPr>
          <w:rFonts w:ascii="Calibri" w:hAnsi="Calibri" w:cs="Calibri"/>
          <w:lang w:val="es-ES"/>
        </w:rPr>
        <w:t xml:space="preserve"> la banda de 6 GHz </w:t>
      </w:r>
      <w:r w:rsidR="00B07AC2" w:rsidRPr="001F0CA7">
        <w:rPr>
          <w:rFonts w:ascii="Calibri" w:hAnsi="Calibri" w:cs="Calibri"/>
          <w:lang w:val="es-ES"/>
        </w:rPr>
        <w:lastRenderedPageBreak/>
        <w:t xml:space="preserve">complementa las necesidades </w:t>
      </w:r>
      <w:r w:rsidR="00AE4EBA" w:rsidRPr="001F0CA7">
        <w:rPr>
          <w:rFonts w:ascii="Calibri" w:hAnsi="Calibri" w:cs="Calibri"/>
          <w:lang w:val="es-ES"/>
        </w:rPr>
        <w:t xml:space="preserve">de </w:t>
      </w:r>
      <w:r w:rsidR="00B07AC2" w:rsidRPr="001F0CA7">
        <w:rPr>
          <w:rFonts w:ascii="Calibri" w:hAnsi="Calibri" w:cs="Calibri"/>
          <w:lang w:val="es-ES"/>
        </w:rPr>
        <w:t>espectro a mediano y largo plazo</w:t>
      </w:r>
      <w:r w:rsidR="009B7130" w:rsidRPr="001F0CA7">
        <w:rPr>
          <w:rFonts w:ascii="Calibri" w:hAnsi="Calibri" w:cs="Calibri"/>
          <w:lang w:val="es-ES"/>
        </w:rPr>
        <w:t>s</w:t>
      </w:r>
      <w:r w:rsidR="00AE4EBA" w:rsidRPr="001F0CA7">
        <w:rPr>
          <w:rFonts w:ascii="Calibri" w:hAnsi="Calibri" w:cs="Calibri"/>
          <w:lang w:val="es-ES"/>
        </w:rPr>
        <w:t>,</w:t>
      </w:r>
      <w:r w:rsidR="00B07AC2" w:rsidRPr="001F0CA7">
        <w:rPr>
          <w:rFonts w:ascii="Calibri" w:hAnsi="Calibri" w:cs="Calibri"/>
          <w:lang w:val="es-ES"/>
        </w:rPr>
        <w:t xml:space="preserve"> </w:t>
      </w:r>
      <w:r w:rsidR="00AE4EBA" w:rsidRPr="001F0CA7">
        <w:rPr>
          <w:rFonts w:ascii="Calibri" w:hAnsi="Calibri" w:cs="Calibri"/>
          <w:lang w:val="es-ES"/>
        </w:rPr>
        <w:t>a</w:t>
      </w:r>
      <w:r w:rsidR="00B07AC2" w:rsidRPr="001F0CA7">
        <w:rPr>
          <w:rFonts w:ascii="Calibri" w:hAnsi="Calibri" w:cs="Calibri"/>
          <w:lang w:val="es-ES"/>
        </w:rPr>
        <w:t>dvirtiendo que sin todo el espectro necesario (al menos 100 MHz por operador</w:t>
      </w:r>
      <w:r w:rsidR="00AE4EBA" w:rsidRPr="001F0CA7">
        <w:rPr>
          <w:rFonts w:ascii="Calibri" w:hAnsi="Calibri" w:cs="Calibri"/>
          <w:lang w:val="es-ES"/>
        </w:rPr>
        <w:t>)</w:t>
      </w:r>
      <w:r w:rsidR="00B07AC2" w:rsidRPr="001F0CA7">
        <w:rPr>
          <w:rFonts w:ascii="Calibri" w:hAnsi="Calibri" w:cs="Calibri"/>
          <w:lang w:val="es-ES"/>
        </w:rPr>
        <w:t>, no se podrán cumplir las “promesas” de IMT / 5G</w:t>
      </w:r>
      <w:r w:rsidR="009B7130" w:rsidRPr="001F0CA7">
        <w:rPr>
          <w:rFonts w:ascii="Calibri" w:hAnsi="Calibri" w:cs="Calibri"/>
          <w:lang w:val="es-ES"/>
        </w:rPr>
        <w:t>,</w:t>
      </w:r>
      <w:r w:rsidR="00B07AC2" w:rsidRPr="001F0CA7">
        <w:rPr>
          <w:rFonts w:ascii="Calibri" w:hAnsi="Calibri" w:cs="Calibri"/>
          <w:lang w:val="es-ES"/>
        </w:rPr>
        <w:t xml:space="preserve"> que son una banda ancha móvil </w:t>
      </w:r>
      <w:r w:rsidR="002222B2" w:rsidRPr="001F0CA7">
        <w:rPr>
          <w:rFonts w:ascii="Calibri" w:hAnsi="Calibri" w:cs="Calibri"/>
          <w:lang w:val="es-ES"/>
        </w:rPr>
        <w:t>más eficiente</w:t>
      </w:r>
      <w:r w:rsidR="00B07AC2" w:rsidRPr="001F0CA7">
        <w:rPr>
          <w:rFonts w:ascii="Calibri" w:hAnsi="Calibri" w:cs="Calibri"/>
          <w:lang w:val="es-ES"/>
        </w:rPr>
        <w:t xml:space="preserve">, comunicación de alta confiablidad y baja latencia, comunicaciones masivas para </w:t>
      </w:r>
      <w:proofErr w:type="spellStart"/>
      <w:r w:rsidR="00B07AC2" w:rsidRPr="001F0CA7">
        <w:rPr>
          <w:rFonts w:ascii="Calibri" w:hAnsi="Calibri" w:cs="Calibri"/>
          <w:lang w:val="es-ES"/>
        </w:rPr>
        <w:t>IoT</w:t>
      </w:r>
      <w:proofErr w:type="spellEnd"/>
      <w:r w:rsidR="00B07AC2" w:rsidRPr="001F0CA7">
        <w:rPr>
          <w:rFonts w:ascii="Calibri" w:hAnsi="Calibri" w:cs="Calibri"/>
          <w:lang w:val="es-ES"/>
        </w:rPr>
        <w:t xml:space="preserve"> y el acceso fijo inalámbrico (FWA) para contar con velocidad de fibra óptica </w:t>
      </w:r>
      <w:r w:rsidR="00A9192F" w:rsidRPr="001F0CA7">
        <w:rPr>
          <w:rFonts w:ascii="Calibri" w:hAnsi="Calibri" w:cs="Calibri"/>
          <w:lang w:val="es-ES"/>
        </w:rPr>
        <w:t>en medios inalámbricos. La GSMA ha indicado que “China tiene la intención de usar la totalidad de los 1</w:t>
      </w:r>
      <w:r w:rsidR="00B0238B" w:rsidRPr="001F0CA7">
        <w:rPr>
          <w:rFonts w:ascii="Calibri" w:hAnsi="Calibri" w:cs="Calibri"/>
          <w:lang w:val="es-ES"/>
        </w:rPr>
        <w:t>,</w:t>
      </w:r>
      <w:r w:rsidR="00A9192F" w:rsidRPr="001F0CA7">
        <w:rPr>
          <w:rFonts w:ascii="Calibri" w:hAnsi="Calibri" w:cs="Calibri"/>
          <w:lang w:val="es-ES"/>
        </w:rPr>
        <w:t xml:space="preserve">200 MHz en la banda de 6 GHz para 5G, otros gobiernos están menos interesados, y Estados Unidos y gran parte de América Latina declaran que el espectro se ofrecerá a </w:t>
      </w:r>
      <w:proofErr w:type="spellStart"/>
      <w:r w:rsidR="00A9192F" w:rsidRPr="001F0CA7">
        <w:rPr>
          <w:rFonts w:ascii="Calibri" w:hAnsi="Calibri" w:cs="Calibri"/>
          <w:lang w:val="es-ES"/>
        </w:rPr>
        <w:t>Wi</w:t>
      </w:r>
      <w:proofErr w:type="spellEnd"/>
      <w:r w:rsidR="00A9192F" w:rsidRPr="001F0CA7">
        <w:rPr>
          <w:rFonts w:ascii="Calibri" w:hAnsi="Calibri" w:cs="Calibri"/>
          <w:lang w:val="es-ES"/>
        </w:rPr>
        <w:t xml:space="preserve">-Fi y otras tecnologías sin licencia en lugar de 5G. Europa ha decidido dividir la banda, considerando la parte superior para 5G y un nuevo bloque de 500 MHz disponible para </w:t>
      </w:r>
      <w:proofErr w:type="spellStart"/>
      <w:r w:rsidR="00A9192F" w:rsidRPr="001F0CA7">
        <w:rPr>
          <w:rFonts w:ascii="Calibri" w:hAnsi="Calibri" w:cs="Calibri"/>
          <w:lang w:val="es-ES"/>
        </w:rPr>
        <w:t>Wi</w:t>
      </w:r>
      <w:proofErr w:type="spellEnd"/>
      <w:r w:rsidR="00A9192F" w:rsidRPr="001F0CA7">
        <w:rPr>
          <w:rFonts w:ascii="Calibri" w:hAnsi="Calibri" w:cs="Calibri"/>
          <w:lang w:val="es-ES"/>
        </w:rPr>
        <w:t>-Fi. África y partes de Oriente Medio están adoptando un enfoque similar</w:t>
      </w:r>
      <w:r w:rsidR="001415CB" w:rsidRPr="001F0CA7">
        <w:rPr>
          <w:rStyle w:val="Refdenotaalpie"/>
          <w:rFonts w:ascii="Calibri" w:hAnsi="Calibri" w:cs="Calibri"/>
          <w:lang w:val="es-ES"/>
        </w:rPr>
        <w:footnoteReference w:id="6"/>
      </w:r>
      <w:r w:rsidR="00A9192F" w:rsidRPr="001F0CA7">
        <w:rPr>
          <w:rFonts w:ascii="Calibri" w:hAnsi="Calibri" w:cs="Calibri"/>
          <w:lang w:val="es-ES"/>
        </w:rPr>
        <w:t xml:space="preserve">”. </w:t>
      </w:r>
    </w:p>
    <w:p w14:paraId="197A29A4" w14:textId="7E9C4A79" w:rsidR="007F0490" w:rsidRPr="001F0CA7" w:rsidRDefault="007F0490" w:rsidP="001F0CA7">
      <w:pPr>
        <w:spacing w:line="276" w:lineRule="auto"/>
        <w:jc w:val="both"/>
        <w:rPr>
          <w:rFonts w:ascii="Calibri" w:hAnsi="Calibri" w:cs="Calibri"/>
          <w:lang w:val="es-ES"/>
        </w:rPr>
      </w:pPr>
    </w:p>
    <w:p w14:paraId="64B4498A" w14:textId="242A4E87" w:rsidR="00C233DF" w:rsidRPr="001F0CA7" w:rsidRDefault="002222B2" w:rsidP="005B63AD">
      <w:pPr>
        <w:pStyle w:val="Prrafodelista"/>
        <w:numPr>
          <w:ilvl w:val="0"/>
          <w:numId w:val="6"/>
        </w:numPr>
        <w:spacing w:line="276" w:lineRule="auto"/>
        <w:jc w:val="both"/>
        <w:rPr>
          <w:rFonts w:ascii="Calibri" w:hAnsi="Calibri" w:cs="Calibri"/>
        </w:rPr>
      </w:pPr>
      <w:r w:rsidRPr="001F0CA7">
        <w:rPr>
          <w:rFonts w:ascii="Calibri" w:hAnsi="Calibri" w:cs="Calibri"/>
        </w:rPr>
        <w:t>En</w:t>
      </w:r>
      <w:r w:rsidRPr="001F0CA7">
        <w:rPr>
          <w:rFonts w:ascii="Calibri" w:hAnsi="Calibri" w:cs="Calibri"/>
          <w:lang w:val="es-ES"/>
        </w:rPr>
        <w:t xml:space="preserve"> la </w:t>
      </w:r>
      <w:r w:rsidR="00AE250F" w:rsidRPr="001F0CA7">
        <w:rPr>
          <w:rFonts w:ascii="Calibri" w:hAnsi="Calibri" w:cs="Calibri"/>
        </w:rPr>
        <w:t>Conferencia Mundial de Radiocomunicaciones 2019</w:t>
      </w:r>
      <w:r w:rsidR="00AE250F" w:rsidRPr="001F0CA7">
        <w:rPr>
          <w:rFonts w:ascii="Calibri" w:hAnsi="Calibri" w:cs="Calibri"/>
          <w:lang w:val="es-ES"/>
        </w:rPr>
        <w:t xml:space="preserve"> </w:t>
      </w:r>
      <w:r w:rsidR="00AE250F" w:rsidRPr="001F0CA7">
        <w:rPr>
          <w:rFonts w:ascii="Calibri" w:hAnsi="Calibri" w:cs="Calibri"/>
        </w:rPr>
        <w:t>(CMR-201</w:t>
      </w:r>
      <w:r w:rsidR="00AE250F" w:rsidRPr="001F0CA7">
        <w:rPr>
          <w:rFonts w:ascii="Calibri" w:hAnsi="Calibri" w:cs="Calibri"/>
          <w:lang w:val="es-ES"/>
        </w:rPr>
        <w:t xml:space="preserve">9) no </w:t>
      </w:r>
      <w:r w:rsidRPr="001F0CA7">
        <w:rPr>
          <w:rFonts w:ascii="Calibri" w:hAnsi="Calibri" w:cs="Calibri"/>
          <w:lang w:val="es-ES"/>
        </w:rPr>
        <w:t xml:space="preserve">se llegó a </w:t>
      </w:r>
      <w:r w:rsidR="00AE250F" w:rsidRPr="001F0CA7">
        <w:rPr>
          <w:rFonts w:ascii="Calibri" w:hAnsi="Calibri" w:cs="Calibri"/>
          <w:lang w:val="es-ES"/>
        </w:rPr>
        <w:t xml:space="preserve">un acuerdo </w:t>
      </w:r>
      <w:r w:rsidRPr="001F0CA7">
        <w:rPr>
          <w:rFonts w:ascii="Calibri" w:hAnsi="Calibri" w:cs="Calibri"/>
          <w:lang w:val="es-ES"/>
        </w:rPr>
        <w:t xml:space="preserve">sobre los </w:t>
      </w:r>
      <w:r w:rsidR="00AE250F" w:rsidRPr="001F0CA7">
        <w:rPr>
          <w:rFonts w:ascii="Calibri" w:hAnsi="Calibri" w:cs="Calibri"/>
          <w:lang w:val="es-ES"/>
        </w:rPr>
        <w:t>estudios en la banda</w:t>
      </w:r>
      <w:r w:rsidR="00AE250F" w:rsidRPr="001F0CA7">
        <w:rPr>
          <w:rFonts w:ascii="Calibri" w:hAnsi="Calibri" w:cs="Calibri"/>
        </w:rPr>
        <w:t xml:space="preserve"> 6 425-7 025 MH</w:t>
      </w:r>
      <w:r w:rsidR="00AE250F" w:rsidRPr="001F0CA7">
        <w:rPr>
          <w:rFonts w:ascii="Calibri" w:hAnsi="Calibri" w:cs="Calibri"/>
          <w:lang w:val="es-ES"/>
        </w:rPr>
        <w:t>z dentro de la Región 2</w:t>
      </w:r>
      <w:r w:rsidRPr="001F0CA7">
        <w:rPr>
          <w:rFonts w:ascii="Calibri" w:hAnsi="Calibri" w:cs="Calibri"/>
          <w:lang w:val="es-ES"/>
        </w:rPr>
        <w:t>, dada la diversidad de condiciones en las distintas administraciones del espectro</w:t>
      </w:r>
      <w:r w:rsidR="005B6C88" w:rsidRPr="001F0CA7">
        <w:rPr>
          <w:rFonts w:ascii="Calibri" w:hAnsi="Calibri" w:cs="Calibri"/>
          <w:lang w:val="es-ES"/>
        </w:rPr>
        <w:t>.</w:t>
      </w:r>
      <w:r w:rsidR="00BA4E7A" w:rsidRPr="001F0CA7">
        <w:rPr>
          <w:rFonts w:ascii="Calibri" w:hAnsi="Calibri" w:cs="Calibri"/>
          <w:lang w:val="es-ES"/>
        </w:rPr>
        <w:t xml:space="preserve"> </w:t>
      </w:r>
      <w:r w:rsidR="005B6C88" w:rsidRPr="001F0CA7">
        <w:rPr>
          <w:rFonts w:ascii="Calibri" w:hAnsi="Calibri" w:cs="Calibri"/>
          <w:lang w:val="es-ES"/>
        </w:rPr>
        <w:t>E</w:t>
      </w:r>
      <w:r w:rsidR="00BA4E7A" w:rsidRPr="001F0CA7">
        <w:rPr>
          <w:rFonts w:ascii="Calibri" w:hAnsi="Calibri" w:cs="Calibri"/>
          <w:lang w:val="es-ES"/>
        </w:rPr>
        <w:t>n</w:t>
      </w:r>
      <w:r w:rsidR="00AE250F" w:rsidRPr="001F0CA7">
        <w:rPr>
          <w:rFonts w:ascii="Calibri" w:hAnsi="Calibri" w:cs="Calibri"/>
          <w:lang w:val="es-ES"/>
        </w:rPr>
        <w:t xml:space="preserve"> </w:t>
      </w:r>
      <w:r w:rsidR="00C233DF" w:rsidRPr="001F0CA7">
        <w:rPr>
          <w:rFonts w:ascii="Calibri" w:hAnsi="Calibri" w:cs="Calibri"/>
          <w:lang w:val="es-ES"/>
        </w:rPr>
        <w:t xml:space="preserve">la </w:t>
      </w:r>
      <w:r w:rsidR="00AE250F" w:rsidRPr="001F0CA7">
        <w:rPr>
          <w:rFonts w:ascii="Calibri" w:hAnsi="Calibri" w:cs="Calibri"/>
          <w:lang w:val="es-ES"/>
        </w:rPr>
        <w:t xml:space="preserve">Resolución 245 de </w:t>
      </w:r>
      <w:proofErr w:type="gramStart"/>
      <w:r w:rsidR="00AE250F" w:rsidRPr="001F0CA7">
        <w:rPr>
          <w:rFonts w:ascii="Calibri" w:hAnsi="Calibri" w:cs="Calibri"/>
          <w:lang w:val="es-ES"/>
        </w:rPr>
        <w:t>la</w:t>
      </w:r>
      <w:r w:rsidR="00AE250F" w:rsidRPr="001F0CA7">
        <w:rPr>
          <w:rFonts w:ascii="Calibri" w:hAnsi="Calibri" w:cs="Calibri"/>
        </w:rPr>
        <w:t xml:space="preserve">  CMR</w:t>
      </w:r>
      <w:proofErr w:type="gramEnd"/>
      <w:r w:rsidR="00AE250F" w:rsidRPr="001F0CA7">
        <w:rPr>
          <w:rFonts w:ascii="Calibri" w:hAnsi="Calibri" w:cs="Calibri"/>
        </w:rPr>
        <w:t>-2019</w:t>
      </w:r>
      <w:r w:rsidR="00BA4E7A" w:rsidRPr="001F0CA7">
        <w:rPr>
          <w:rStyle w:val="Refdenotaalpie"/>
          <w:rFonts w:ascii="Calibri" w:hAnsi="Calibri" w:cs="Calibri"/>
        </w:rPr>
        <w:footnoteReference w:id="7"/>
      </w:r>
      <w:r w:rsidR="00BA4E7A" w:rsidRPr="001F0CA7">
        <w:rPr>
          <w:rFonts w:ascii="Calibri" w:hAnsi="Calibri" w:cs="Calibri"/>
        </w:rPr>
        <w:t xml:space="preserve"> </w:t>
      </w:r>
      <w:r w:rsidR="00BA4E7A" w:rsidRPr="001F0CA7">
        <w:rPr>
          <w:rFonts w:ascii="Calibri" w:hAnsi="Calibri" w:cs="Calibri"/>
          <w:lang w:val="es-ES"/>
        </w:rPr>
        <w:t xml:space="preserve">se han asignado </w:t>
      </w:r>
      <w:r w:rsidRPr="001F0CA7">
        <w:rPr>
          <w:rFonts w:ascii="Calibri" w:hAnsi="Calibri" w:cs="Calibri"/>
          <w:lang w:val="es-ES"/>
        </w:rPr>
        <w:t xml:space="preserve">diversas </w:t>
      </w:r>
      <w:r w:rsidR="00BA4E7A" w:rsidRPr="001F0CA7">
        <w:rPr>
          <w:rFonts w:ascii="Calibri" w:hAnsi="Calibri" w:cs="Calibri"/>
          <w:lang w:val="es-ES"/>
        </w:rPr>
        <w:t xml:space="preserve">tareas a </w:t>
      </w:r>
      <w:r w:rsidRPr="001F0CA7">
        <w:rPr>
          <w:rFonts w:ascii="Calibri" w:hAnsi="Calibri" w:cs="Calibri"/>
          <w:lang w:val="es-ES"/>
        </w:rPr>
        <w:t xml:space="preserve">los </w:t>
      </w:r>
      <w:r w:rsidR="00BA4E7A" w:rsidRPr="001F0CA7">
        <w:rPr>
          <w:rFonts w:ascii="Calibri" w:hAnsi="Calibri" w:cs="Calibri"/>
          <w:lang w:val="es-ES"/>
        </w:rPr>
        <w:t>grupos de estudio</w:t>
      </w:r>
      <w:r w:rsidRPr="001F0CA7">
        <w:rPr>
          <w:rFonts w:ascii="Calibri" w:hAnsi="Calibri" w:cs="Calibri"/>
          <w:lang w:val="es-ES"/>
        </w:rPr>
        <w:t xml:space="preserve"> correspondientes</w:t>
      </w:r>
      <w:r w:rsidR="00BA4E7A" w:rsidRPr="001F0CA7">
        <w:rPr>
          <w:rFonts w:ascii="Calibri" w:hAnsi="Calibri" w:cs="Calibri"/>
          <w:lang w:val="es-ES"/>
        </w:rPr>
        <w:t xml:space="preserve"> </w:t>
      </w:r>
      <w:r w:rsidRPr="001F0CA7">
        <w:rPr>
          <w:rFonts w:ascii="Calibri" w:hAnsi="Calibri" w:cs="Calibri"/>
          <w:lang w:val="es-ES"/>
        </w:rPr>
        <w:t>antes de</w:t>
      </w:r>
      <w:r w:rsidR="00BA4E7A" w:rsidRPr="001F0CA7">
        <w:rPr>
          <w:rFonts w:ascii="Calibri" w:hAnsi="Calibri" w:cs="Calibri"/>
          <w:lang w:val="es-ES"/>
        </w:rPr>
        <w:t xml:space="preserve"> la CMR-23</w:t>
      </w:r>
      <w:r w:rsidR="00AE250F" w:rsidRPr="001F0CA7">
        <w:rPr>
          <w:rFonts w:ascii="Calibri" w:hAnsi="Calibri" w:cs="Calibri"/>
          <w:lang w:val="es-ES"/>
        </w:rPr>
        <w:t xml:space="preserve">.  </w:t>
      </w:r>
    </w:p>
    <w:p w14:paraId="73761BBB" w14:textId="77777777" w:rsidR="00C233DF" w:rsidRPr="001F0CA7" w:rsidRDefault="00C233DF" w:rsidP="001F0CA7">
      <w:pPr>
        <w:pStyle w:val="Prrafodelista"/>
        <w:spacing w:line="276" w:lineRule="auto"/>
        <w:jc w:val="both"/>
        <w:rPr>
          <w:rFonts w:ascii="Calibri" w:hAnsi="Calibri" w:cs="Calibri"/>
          <w:lang w:val="es-ES"/>
        </w:rPr>
      </w:pPr>
    </w:p>
    <w:p w14:paraId="44253F01" w14:textId="6DFF1BBC" w:rsidR="007F0490" w:rsidRPr="001F0CA7" w:rsidRDefault="00AE4EBA" w:rsidP="005B63AD">
      <w:pPr>
        <w:pStyle w:val="Prrafodelista"/>
        <w:numPr>
          <w:ilvl w:val="0"/>
          <w:numId w:val="6"/>
        </w:numPr>
        <w:spacing w:line="276" w:lineRule="auto"/>
        <w:jc w:val="both"/>
        <w:rPr>
          <w:rFonts w:ascii="Calibri" w:hAnsi="Calibri" w:cs="Calibri"/>
        </w:rPr>
      </w:pPr>
      <w:r w:rsidRPr="001F0CA7">
        <w:rPr>
          <w:rFonts w:ascii="Calibri" w:hAnsi="Calibri" w:cs="Calibri"/>
          <w:lang w:val="es-ES"/>
        </w:rPr>
        <w:t xml:space="preserve">En México, como </w:t>
      </w:r>
      <w:r w:rsidR="007F0490" w:rsidRPr="001F0CA7">
        <w:rPr>
          <w:rFonts w:ascii="Calibri" w:hAnsi="Calibri" w:cs="Calibri"/>
          <w:lang w:val="es-ES"/>
        </w:rPr>
        <w:t>se indica en el CNAF, la banda de 6 GHz está siendo ocupada por servicios fijos satelitales, fijos terrestres y móvil. El primero está definido como un “</w:t>
      </w:r>
      <w:r w:rsidRPr="001F0CA7">
        <w:rPr>
          <w:rFonts w:ascii="Calibri" w:hAnsi="Calibri" w:cs="Calibri"/>
          <w:lang w:val="es-ES"/>
        </w:rPr>
        <w:t>S</w:t>
      </w:r>
      <w:r w:rsidR="007F0490" w:rsidRPr="001F0CA7">
        <w:rPr>
          <w:rFonts w:ascii="Calibri" w:hAnsi="Calibri" w:cs="Calibri"/>
          <w:lang w:val="es-ES"/>
        </w:rPr>
        <w:t>ervicio de radiocomunicación entre estaciones terrenas situadas en cualquier emplazamiento cuando se utilizan uno o más satélites; el emplazamiento dado puede ser un punto fijo determinado o cualquier punto fijo situado en una zona determinada; en algunos casos, este servicio incluye enlaces entre satélites que pueden realizarse también dentro del servicio entre satélites; el servicio fijo por satélite puede también incluir enlaces de conexión para otros servicios de radiocomunicación espacial</w:t>
      </w:r>
      <w:r w:rsidR="000D0121" w:rsidRPr="001F0CA7">
        <w:rPr>
          <w:rStyle w:val="Refdenotaalpie"/>
          <w:rFonts w:ascii="Calibri" w:hAnsi="Calibri" w:cs="Calibri"/>
          <w:lang w:val="es-ES"/>
        </w:rPr>
        <w:footnoteReference w:id="8"/>
      </w:r>
      <w:r w:rsidR="007F0490" w:rsidRPr="001F0CA7">
        <w:rPr>
          <w:rFonts w:ascii="Calibri" w:hAnsi="Calibri" w:cs="Calibri"/>
          <w:lang w:val="es-ES"/>
        </w:rPr>
        <w:t xml:space="preserve">”. </w:t>
      </w:r>
      <w:r w:rsidRPr="001F0CA7">
        <w:rPr>
          <w:rFonts w:ascii="Calibri" w:hAnsi="Calibri" w:cs="Calibri"/>
          <w:lang w:val="es-ES"/>
        </w:rPr>
        <w:t>E</w:t>
      </w:r>
      <w:r w:rsidR="007F0490" w:rsidRPr="001F0CA7">
        <w:rPr>
          <w:rFonts w:ascii="Calibri" w:hAnsi="Calibri" w:cs="Calibri"/>
          <w:lang w:val="es-ES"/>
        </w:rPr>
        <w:t>l segundo</w:t>
      </w:r>
      <w:r w:rsidRPr="001F0CA7">
        <w:rPr>
          <w:rFonts w:ascii="Calibri" w:hAnsi="Calibri" w:cs="Calibri"/>
          <w:lang w:val="es-ES"/>
        </w:rPr>
        <w:t xml:space="preserve"> está definido</w:t>
      </w:r>
      <w:r w:rsidR="007F0490" w:rsidRPr="001F0CA7">
        <w:rPr>
          <w:rFonts w:ascii="Calibri" w:hAnsi="Calibri" w:cs="Calibri"/>
          <w:lang w:val="es-ES"/>
        </w:rPr>
        <w:t xml:space="preserve"> como un “</w:t>
      </w:r>
      <w:r w:rsidR="007F0490" w:rsidRPr="001F0CA7">
        <w:rPr>
          <w:rFonts w:ascii="Calibri" w:hAnsi="Calibri" w:cs="Calibri"/>
          <w:color w:val="000000"/>
        </w:rPr>
        <w:t xml:space="preserve">Servicio de </w:t>
      </w:r>
      <w:r w:rsidR="007F0490" w:rsidRPr="001F0CA7">
        <w:rPr>
          <w:rFonts w:ascii="Calibri" w:hAnsi="Calibri" w:cs="Calibri"/>
          <w:color w:val="000000"/>
        </w:rPr>
        <w:lastRenderedPageBreak/>
        <w:t>radiocomunicación entre puntos fijos determinados</w:t>
      </w:r>
      <w:r w:rsidR="007F0490" w:rsidRPr="001F0CA7">
        <w:rPr>
          <w:rFonts w:ascii="Calibri" w:hAnsi="Calibri" w:cs="Calibri"/>
          <w:color w:val="000000"/>
          <w:lang w:val="es-ES"/>
        </w:rPr>
        <w:t>”</w:t>
      </w:r>
      <w:r w:rsidR="000D0121" w:rsidRPr="001F0CA7">
        <w:rPr>
          <w:rStyle w:val="Refdenotaalpie"/>
          <w:rFonts w:ascii="Calibri" w:hAnsi="Calibri" w:cs="Calibri"/>
          <w:color w:val="000000"/>
          <w:lang w:val="es-ES"/>
        </w:rPr>
        <w:footnoteReference w:id="9"/>
      </w:r>
      <w:r w:rsidR="007F0490" w:rsidRPr="001F0CA7">
        <w:rPr>
          <w:rFonts w:ascii="Calibri" w:hAnsi="Calibri" w:cs="Calibri"/>
          <w:color w:val="000000"/>
          <w:lang w:val="es-ES"/>
        </w:rPr>
        <w:t>. Finalmente, el servicio móvil está definido como “</w:t>
      </w:r>
      <w:r w:rsidR="007F0490" w:rsidRPr="001F0CA7">
        <w:rPr>
          <w:rFonts w:ascii="Calibri" w:hAnsi="Calibri" w:cs="Calibri"/>
          <w:color w:val="000000"/>
        </w:rPr>
        <w:t>Servicio de radiocomunicación entre estaciones móviles y estaciones terrestres o entre estaciones móviles</w:t>
      </w:r>
      <w:r w:rsidR="007F0490" w:rsidRPr="001F0CA7">
        <w:rPr>
          <w:rFonts w:ascii="Calibri" w:hAnsi="Calibri" w:cs="Calibri"/>
          <w:color w:val="000000"/>
          <w:lang w:val="es-ES"/>
        </w:rPr>
        <w:t>”</w:t>
      </w:r>
      <w:r w:rsidR="000D0121" w:rsidRPr="001F0CA7">
        <w:rPr>
          <w:rStyle w:val="Refdenotaalpie"/>
          <w:rFonts w:ascii="Calibri" w:hAnsi="Calibri" w:cs="Calibri"/>
          <w:color w:val="000000"/>
          <w:lang w:val="es-ES"/>
        </w:rPr>
        <w:footnoteReference w:id="10"/>
      </w:r>
      <w:r w:rsidR="007F0490" w:rsidRPr="001F0CA7">
        <w:rPr>
          <w:rFonts w:ascii="Calibri" w:hAnsi="Calibri" w:cs="Calibri"/>
          <w:color w:val="000000"/>
        </w:rPr>
        <w:t>.</w:t>
      </w:r>
      <w:r w:rsidR="007F0490" w:rsidRPr="001F0CA7">
        <w:rPr>
          <w:rFonts w:ascii="Calibri" w:hAnsi="Calibri" w:cs="Calibri"/>
          <w:color w:val="000000"/>
          <w:lang w:val="es-ES"/>
        </w:rPr>
        <w:t xml:space="preserve"> La </w:t>
      </w:r>
      <w:r w:rsidR="00C62293" w:rsidRPr="001F0CA7">
        <w:rPr>
          <w:rFonts w:ascii="Calibri" w:hAnsi="Calibri" w:cs="Calibri"/>
          <w:color w:val="000000"/>
          <w:lang w:val="es-ES"/>
        </w:rPr>
        <w:t>F</w:t>
      </w:r>
      <w:r w:rsidR="007F0490" w:rsidRPr="001F0CA7">
        <w:rPr>
          <w:rFonts w:ascii="Calibri" w:hAnsi="Calibri" w:cs="Calibri"/>
          <w:color w:val="000000"/>
          <w:lang w:val="es-ES"/>
        </w:rPr>
        <w:t xml:space="preserve">igura 1 muestra gráficamente esta porción del espectro. </w:t>
      </w:r>
    </w:p>
    <w:p w14:paraId="6ED7EB76" w14:textId="77777777" w:rsidR="00C233DF" w:rsidRPr="001F0CA7" w:rsidRDefault="00C233DF" w:rsidP="001F0CA7">
      <w:pPr>
        <w:pStyle w:val="Prrafodelista"/>
        <w:spacing w:line="276" w:lineRule="auto"/>
        <w:jc w:val="both"/>
        <w:rPr>
          <w:rFonts w:ascii="Calibri" w:hAnsi="Calibri" w:cs="Calibri"/>
          <w:highlight w:val="yellow"/>
        </w:rPr>
      </w:pPr>
    </w:p>
    <w:p w14:paraId="15AECD1A" w14:textId="790CBE28" w:rsidR="00C233DF" w:rsidRPr="001F0CA7" w:rsidRDefault="00C233DF" w:rsidP="005B63AD">
      <w:pPr>
        <w:pStyle w:val="Prrafodelista"/>
        <w:numPr>
          <w:ilvl w:val="0"/>
          <w:numId w:val="6"/>
        </w:numPr>
        <w:shd w:val="clear" w:color="auto" w:fill="FFFFFF"/>
        <w:spacing w:line="276" w:lineRule="auto"/>
        <w:jc w:val="both"/>
        <w:rPr>
          <w:rFonts w:ascii="Calibri" w:hAnsi="Calibri" w:cs="Calibri"/>
          <w:color w:val="000000"/>
          <w:lang w:val="es-ES"/>
        </w:rPr>
      </w:pPr>
      <w:r w:rsidRPr="001F0CA7">
        <w:rPr>
          <w:rFonts w:ascii="Calibri" w:hAnsi="Calibri" w:cs="Calibri"/>
          <w:color w:val="000000"/>
          <w:lang w:val="es-ES"/>
        </w:rPr>
        <w:t>La banda de 6 GHz comprende 2 bloques y medio en el CNAF. El primero (A) de 5.925 a 6.7 GHz, el segundo (B) de 6.7 a 7.075 GHz y una banda de 0.05 GHz del tercero (C) de 7.075 a 7.125</w:t>
      </w:r>
      <w:r w:rsidR="005B6C88" w:rsidRPr="001F0CA7">
        <w:rPr>
          <w:rFonts w:ascii="Calibri" w:hAnsi="Calibri" w:cs="Calibri"/>
          <w:color w:val="000000"/>
          <w:lang w:val="es-ES"/>
        </w:rPr>
        <w:t>, p</w:t>
      </w:r>
      <w:r w:rsidRPr="001F0CA7">
        <w:rPr>
          <w:rFonts w:ascii="Calibri" w:hAnsi="Calibri" w:cs="Calibri"/>
          <w:color w:val="000000"/>
          <w:lang w:val="es-ES"/>
        </w:rPr>
        <w:t xml:space="preserve">or lo que el espectro total de la banda de 6 GHz es de 1.2 GHz. Las notas MX214, MX215, MX217, MX230, MX230A, MX230B y MX231 permiten apreciar el uso actual de la banda y son el inicio de cualquier análisis para determinar la factibilidad de asignarlo a una u otra tecnología propuesta. El resumen de las notas se muestra en la Tabla 1. </w:t>
      </w:r>
    </w:p>
    <w:p w14:paraId="5651A835" w14:textId="77777777" w:rsidR="00C233DF" w:rsidRPr="001F0CA7" w:rsidRDefault="00C233DF" w:rsidP="001F0CA7">
      <w:pPr>
        <w:pStyle w:val="Prrafodelista"/>
        <w:spacing w:line="276" w:lineRule="auto"/>
        <w:jc w:val="both"/>
        <w:rPr>
          <w:rFonts w:ascii="Calibri" w:hAnsi="Calibri" w:cs="Calibri"/>
          <w:highlight w:val="yellow"/>
        </w:rPr>
      </w:pPr>
    </w:p>
    <w:p w14:paraId="5D44826F" w14:textId="1F8A1064" w:rsidR="007F0490" w:rsidRPr="001F0CA7" w:rsidRDefault="007F0490" w:rsidP="001F0CA7">
      <w:pPr>
        <w:pStyle w:val="Prrafodelista"/>
        <w:shd w:val="clear" w:color="auto" w:fill="FFFFFF"/>
        <w:spacing w:line="276" w:lineRule="auto"/>
        <w:jc w:val="center"/>
        <w:rPr>
          <w:rFonts w:ascii="Calibri" w:hAnsi="Calibri" w:cs="Calibri"/>
          <w:color w:val="000000"/>
          <w:lang w:val="es-ES"/>
        </w:rPr>
      </w:pPr>
      <w:r w:rsidRPr="001F0CA7">
        <w:rPr>
          <w:rFonts w:ascii="Calibri" w:hAnsi="Calibri" w:cs="Calibri"/>
          <w:noProof/>
          <w:lang w:val="es-ES"/>
        </w:rPr>
        <w:lastRenderedPageBreak/>
        <w:drawing>
          <wp:inline distT="0" distB="0" distL="0" distR="0" wp14:anchorId="36732690" wp14:editId="015902E6">
            <wp:extent cx="4123983" cy="6569986"/>
            <wp:effectExtent l="0" t="0" r="381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0116" cy="6659412"/>
                    </a:xfrm>
                    <a:prstGeom prst="rect">
                      <a:avLst/>
                    </a:prstGeom>
                  </pic:spPr>
                </pic:pic>
              </a:graphicData>
            </a:graphic>
          </wp:inline>
        </w:drawing>
      </w:r>
    </w:p>
    <w:p w14:paraId="0EA399BB" w14:textId="4515CECC" w:rsidR="000D0121" w:rsidRPr="001F0CA7" w:rsidRDefault="000D0121" w:rsidP="001F0CA7">
      <w:pPr>
        <w:pStyle w:val="Prrafodelista"/>
        <w:shd w:val="clear" w:color="auto" w:fill="FFFFFF"/>
        <w:spacing w:line="276" w:lineRule="auto"/>
        <w:jc w:val="center"/>
        <w:rPr>
          <w:rFonts w:ascii="Calibri" w:hAnsi="Calibri" w:cs="Calibri"/>
          <w:color w:val="000000"/>
          <w:lang w:val="es-ES"/>
        </w:rPr>
      </w:pPr>
      <w:r w:rsidRPr="001F0CA7">
        <w:rPr>
          <w:rFonts w:ascii="Calibri" w:hAnsi="Calibri" w:cs="Calibri"/>
          <w:color w:val="000000"/>
          <w:lang w:val="es-ES"/>
        </w:rPr>
        <w:t>Figura 1. Porción del CNAF correspondiente a la Banda de 6</w:t>
      </w:r>
      <w:r w:rsidR="00CF6418" w:rsidRPr="001F0CA7">
        <w:rPr>
          <w:rFonts w:ascii="Calibri" w:hAnsi="Calibri" w:cs="Calibri"/>
          <w:color w:val="000000"/>
          <w:lang w:val="es-ES"/>
        </w:rPr>
        <w:t xml:space="preserve"> </w:t>
      </w:r>
      <w:r w:rsidRPr="001F0CA7">
        <w:rPr>
          <w:rFonts w:ascii="Calibri" w:hAnsi="Calibri" w:cs="Calibri"/>
          <w:color w:val="000000"/>
          <w:lang w:val="es-ES"/>
        </w:rPr>
        <w:t>GHz.</w:t>
      </w:r>
    </w:p>
    <w:p w14:paraId="71E7C576" w14:textId="7993521D" w:rsidR="007F0490" w:rsidRPr="001F0CA7" w:rsidRDefault="007F0490" w:rsidP="001F0CA7">
      <w:pPr>
        <w:shd w:val="clear" w:color="auto" w:fill="FFFFFF"/>
        <w:spacing w:line="276" w:lineRule="auto"/>
        <w:jc w:val="both"/>
        <w:rPr>
          <w:rFonts w:ascii="Calibri" w:hAnsi="Calibri" w:cs="Calibri"/>
          <w:color w:val="000000"/>
          <w:lang w:val="es-ES"/>
        </w:rPr>
      </w:pPr>
    </w:p>
    <w:p w14:paraId="6F116ACA" w14:textId="622D639E" w:rsidR="00EE259D" w:rsidRDefault="00EE259D" w:rsidP="001F0CA7">
      <w:pPr>
        <w:shd w:val="clear" w:color="auto" w:fill="FFFFFF"/>
        <w:spacing w:line="276" w:lineRule="auto"/>
        <w:jc w:val="both"/>
        <w:rPr>
          <w:rFonts w:ascii="Calibri" w:hAnsi="Calibri" w:cs="Calibri"/>
          <w:color w:val="000000"/>
          <w:lang w:val="es-ES"/>
        </w:rPr>
      </w:pPr>
    </w:p>
    <w:p w14:paraId="025394DF" w14:textId="7A55B913" w:rsidR="001F0CA7" w:rsidRDefault="001F0CA7" w:rsidP="001F0CA7">
      <w:pPr>
        <w:shd w:val="clear" w:color="auto" w:fill="FFFFFF"/>
        <w:spacing w:line="276" w:lineRule="auto"/>
        <w:jc w:val="both"/>
        <w:rPr>
          <w:rFonts w:ascii="Calibri" w:hAnsi="Calibri" w:cs="Calibri"/>
          <w:color w:val="000000"/>
          <w:lang w:val="es-ES"/>
        </w:rPr>
      </w:pPr>
    </w:p>
    <w:p w14:paraId="45AA1992" w14:textId="77777777" w:rsidR="005948E0" w:rsidRPr="001F0CA7" w:rsidRDefault="005948E0" w:rsidP="001F0CA7">
      <w:pPr>
        <w:shd w:val="clear" w:color="auto" w:fill="FFFFFF"/>
        <w:spacing w:line="276" w:lineRule="auto"/>
        <w:jc w:val="both"/>
        <w:rPr>
          <w:rFonts w:ascii="Calibri" w:hAnsi="Calibri" w:cs="Calibri"/>
          <w:color w:val="000000"/>
          <w:lang w:val="es-ES"/>
        </w:rPr>
      </w:pPr>
    </w:p>
    <w:p w14:paraId="3DF520D5" w14:textId="77777777" w:rsidR="00C233DF" w:rsidRPr="001F0CA7" w:rsidRDefault="00C233DF" w:rsidP="001F0CA7">
      <w:pPr>
        <w:shd w:val="clear" w:color="auto" w:fill="FFFFFF"/>
        <w:spacing w:line="276" w:lineRule="auto"/>
        <w:jc w:val="both"/>
        <w:rPr>
          <w:rFonts w:ascii="Calibri" w:hAnsi="Calibri" w:cs="Calibri"/>
          <w:color w:val="000000"/>
          <w:lang w:val="es-ES"/>
        </w:rPr>
      </w:pPr>
    </w:p>
    <w:p w14:paraId="026000FA" w14:textId="5D6B317D" w:rsidR="008758A4" w:rsidRPr="001F0CA7" w:rsidRDefault="008758A4" w:rsidP="007533B9">
      <w:pPr>
        <w:pStyle w:val="Prrafodelista"/>
        <w:shd w:val="clear" w:color="auto" w:fill="FFFFFF"/>
        <w:spacing w:line="276" w:lineRule="auto"/>
        <w:ind w:left="0"/>
        <w:jc w:val="center"/>
        <w:rPr>
          <w:rFonts w:ascii="Calibri" w:hAnsi="Calibri" w:cs="Calibri"/>
          <w:color w:val="000000"/>
          <w:lang w:val="es-ES"/>
        </w:rPr>
      </w:pPr>
      <w:r w:rsidRPr="001F0CA7">
        <w:rPr>
          <w:rFonts w:ascii="Calibri" w:hAnsi="Calibri" w:cs="Calibri"/>
          <w:color w:val="000000"/>
          <w:lang w:val="es-ES"/>
        </w:rPr>
        <w:lastRenderedPageBreak/>
        <w:t xml:space="preserve">Tabla 1. </w:t>
      </w:r>
      <w:r w:rsidR="000D0121" w:rsidRPr="001F0CA7">
        <w:rPr>
          <w:rFonts w:ascii="Calibri" w:hAnsi="Calibri" w:cs="Calibri"/>
          <w:color w:val="000000"/>
          <w:lang w:val="es-ES"/>
        </w:rPr>
        <w:t>Notas en el CNAF respecto a la banda de 6 GHz</w:t>
      </w:r>
      <w:r w:rsidR="00C62293" w:rsidRPr="001F0CA7">
        <w:rPr>
          <w:rFonts w:ascii="Calibri" w:hAnsi="Calibri" w:cs="Calibri"/>
          <w:color w:val="000000"/>
          <w:lang w:val="es-ES"/>
        </w:rPr>
        <w:t>:</w:t>
      </w:r>
      <w:r w:rsidR="000D0121" w:rsidRPr="001F0CA7">
        <w:rPr>
          <w:rFonts w:ascii="Calibri" w:hAnsi="Calibri" w:cs="Calibri"/>
          <w:color w:val="000000"/>
          <w:lang w:val="es-ES"/>
        </w:rPr>
        <w:t xml:space="preserve"> fa y </w:t>
      </w:r>
      <w:proofErr w:type="spellStart"/>
      <w:r w:rsidR="000D0121" w:rsidRPr="001F0CA7">
        <w:rPr>
          <w:rFonts w:ascii="Calibri" w:hAnsi="Calibri" w:cs="Calibri"/>
          <w:color w:val="000000"/>
          <w:lang w:val="es-ES"/>
        </w:rPr>
        <w:t>fb</w:t>
      </w:r>
      <w:proofErr w:type="spellEnd"/>
      <w:r w:rsidR="000D0121" w:rsidRPr="001F0CA7">
        <w:rPr>
          <w:rFonts w:ascii="Calibri" w:hAnsi="Calibri" w:cs="Calibri"/>
          <w:color w:val="000000"/>
          <w:lang w:val="es-ES"/>
        </w:rPr>
        <w:t xml:space="preserve"> son las frecuencias mencionadas en las notas y están en GHz. Delta f es el ancho de banda</w:t>
      </w:r>
      <w:r w:rsidR="00193DB1" w:rsidRPr="001F0CA7">
        <w:rPr>
          <w:rFonts w:ascii="Calibri" w:hAnsi="Calibri" w:cs="Calibri"/>
          <w:color w:val="000000"/>
          <w:lang w:val="es-ES"/>
        </w:rPr>
        <w:t xml:space="preserve"> en GHz</w:t>
      </w:r>
      <w:r w:rsidR="000D0121" w:rsidRPr="001F0CA7">
        <w:rPr>
          <w:rFonts w:ascii="Calibri" w:hAnsi="Calibri" w:cs="Calibri"/>
          <w:color w:val="000000"/>
          <w:lang w:val="es-ES"/>
        </w:rPr>
        <w:t>.</w:t>
      </w:r>
    </w:p>
    <w:tbl>
      <w:tblPr>
        <w:tblStyle w:val="Tablaconcuadrcula4-nfasis3"/>
        <w:tblW w:w="10323" w:type="dxa"/>
        <w:jc w:val="center"/>
        <w:tblLook w:val="04A0" w:firstRow="1" w:lastRow="0" w:firstColumn="1" w:lastColumn="0" w:noHBand="0" w:noVBand="1"/>
      </w:tblPr>
      <w:tblGrid>
        <w:gridCol w:w="1127"/>
        <w:gridCol w:w="1437"/>
        <w:gridCol w:w="1192"/>
        <w:gridCol w:w="6706"/>
      </w:tblGrid>
      <w:tr w:rsidR="001415CB" w:rsidRPr="00AB4775" w14:paraId="0892C774" w14:textId="77777777" w:rsidTr="001F0C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50213527"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fa</w:t>
            </w:r>
          </w:p>
        </w:tc>
        <w:tc>
          <w:tcPr>
            <w:tcW w:w="1437" w:type="dxa"/>
            <w:noWrap/>
            <w:hideMark/>
          </w:tcPr>
          <w:p w14:paraId="25010391" w14:textId="77777777" w:rsidR="009F64AF" w:rsidRPr="001F0CA7" w:rsidRDefault="009F64AF" w:rsidP="001F0CA7">
            <w:p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1F0CA7">
              <w:rPr>
                <w:rFonts w:ascii="Calibri" w:hAnsi="Calibri" w:cs="Calibri"/>
                <w:color w:val="000000"/>
              </w:rPr>
              <w:t>fb</w:t>
            </w:r>
            <w:proofErr w:type="spellEnd"/>
          </w:p>
        </w:tc>
        <w:tc>
          <w:tcPr>
            <w:tcW w:w="1192" w:type="dxa"/>
            <w:noWrap/>
            <w:hideMark/>
          </w:tcPr>
          <w:p w14:paraId="32F2A8D2" w14:textId="77777777" w:rsidR="009F64AF" w:rsidRPr="001F0CA7" w:rsidRDefault="009F64AF" w:rsidP="001F0CA7">
            <w:p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Delta f</w:t>
            </w:r>
          </w:p>
        </w:tc>
        <w:tc>
          <w:tcPr>
            <w:tcW w:w="6706" w:type="dxa"/>
            <w:noWrap/>
            <w:hideMark/>
          </w:tcPr>
          <w:p w14:paraId="22433D48" w14:textId="77777777" w:rsidR="009F64AF" w:rsidRPr="001F0CA7" w:rsidRDefault="009F64AF" w:rsidP="001F0CA7">
            <w:p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Nota</w:t>
            </w:r>
          </w:p>
        </w:tc>
      </w:tr>
      <w:tr w:rsidR="001415CB" w:rsidRPr="00AB4775" w14:paraId="4607022B" w14:textId="77777777" w:rsidTr="001F0C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01FA6DE2"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6.425</w:t>
            </w:r>
          </w:p>
        </w:tc>
        <w:tc>
          <w:tcPr>
            <w:tcW w:w="1437" w:type="dxa"/>
            <w:noWrap/>
            <w:hideMark/>
          </w:tcPr>
          <w:p w14:paraId="7F56282D"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6.725</w:t>
            </w:r>
          </w:p>
        </w:tc>
        <w:tc>
          <w:tcPr>
            <w:tcW w:w="1192" w:type="dxa"/>
            <w:noWrap/>
            <w:hideMark/>
          </w:tcPr>
          <w:p w14:paraId="27504594"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0.3</w:t>
            </w:r>
          </w:p>
        </w:tc>
        <w:tc>
          <w:tcPr>
            <w:tcW w:w="6706" w:type="dxa"/>
            <w:noWrap/>
            <w:hideMark/>
          </w:tcPr>
          <w:p w14:paraId="4D8A19A7"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MX214- Usado por el sistema satelital del Gobierno Federal para la posición geoestacionaria 114.9º</w:t>
            </w:r>
          </w:p>
        </w:tc>
      </w:tr>
      <w:tr w:rsidR="009F64AF" w:rsidRPr="00AB4775" w14:paraId="79F9C16A" w14:textId="77777777" w:rsidTr="001F0CA7">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15EB180C"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5.925</w:t>
            </w:r>
          </w:p>
        </w:tc>
        <w:tc>
          <w:tcPr>
            <w:tcW w:w="1437" w:type="dxa"/>
            <w:noWrap/>
            <w:hideMark/>
          </w:tcPr>
          <w:p w14:paraId="77063177"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6.425</w:t>
            </w:r>
          </w:p>
        </w:tc>
        <w:tc>
          <w:tcPr>
            <w:tcW w:w="1192" w:type="dxa"/>
            <w:noWrap/>
            <w:hideMark/>
          </w:tcPr>
          <w:p w14:paraId="43A48968"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0.5</w:t>
            </w:r>
          </w:p>
        </w:tc>
        <w:tc>
          <w:tcPr>
            <w:tcW w:w="6706" w:type="dxa"/>
            <w:noWrap/>
            <w:hideMark/>
          </w:tcPr>
          <w:p w14:paraId="1A383945"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MX215 - Ampliamente utilizadas para servicio satelital en las posiciones geoestacionarias 113º, 114.9º y 116.8º</w:t>
            </w:r>
          </w:p>
        </w:tc>
      </w:tr>
      <w:tr w:rsidR="001415CB" w:rsidRPr="00AB4775" w14:paraId="31459F72" w14:textId="77777777" w:rsidTr="001F0C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7D7DE5EE"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5.925</w:t>
            </w:r>
          </w:p>
        </w:tc>
        <w:tc>
          <w:tcPr>
            <w:tcW w:w="1437" w:type="dxa"/>
            <w:noWrap/>
            <w:hideMark/>
          </w:tcPr>
          <w:p w14:paraId="61EAE75A"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6.425</w:t>
            </w:r>
          </w:p>
        </w:tc>
        <w:tc>
          <w:tcPr>
            <w:tcW w:w="1192" w:type="dxa"/>
            <w:noWrap/>
            <w:hideMark/>
          </w:tcPr>
          <w:p w14:paraId="0BBA4655"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0.5</w:t>
            </w:r>
          </w:p>
        </w:tc>
        <w:tc>
          <w:tcPr>
            <w:tcW w:w="6706" w:type="dxa"/>
            <w:noWrap/>
            <w:hideMark/>
          </w:tcPr>
          <w:p w14:paraId="0428EE2B"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 xml:space="preserve">MX230 - Estaciones terrenas coordinadas con </w:t>
            </w:r>
            <w:proofErr w:type="gramStart"/>
            <w:r w:rsidRPr="001F0CA7">
              <w:rPr>
                <w:rFonts w:ascii="Calibri" w:hAnsi="Calibri" w:cs="Calibri"/>
                <w:color w:val="000000"/>
              </w:rPr>
              <w:t>EE.UU.</w:t>
            </w:r>
            <w:proofErr w:type="gramEnd"/>
          </w:p>
        </w:tc>
      </w:tr>
      <w:tr w:rsidR="009F64AF" w:rsidRPr="00AB4775" w14:paraId="43DC0FCC" w14:textId="77777777" w:rsidTr="001F0CA7">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57029840"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5.925</w:t>
            </w:r>
          </w:p>
        </w:tc>
        <w:tc>
          <w:tcPr>
            <w:tcW w:w="1437" w:type="dxa"/>
            <w:noWrap/>
            <w:hideMark/>
          </w:tcPr>
          <w:p w14:paraId="1997C62A"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6.425</w:t>
            </w:r>
          </w:p>
        </w:tc>
        <w:tc>
          <w:tcPr>
            <w:tcW w:w="1192" w:type="dxa"/>
            <w:noWrap/>
            <w:hideMark/>
          </w:tcPr>
          <w:p w14:paraId="6E99F6D9"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0.5</w:t>
            </w:r>
          </w:p>
        </w:tc>
        <w:tc>
          <w:tcPr>
            <w:tcW w:w="6706" w:type="dxa"/>
            <w:noWrap/>
            <w:hideMark/>
          </w:tcPr>
          <w:p w14:paraId="239FC883"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Mx230A.- Enlaces ascendentes de DTH Satelital</w:t>
            </w:r>
          </w:p>
        </w:tc>
      </w:tr>
      <w:tr w:rsidR="001415CB" w:rsidRPr="00AB4775" w14:paraId="328F7A3F" w14:textId="77777777" w:rsidTr="001F0C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6C56E684"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6.725</w:t>
            </w:r>
          </w:p>
        </w:tc>
        <w:tc>
          <w:tcPr>
            <w:tcW w:w="1437" w:type="dxa"/>
            <w:noWrap/>
            <w:hideMark/>
          </w:tcPr>
          <w:p w14:paraId="5CD634E3"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7.025</w:t>
            </w:r>
          </w:p>
        </w:tc>
        <w:tc>
          <w:tcPr>
            <w:tcW w:w="1192" w:type="dxa"/>
            <w:noWrap/>
            <w:hideMark/>
          </w:tcPr>
          <w:p w14:paraId="20B7C7B3"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0.3</w:t>
            </w:r>
          </w:p>
        </w:tc>
        <w:tc>
          <w:tcPr>
            <w:tcW w:w="6706" w:type="dxa"/>
            <w:noWrap/>
            <w:hideMark/>
          </w:tcPr>
          <w:p w14:paraId="4574F2B2"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Mx230A.- Enlaces ascendentes de DTH Satelital</w:t>
            </w:r>
          </w:p>
        </w:tc>
      </w:tr>
      <w:tr w:rsidR="009F64AF" w:rsidRPr="00AB4775" w14:paraId="7F61D244" w14:textId="77777777" w:rsidTr="001F0CA7">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455185B9"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5.925</w:t>
            </w:r>
          </w:p>
        </w:tc>
        <w:tc>
          <w:tcPr>
            <w:tcW w:w="1437" w:type="dxa"/>
            <w:noWrap/>
            <w:hideMark/>
          </w:tcPr>
          <w:p w14:paraId="6383E4F1"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6.425</w:t>
            </w:r>
          </w:p>
        </w:tc>
        <w:tc>
          <w:tcPr>
            <w:tcW w:w="1192" w:type="dxa"/>
            <w:noWrap/>
            <w:hideMark/>
          </w:tcPr>
          <w:p w14:paraId="55F2F07A"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0.5</w:t>
            </w:r>
          </w:p>
        </w:tc>
        <w:tc>
          <w:tcPr>
            <w:tcW w:w="6706" w:type="dxa"/>
            <w:noWrap/>
            <w:hideMark/>
          </w:tcPr>
          <w:p w14:paraId="64006CFB"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MX230B - Enlace ascendente de servicio satelital fijo en MEX y USA</w:t>
            </w:r>
          </w:p>
        </w:tc>
      </w:tr>
      <w:tr w:rsidR="001415CB" w:rsidRPr="00AB4775" w14:paraId="303A65C0" w14:textId="77777777" w:rsidTr="001F0C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66CC68EC"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6.725</w:t>
            </w:r>
          </w:p>
        </w:tc>
        <w:tc>
          <w:tcPr>
            <w:tcW w:w="1437" w:type="dxa"/>
            <w:noWrap/>
            <w:hideMark/>
          </w:tcPr>
          <w:p w14:paraId="4AE20711"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7.025</w:t>
            </w:r>
          </w:p>
        </w:tc>
        <w:tc>
          <w:tcPr>
            <w:tcW w:w="1192" w:type="dxa"/>
            <w:noWrap/>
            <w:hideMark/>
          </w:tcPr>
          <w:p w14:paraId="5C35EF24"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0.3</w:t>
            </w:r>
          </w:p>
        </w:tc>
        <w:tc>
          <w:tcPr>
            <w:tcW w:w="6706" w:type="dxa"/>
            <w:noWrap/>
            <w:hideMark/>
          </w:tcPr>
          <w:p w14:paraId="1C241B5C" w14:textId="77777777" w:rsidR="009F64AF" w:rsidRPr="001F0CA7" w:rsidRDefault="009F64AF" w:rsidP="001F0CA7">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0CA7">
              <w:rPr>
                <w:rFonts w:ascii="Calibri" w:hAnsi="Calibri" w:cs="Calibri"/>
                <w:color w:val="000000"/>
              </w:rPr>
              <w:t>MX230B - Enlace ascendente de servicio satelital fijo en MEX y USA</w:t>
            </w:r>
          </w:p>
        </w:tc>
      </w:tr>
      <w:tr w:rsidR="009F64AF" w:rsidRPr="00AB4775" w14:paraId="61382B86" w14:textId="77777777" w:rsidTr="001F0CA7">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4B5E3B9C" w14:textId="77777777" w:rsidR="009F64AF" w:rsidRPr="001F0CA7" w:rsidRDefault="009F64AF" w:rsidP="001F0CA7">
            <w:pPr>
              <w:spacing w:line="276" w:lineRule="auto"/>
              <w:ind w:left="360"/>
              <w:jc w:val="both"/>
              <w:rPr>
                <w:rFonts w:ascii="Calibri" w:hAnsi="Calibri" w:cs="Calibri"/>
                <w:color w:val="000000"/>
              </w:rPr>
            </w:pPr>
            <w:r w:rsidRPr="001F0CA7">
              <w:rPr>
                <w:rFonts w:ascii="Calibri" w:hAnsi="Calibri" w:cs="Calibri"/>
                <w:color w:val="000000"/>
              </w:rPr>
              <w:t>6.725</w:t>
            </w:r>
          </w:p>
        </w:tc>
        <w:tc>
          <w:tcPr>
            <w:tcW w:w="1437" w:type="dxa"/>
            <w:noWrap/>
            <w:hideMark/>
          </w:tcPr>
          <w:p w14:paraId="7921A6BC"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7.025</w:t>
            </w:r>
          </w:p>
        </w:tc>
        <w:tc>
          <w:tcPr>
            <w:tcW w:w="1192" w:type="dxa"/>
            <w:noWrap/>
            <w:hideMark/>
          </w:tcPr>
          <w:p w14:paraId="1B067D0D"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0.3</w:t>
            </w:r>
          </w:p>
        </w:tc>
        <w:tc>
          <w:tcPr>
            <w:tcW w:w="6706" w:type="dxa"/>
            <w:noWrap/>
            <w:hideMark/>
          </w:tcPr>
          <w:p w14:paraId="62F80DD9" w14:textId="77777777" w:rsidR="009F64AF" w:rsidRPr="001F0CA7" w:rsidRDefault="009F64AF" w:rsidP="001F0CA7">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0CA7">
              <w:rPr>
                <w:rFonts w:ascii="Calibri" w:hAnsi="Calibri" w:cs="Calibri"/>
                <w:color w:val="000000"/>
              </w:rPr>
              <w:t>MX217 - Usado por el sistema satelital del Gobierno Federal para la posición geoestacionaria 113º</w:t>
            </w:r>
          </w:p>
        </w:tc>
      </w:tr>
    </w:tbl>
    <w:p w14:paraId="093EB751" w14:textId="77777777" w:rsidR="00EE259D" w:rsidRPr="001F0CA7" w:rsidRDefault="00EE259D" w:rsidP="001F0CA7">
      <w:pPr>
        <w:shd w:val="clear" w:color="auto" w:fill="FFFFFF"/>
        <w:spacing w:line="276" w:lineRule="auto"/>
        <w:jc w:val="both"/>
        <w:rPr>
          <w:rFonts w:ascii="Calibri" w:hAnsi="Calibri" w:cs="Calibri"/>
          <w:color w:val="000000"/>
        </w:rPr>
      </w:pPr>
    </w:p>
    <w:p w14:paraId="4CE1F240" w14:textId="140B1851" w:rsidR="007F0490" w:rsidRPr="001F0CA7" w:rsidRDefault="00DB7F8F" w:rsidP="001F0CA7">
      <w:pPr>
        <w:spacing w:line="276" w:lineRule="auto"/>
        <w:ind w:left="360"/>
        <w:jc w:val="center"/>
        <w:rPr>
          <w:rFonts w:ascii="Calibri" w:hAnsi="Calibri" w:cs="Calibri"/>
        </w:rPr>
      </w:pPr>
      <w:r w:rsidRPr="001F0CA7">
        <w:rPr>
          <w:rFonts w:ascii="Calibri" w:hAnsi="Calibri" w:cs="Calibri"/>
          <w:noProof/>
        </w:rPr>
        <w:drawing>
          <wp:inline distT="0" distB="0" distL="0" distR="0" wp14:anchorId="35546514" wp14:editId="55620042">
            <wp:extent cx="3332440" cy="2899508"/>
            <wp:effectExtent l="0" t="0" r="0" b="0"/>
            <wp:docPr id="2" name="Picture 2"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51" cy="2935017"/>
                    </a:xfrm>
                    <a:prstGeom prst="rect">
                      <a:avLst/>
                    </a:prstGeom>
                  </pic:spPr>
                </pic:pic>
              </a:graphicData>
            </a:graphic>
          </wp:inline>
        </w:drawing>
      </w:r>
    </w:p>
    <w:p w14:paraId="08B0A04A" w14:textId="0ED93869" w:rsidR="000D0121" w:rsidRPr="001F0CA7" w:rsidRDefault="000D0121" w:rsidP="001F0CA7">
      <w:pPr>
        <w:spacing w:line="276" w:lineRule="auto"/>
        <w:ind w:left="360"/>
        <w:jc w:val="center"/>
        <w:rPr>
          <w:rFonts w:ascii="Calibri" w:hAnsi="Calibri" w:cs="Calibri"/>
          <w:lang w:val="es-ES"/>
        </w:rPr>
      </w:pPr>
      <w:r w:rsidRPr="001F0CA7">
        <w:rPr>
          <w:rFonts w:ascii="Calibri" w:hAnsi="Calibri" w:cs="Calibri"/>
          <w:lang w:val="es-ES"/>
        </w:rPr>
        <w:t>Fig</w:t>
      </w:r>
      <w:r w:rsidR="00D13FEE" w:rsidRPr="001F0CA7">
        <w:rPr>
          <w:rFonts w:ascii="Calibri" w:hAnsi="Calibri" w:cs="Calibri"/>
          <w:lang w:val="es-ES"/>
        </w:rPr>
        <w:t>.</w:t>
      </w:r>
      <w:r w:rsidRPr="001F0CA7">
        <w:rPr>
          <w:rFonts w:ascii="Calibri" w:hAnsi="Calibri" w:cs="Calibri"/>
          <w:lang w:val="es-ES"/>
        </w:rPr>
        <w:t xml:space="preserve"> 2. Estado de la banda de 6</w:t>
      </w:r>
      <w:r w:rsidR="00193DB1" w:rsidRPr="001F0CA7">
        <w:rPr>
          <w:rFonts w:ascii="Calibri" w:hAnsi="Calibri" w:cs="Calibri"/>
          <w:lang w:val="es-ES"/>
        </w:rPr>
        <w:t xml:space="preserve"> </w:t>
      </w:r>
      <w:r w:rsidRPr="001F0CA7">
        <w:rPr>
          <w:rFonts w:ascii="Calibri" w:hAnsi="Calibri" w:cs="Calibri"/>
          <w:lang w:val="es-ES"/>
        </w:rPr>
        <w:t>G</w:t>
      </w:r>
      <w:r w:rsidR="00193DB1" w:rsidRPr="001F0CA7">
        <w:rPr>
          <w:rFonts w:ascii="Calibri" w:hAnsi="Calibri" w:cs="Calibri"/>
          <w:lang w:val="es-ES"/>
        </w:rPr>
        <w:t>H</w:t>
      </w:r>
      <w:r w:rsidRPr="001F0CA7">
        <w:rPr>
          <w:rFonts w:ascii="Calibri" w:hAnsi="Calibri" w:cs="Calibri"/>
          <w:lang w:val="es-ES"/>
        </w:rPr>
        <w:t>z.</w:t>
      </w:r>
    </w:p>
    <w:p w14:paraId="06918798" w14:textId="77777777" w:rsidR="00DB7F8F" w:rsidRPr="001F0CA7" w:rsidRDefault="00DB7F8F" w:rsidP="001F0CA7">
      <w:pPr>
        <w:spacing w:line="276" w:lineRule="auto"/>
        <w:jc w:val="both"/>
        <w:rPr>
          <w:rFonts w:ascii="Calibri" w:hAnsi="Calibri" w:cs="Calibri"/>
          <w:lang w:val="es-ES"/>
        </w:rPr>
      </w:pPr>
    </w:p>
    <w:p w14:paraId="5B080312" w14:textId="65AE134E" w:rsidR="008758A4" w:rsidRPr="001F0CA7" w:rsidRDefault="000D0121"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En </w:t>
      </w:r>
      <w:r w:rsidR="00D13FEE" w:rsidRPr="001F0CA7">
        <w:rPr>
          <w:rFonts w:ascii="Calibri" w:hAnsi="Calibri" w:cs="Calibri"/>
          <w:lang w:val="es-ES"/>
        </w:rPr>
        <w:t>el esquema de la F</w:t>
      </w:r>
      <w:r w:rsidR="00C62293" w:rsidRPr="001F0CA7">
        <w:rPr>
          <w:rFonts w:ascii="Calibri" w:hAnsi="Calibri" w:cs="Calibri"/>
          <w:lang w:val="es-ES"/>
        </w:rPr>
        <w:t xml:space="preserve">igura </w:t>
      </w:r>
      <w:r w:rsidRPr="001F0CA7">
        <w:rPr>
          <w:rFonts w:ascii="Calibri" w:hAnsi="Calibri" w:cs="Calibri"/>
          <w:lang w:val="es-ES"/>
        </w:rPr>
        <w:t>2</w:t>
      </w:r>
      <w:r w:rsidR="009F23F5" w:rsidRPr="001F0CA7">
        <w:rPr>
          <w:rFonts w:ascii="Calibri" w:hAnsi="Calibri" w:cs="Calibri"/>
          <w:lang w:val="es-ES"/>
        </w:rPr>
        <w:t xml:space="preserve"> </w:t>
      </w:r>
      <w:r w:rsidR="00AE4EBA" w:rsidRPr="001F0CA7">
        <w:rPr>
          <w:rFonts w:ascii="Calibri" w:hAnsi="Calibri" w:cs="Calibri"/>
          <w:lang w:val="es-ES"/>
        </w:rPr>
        <w:t xml:space="preserve">se </w:t>
      </w:r>
      <w:r w:rsidR="009F23F5" w:rsidRPr="001F0CA7">
        <w:rPr>
          <w:rFonts w:ascii="Calibri" w:hAnsi="Calibri" w:cs="Calibri"/>
          <w:lang w:val="es-ES"/>
        </w:rPr>
        <w:t>puede apreciar que el servicio satelital abarca el 92% de la banda de 6</w:t>
      </w:r>
      <w:r w:rsidR="00193DB1" w:rsidRPr="001F0CA7">
        <w:rPr>
          <w:rFonts w:ascii="Calibri" w:hAnsi="Calibri" w:cs="Calibri"/>
          <w:lang w:val="es-ES"/>
        </w:rPr>
        <w:t xml:space="preserve"> </w:t>
      </w:r>
      <w:r w:rsidR="009F23F5" w:rsidRPr="001F0CA7">
        <w:rPr>
          <w:rFonts w:ascii="Calibri" w:hAnsi="Calibri" w:cs="Calibri"/>
          <w:lang w:val="es-ES"/>
        </w:rPr>
        <w:t>GHz y los servicios fijos terrestres y móviles el 100%</w:t>
      </w:r>
      <w:r w:rsidR="00AE4EBA" w:rsidRPr="001F0CA7">
        <w:rPr>
          <w:rFonts w:ascii="Calibri" w:hAnsi="Calibri" w:cs="Calibri"/>
          <w:lang w:val="es-ES"/>
        </w:rPr>
        <w:t>,</w:t>
      </w:r>
      <w:r w:rsidR="009F23F5" w:rsidRPr="001F0CA7">
        <w:rPr>
          <w:rFonts w:ascii="Calibri" w:hAnsi="Calibri" w:cs="Calibri"/>
          <w:lang w:val="es-ES"/>
        </w:rPr>
        <w:t xml:space="preserve"> </w:t>
      </w:r>
      <w:r w:rsidR="00AE4EBA" w:rsidRPr="001F0CA7">
        <w:rPr>
          <w:rFonts w:ascii="Calibri" w:hAnsi="Calibri" w:cs="Calibri"/>
          <w:lang w:val="es-ES"/>
        </w:rPr>
        <w:t>l</w:t>
      </w:r>
      <w:r w:rsidRPr="001F0CA7">
        <w:rPr>
          <w:rFonts w:ascii="Calibri" w:hAnsi="Calibri" w:cs="Calibri"/>
          <w:lang w:val="es-ES"/>
        </w:rPr>
        <w:t xml:space="preserve">o cual no implica que esté siendo utilizada totalmente y </w:t>
      </w:r>
      <w:r w:rsidR="009156DC" w:rsidRPr="001F0CA7">
        <w:rPr>
          <w:rFonts w:ascii="Calibri" w:hAnsi="Calibri" w:cs="Calibri"/>
          <w:lang w:val="es-ES"/>
        </w:rPr>
        <w:t xml:space="preserve">que </w:t>
      </w:r>
      <w:r w:rsidRPr="001F0CA7">
        <w:rPr>
          <w:rFonts w:ascii="Calibri" w:hAnsi="Calibri" w:cs="Calibri"/>
          <w:lang w:val="es-ES"/>
        </w:rPr>
        <w:t>por lo tanto esté saturada</w:t>
      </w:r>
      <w:r w:rsidR="00AE4EBA" w:rsidRPr="001F0CA7">
        <w:rPr>
          <w:rFonts w:ascii="Calibri" w:hAnsi="Calibri" w:cs="Calibri"/>
          <w:lang w:val="es-ES"/>
        </w:rPr>
        <w:t xml:space="preserve">; </w:t>
      </w:r>
      <w:r w:rsidRPr="001F0CA7">
        <w:rPr>
          <w:rFonts w:ascii="Calibri" w:hAnsi="Calibri" w:cs="Calibri"/>
          <w:lang w:val="es-ES"/>
        </w:rPr>
        <w:t xml:space="preserve">solamente se refiere a la </w:t>
      </w:r>
      <w:r w:rsidR="002222B2" w:rsidRPr="001F0CA7">
        <w:rPr>
          <w:rFonts w:ascii="Calibri" w:hAnsi="Calibri" w:cs="Calibri"/>
          <w:lang w:val="es-ES"/>
        </w:rPr>
        <w:t xml:space="preserve">clasificación </w:t>
      </w:r>
      <w:proofErr w:type="gramStart"/>
      <w:r w:rsidR="002222B2" w:rsidRPr="001F0CA7">
        <w:rPr>
          <w:rFonts w:ascii="Calibri" w:hAnsi="Calibri" w:cs="Calibri"/>
          <w:lang w:val="es-ES"/>
        </w:rPr>
        <w:t>del mismo</w:t>
      </w:r>
      <w:proofErr w:type="gramEnd"/>
      <w:r w:rsidRPr="001F0CA7">
        <w:rPr>
          <w:rFonts w:ascii="Calibri" w:hAnsi="Calibri" w:cs="Calibri"/>
          <w:lang w:val="es-ES"/>
        </w:rPr>
        <w:t xml:space="preserve">. </w:t>
      </w:r>
      <w:r w:rsidR="00DB7F8F" w:rsidRPr="001F0CA7">
        <w:rPr>
          <w:rFonts w:ascii="Calibri" w:hAnsi="Calibri" w:cs="Calibri"/>
          <w:lang w:val="es-ES"/>
        </w:rPr>
        <w:t>El espacio aparentemente no utilizado</w:t>
      </w:r>
      <w:r w:rsidR="009F23F5" w:rsidRPr="001F0CA7">
        <w:rPr>
          <w:rFonts w:ascii="Calibri" w:hAnsi="Calibri" w:cs="Calibri"/>
          <w:lang w:val="es-ES"/>
        </w:rPr>
        <w:t xml:space="preserve"> por el servicio satelital</w:t>
      </w:r>
      <w:r w:rsidR="00DB7F8F" w:rsidRPr="001F0CA7">
        <w:rPr>
          <w:rFonts w:ascii="Calibri" w:hAnsi="Calibri" w:cs="Calibri"/>
          <w:lang w:val="es-ES"/>
        </w:rPr>
        <w:t xml:space="preserve"> entre </w:t>
      </w:r>
      <w:r w:rsidR="009F23F5" w:rsidRPr="001F0CA7">
        <w:rPr>
          <w:rFonts w:ascii="Calibri" w:hAnsi="Calibri" w:cs="Calibri"/>
          <w:lang w:val="es-ES"/>
        </w:rPr>
        <w:lastRenderedPageBreak/>
        <w:t xml:space="preserve">7.025 y 7.125 GHz (BW= 100 MHz) apenas podría acomodar 2 canales de 40 MHz y 1 canal de 20 MHz para WiFi6E con una velocidad máxima de 286.8 </w:t>
      </w:r>
      <w:r w:rsidR="00D36F7B" w:rsidRPr="001F0CA7">
        <w:rPr>
          <w:rFonts w:ascii="Calibri" w:hAnsi="Calibri" w:cs="Calibri"/>
          <w:lang w:val="es-ES"/>
        </w:rPr>
        <w:t>Mbps.</w:t>
      </w:r>
    </w:p>
    <w:p w14:paraId="6199F46C" w14:textId="6A42C01A" w:rsidR="008758A4" w:rsidRPr="001F0CA7" w:rsidRDefault="008758A4" w:rsidP="001F0CA7">
      <w:pPr>
        <w:spacing w:line="276" w:lineRule="auto"/>
        <w:jc w:val="both"/>
        <w:rPr>
          <w:rFonts w:ascii="Calibri" w:hAnsi="Calibri" w:cs="Calibri"/>
          <w:lang w:val="es-ES"/>
        </w:rPr>
      </w:pPr>
    </w:p>
    <w:p w14:paraId="1DD0A2BA" w14:textId="06F956A3" w:rsidR="008758A4" w:rsidRPr="001F0CA7" w:rsidRDefault="004B4126"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De acuerdo con la Tabla 1</w:t>
      </w:r>
      <w:r w:rsidR="00AE4EBA" w:rsidRPr="001F0CA7">
        <w:rPr>
          <w:rFonts w:ascii="Calibri" w:hAnsi="Calibri" w:cs="Calibri"/>
          <w:lang w:val="es-ES"/>
        </w:rPr>
        <w:t>,</w:t>
      </w:r>
      <w:r w:rsidRPr="001F0CA7">
        <w:rPr>
          <w:rFonts w:ascii="Calibri" w:hAnsi="Calibri" w:cs="Calibri"/>
          <w:lang w:val="es-ES"/>
        </w:rPr>
        <w:t xml:space="preserve"> es posible</w:t>
      </w:r>
      <w:r w:rsidR="00F24836" w:rsidRPr="001F0CA7">
        <w:rPr>
          <w:rFonts w:ascii="Calibri" w:hAnsi="Calibri" w:cs="Calibri"/>
          <w:lang w:val="es-ES"/>
        </w:rPr>
        <w:t xml:space="preserve"> </w:t>
      </w:r>
      <w:r w:rsidRPr="001F0CA7">
        <w:rPr>
          <w:rFonts w:ascii="Calibri" w:hAnsi="Calibri" w:cs="Calibri"/>
          <w:lang w:val="es-ES"/>
        </w:rPr>
        <w:t>que</w:t>
      </w:r>
      <w:r w:rsidR="00F24836" w:rsidRPr="001F0CA7">
        <w:rPr>
          <w:rFonts w:ascii="Calibri" w:hAnsi="Calibri" w:cs="Calibri"/>
          <w:lang w:val="es-ES"/>
        </w:rPr>
        <w:t xml:space="preserve"> bajo condiciones técnicas que fije el Instituto</w:t>
      </w:r>
      <w:r w:rsidRPr="001F0CA7">
        <w:rPr>
          <w:rFonts w:ascii="Calibri" w:hAnsi="Calibri" w:cs="Calibri"/>
          <w:lang w:val="es-ES"/>
        </w:rPr>
        <w:t xml:space="preserve"> en aquellos lugares donde no se esté utilizando un enlace ascendente en la banda puedan ser utilizadas esas frecuencias como espectro libre y por lo tanto </w:t>
      </w:r>
      <w:r w:rsidR="00D36F7B" w:rsidRPr="001F0CA7">
        <w:rPr>
          <w:rFonts w:ascii="Calibri" w:hAnsi="Calibri" w:cs="Calibri"/>
          <w:lang w:val="es-ES"/>
        </w:rPr>
        <w:t xml:space="preserve">ser </w:t>
      </w:r>
      <w:r w:rsidRPr="001F0CA7">
        <w:rPr>
          <w:rFonts w:ascii="Calibri" w:hAnsi="Calibri" w:cs="Calibri"/>
          <w:lang w:val="es-ES"/>
        </w:rPr>
        <w:t>utilizadas para 5G y WiFi6 sin afectar el servicio satelital. De cualquier forma</w:t>
      </w:r>
      <w:r w:rsidR="00D3328C" w:rsidRPr="001F0CA7">
        <w:rPr>
          <w:rFonts w:ascii="Calibri" w:hAnsi="Calibri" w:cs="Calibri"/>
          <w:lang w:val="es-ES"/>
        </w:rPr>
        <w:t>,</w:t>
      </w:r>
      <w:r w:rsidRPr="001F0CA7">
        <w:rPr>
          <w:rFonts w:ascii="Calibri" w:hAnsi="Calibri" w:cs="Calibri"/>
          <w:lang w:val="es-ES"/>
        </w:rPr>
        <w:t xml:space="preserve"> los enlaces ascendentes tienen más potencia y directividad que el servicio terrestre. En el caso de la </w:t>
      </w:r>
      <w:proofErr w:type="spellStart"/>
      <w:r w:rsidRPr="001F0CA7">
        <w:rPr>
          <w:rFonts w:ascii="Calibri" w:hAnsi="Calibri" w:cs="Calibri"/>
          <w:lang w:val="es-ES"/>
        </w:rPr>
        <w:t>sub</w:t>
      </w:r>
      <w:r w:rsidR="0046227E" w:rsidRPr="001F0CA7">
        <w:rPr>
          <w:rFonts w:ascii="Calibri" w:hAnsi="Calibri" w:cs="Calibri"/>
          <w:lang w:val="es-ES"/>
        </w:rPr>
        <w:t>-</w:t>
      </w:r>
      <w:r w:rsidRPr="001F0CA7">
        <w:rPr>
          <w:rFonts w:ascii="Calibri" w:hAnsi="Calibri" w:cs="Calibri"/>
          <w:lang w:val="es-ES"/>
        </w:rPr>
        <w:t>banda</w:t>
      </w:r>
      <w:proofErr w:type="spellEnd"/>
      <w:r w:rsidRPr="001F0CA7">
        <w:rPr>
          <w:rFonts w:ascii="Calibri" w:hAnsi="Calibri" w:cs="Calibri"/>
          <w:lang w:val="es-ES"/>
        </w:rPr>
        <w:t xml:space="preserve"> de 5.925 a 6.425 GHz, al no ser claro el uso satelital de la banda, no es posible </w:t>
      </w:r>
      <w:r w:rsidR="00D3328C" w:rsidRPr="001F0CA7">
        <w:rPr>
          <w:rFonts w:ascii="Calibri" w:hAnsi="Calibri" w:cs="Calibri"/>
          <w:lang w:val="es-ES"/>
        </w:rPr>
        <w:t xml:space="preserve">suponer </w:t>
      </w:r>
      <w:r w:rsidRPr="001F0CA7">
        <w:rPr>
          <w:rFonts w:ascii="Calibri" w:hAnsi="Calibri" w:cs="Calibri"/>
          <w:lang w:val="es-ES"/>
        </w:rPr>
        <w:t>el mismo caso</w:t>
      </w:r>
      <w:r w:rsidR="00D3328C" w:rsidRPr="001F0CA7">
        <w:rPr>
          <w:rFonts w:ascii="Calibri" w:hAnsi="Calibri" w:cs="Calibri"/>
          <w:lang w:val="es-ES"/>
        </w:rPr>
        <w:t>,</w:t>
      </w:r>
      <w:r w:rsidRPr="001F0CA7">
        <w:rPr>
          <w:rFonts w:ascii="Calibri" w:hAnsi="Calibri" w:cs="Calibri"/>
          <w:lang w:val="es-ES"/>
        </w:rPr>
        <w:t xml:space="preserve"> pues podrían ser frecuencias de bajada. Sin </w:t>
      </w:r>
      <w:r w:rsidR="0046227E" w:rsidRPr="001F0CA7">
        <w:rPr>
          <w:rFonts w:ascii="Calibri" w:hAnsi="Calibri" w:cs="Calibri"/>
          <w:lang w:val="es-ES"/>
        </w:rPr>
        <w:t>embargo,</w:t>
      </w:r>
      <w:r w:rsidRPr="001F0CA7">
        <w:rPr>
          <w:rFonts w:ascii="Calibri" w:hAnsi="Calibri" w:cs="Calibri"/>
          <w:lang w:val="es-ES"/>
        </w:rPr>
        <w:t xml:space="preserve"> </w:t>
      </w:r>
      <w:r w:rsidR="0046227E" w:rsidRPr="001F0CA7">
        <w:rPr>
          <w:rFonts w:ascii="Calibri" w:hAnsi="Calibri" w:cs="Calibri"/>
          <w:lang w:val="es-ES"/>
        </w:rPr>
        <w:t xml:space="preserve">la mayoría de los satélites que utilizan la banda C utilizan dicha </w:t>
      </w:r>
      <w:proofErr w:type="spellStart"/>
      <w:r w:rsidR="0046227E" w:rsidRPr="001F0CA7">
        <w:rPr>
          <w:rFonts w:ascii="Calibri" w:hAnsi="Calibri" w:cs="Calibri"/>
          <w:lang w:val="es-ES"/>
        </w:rPr>
        <w:t>sub-banda</w:t>
      </w:r>
      <w:proofErr w:type="spellEnd"/>
      <w:r w:rsidR="0046227E" w:rsidRPr="001F0CA7">
        <w:rPr>
          <w:rFonts w:ascii="Calibri" w:hAnsi="Calibri" w:cs="Calibri"/>
          <w:lang w:val="es-ES"/>
        </w:rPr>
        <w:t xml:space="preserve"> para las frecuencias de subida</w:t>
      </w:r>
      <w:r w:rsidR="00C62293" w:rsidRPr="001F0CA7">
        <w:rPr>
          <w:rFonts w:ascii="Calibri" w:hAnsi="Calibri" w:cs="Calibri"/>
          <w:lang w:val="es-ES"/>
        </w:rPr>
        <w:t>, p</w:t>
      </w:r>
      <w:r w:rsidR="0046227E" w:rsidRPr="001F0CA7">
        <w:rPr>
          <w:rFonts w:ascii="Calibri" w:hAnsi="Calibri" w:cs="Calibri"/>
          <w:lang w:val="es-ES"/>
        </w:rPr>
        <w:t>or lo que</w:t>
      </w:r>
      <w:r w:rsidR="00F24836" w:rsidRPr="001F0CA7">
        <w:rPr>
          <w:rFonts w:ascii="Calibri" w:hAnsi="Calibri" w:cs="Calibri"/>
          <w:lang w:val="es-ES"/>
        </w:rPr>
        <w:t xml:space="preserve"> </w:t>
      </w:r>
      <w:r w:rsidR="0046227E" w:rsidRPr="001F0CA7">
        <w:rPr>
          <w:rFonts w:ascii="Calibri" w:hAnsi="Calibri" w:cs="Calibri"/>
          <w:lang w:val="es-ES"/>
        </w:rPr>
        <w:t>en las mismas condiciones antes explicadas el servicio satelital y el espectro libre</w:t>
      </w:r>
      <w:r w:rsidR="009156DC" w:rsidRPr="001F0CA7">
        <w:rPr>
          <w:rFonts w:ascii="Calibri" w:hAnsi="Calibri" w:cs="Calibri"/>
          <w:lang w:val="es-ES"/>
        </w:rPr>
        <w:t xml:space="preserve"> podrían coexistir</w:t>
      </w:r>
      <w:r w:rsidR="0046227E" w:rsidRPr="001F0CA7">
        <w:rPr>
          <w:rFonts w:ascii="Calibri" w:hAnsi="Calibri" w:cs="Calibri"/>
          <w:lang w:val="es-ES"/>
        </w:rPr>
        <w:t xml:space="preserve">. Actualmente </w:t>
      </w:r>
      <w:r w:rsidR="005B6C88" w:rsidRPr="001F0CA7">
        <w:rPr>
          <w:rFonts w:ascii="Calibri" w:hAnsi="Calibri" w:cs="Calibri"/>
          <w:lang w:val="es-ES"/>
        </w:rPr>
        <w:t xml:space="preserve">en México </w:t>
      </w:r>
      <w:r w:rsidR="0046227E" w:rsidRPr="001F0CA7">
        <w:rPr>
          <w:rFonts w:ascii="Calibri" w:hAnsi="Calibri" w:cs="Calibri"/>
          <w:lang w:val="es-ES"/>
        </w:rPr>
        <w:t>coexisten en la banda de 6</w:t>
      </w:r>
      <w:r w:rsidR="00193DB1" w:rsidRPr="001F0CA7">
        <w:rPr>
          <w:rFonts w:ascii="Calibri" w:hAnsi="Calibri" w:cs="Calibri"/>
          <w:lang w:val="es-ES"/>
        </w:rPr>
        <w:t xml:space="preserve"> </w:t>
      </w:r>
      <w:r w:rsidR="0046227E" w:rsidRPr="001F0CA7">
        <w:rPr>
          <w:rFonts w:ascii="Calibri" w:hAnsi="Calibri" w:cs="Calibri"/>
          <w:lang w:val="es-ES"/>
        </w:rPr>
        <w:t>GHz los tres tipos de servicios</w:t>
      </w:r>
      <w:r w:rsidR="00D3328C" w:rsidRPr="001F0CA7">
        <w:rPr>
          <w:rFonts w:ascii="Calibri" w:hAnsi="Calibri" w:cs="Calibri"/>
          <w:lang w:val="es-ES"/>
        </w:rPr>
        <w:t>,</w:t>
      </w:r>
      <w:r w:rsidR="0046227E" w:rsidRPr="001F0CA7">
        <w:rPr>
          <w:rFonts w:ascii="Calibri" w:hAnsi="Calibri" w:cs="Calibri"/>
          <w:lang w:val="es-ES"/>
        </w:rPr>
        <w:t xml:space="preserve"> por lo que</w:t>
      </w:r>
      <w:r w:rsidR="00C62293" w:rsidRPr="001F0CA7">
        <w:rPr>
          <w:rFonts w:ascii="Calibri" w:hAnsi="Calibri" w:cs="Calibri"/>
          <w:lang w:val="es-ES"/>
        </w:rPr>
        <w:t>,</w:t>
      </w:r>
      <w:r w:rsidR="0046227E" w:rsidRPr="001F0CA7">
        <w:rPr>
          <w:rFonts w:ascii="Calibri" w:hAnsi="Calibri" w:cs="Calibri"/>
          <w:lang w:val="es-ES"/>
        </w:rPr>
        <w:t xml:space="preserve"> bajo condiciones cuidadosamente analizadas y presentadas</w:t>
      </w:r>
      <w:r w:rsidR="00D3328C" w:rsidRPr="001F0CA7">
        <w:rPr>
          <w:rFonts w:ascii="Calibri" w:hAnsi="Calibri" w:cs="Calibri"/>
          <w:lang w:val="es-ES"/>
        </w:rPr>
        <w:t>,</w:t>
      </w:r>
      <w:r w:rsidR="0046227E" w:rsidRPr="001F0CA7">
        <w:rPr>
          <w:rFonts w:ascii="Calibri" w:hAnsi="Calibri" w:cs="Calibri"/>
          <w:lang w:val="es-ES"/>
        </w:rPr>
        <w:t xml:space="preserve"> el uso de dicha banda como espectro libre podría coexistir con los otros servicios siempre que no estén en la cercanía y en el haz satelital. Es decir, las restricciones de potencia para servicios entrantes deben ser controladas con rigor. </w:t>
      </w:r>
    </w:p>
    <w:p w14:paraId="5720B718" w14:textId="77777777" w:rsidR="00A345F7" w:rsidRPr="001F0CA7" w:rsidRDefault="00A345F7" w:rsidP="001F0CA7">
      <w:pPr>
        <w:pStyle w:val="Prrafodelista"/>
        <w:spacing w:line="276" w:lineRule="auto"/>
        <w:jc w:val="both"/>
        <w:rPr>
          <w:rFonts w:ascii="Calibri" w:hAnsi="Calibri" w:cs="Calibri"/>
          <w:lang w:val="es-ES"/>
        </w:rPr>
      </w:pPr>
    </w:p>
    <w:p w14:paraId="479D705F" w14:textId="5A530F8B" w:rsidR="00F46700" w:rsidRPr="001F0CA7" w:rsidRDefault="005B6C88"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Desde la </w:t>
      </w:r>
      <w:r w:rsidR="00A345F7" w:rsidRPr="001F0CA7">
        <w:rPr>
          <w:rFonts w:ascii="Calibri" w:hAnsi="Calibri" w:cs="Calibri"/>
          <w:lang w:val="es-ES"/>
        </w:rPr>
        <w:t>perspectiva de los proveedores de servicio fijo satelital (SFS), “el despliegue de las RLAN sería posible en toda la banda asignada al SFS a título primario (5925-7125 MHz), siempre que se realice con base en las características técnicas y operativas para la coexistencia con el SFS”. Sin embargo, dejan ver también que “los servicios terrestres que operen en exteriores o con una potencia alta interferirán en la recepción de señales”. De esta forma, los servicios de IMT/5G y WiFi6 en exteriores podrían utilizar el espectro a título secundario siempre y cuando no interfieran con los enlaces de bajada de los SFS</w:t>
      </w:r>
      <w:r w:rsidR="00F46700" w:rsidRPr="001F0CA7">
        <w:rPr>
          <w:rStyle w:val="Refdenotaalpie"/>
          <w:rFonts w:ascii="Calibri" w:hAnsi="Calibri" w:cs="Calibri"/>
          <w:lang w:val="es-ES"/>
        </w:rPr>
        <w:footnoteReference w:id="11"/>
      </w:r>
      <w:r w:rsidR="00A345F7" w:rsidRPr="001F0CA7">
        <w:rPr>
          <w:rFonts w:ascii="Calibri" w:hAnsi="Calibri" w:cs="Calibri"/>
          <w:lang w:val="es-ES"/>
        </w:rPr>
        <w:t xml:space="preserve">. </w:t>
      </w:r>
    </w:p>
    <w:p w14:paraId="7DECC6DF" w14:textId="77777777" w:rsidR="00F46700" w:rsidRPr="001F0CA7" w:rsidRDefault="00F46700" w:rsidP="001F0CA7">
      <w:pPr>
        <w:pStyle w:val="Prrafodelista"/>
        <w:spacing w:line="276" w:lineRule="auto"/>
        <w:jc w:val="both"/>
        <w:rPr>
          <w:rFonts w:ascii="Calibri" w:hAnsi="Calibri" w:cs="Calibri"/>
          <w:lang w:val="es-ES"/>
        </w:rPr>
      </w:pPr>
    </w:p>
    <w:p w14:paraId="1CECE6F4" w14:textId="37D8BC02" w:rsidR="00A345F7" w:rsidRPr="001F0CA7" w:rsidRDefault="00F46700"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P</w:t>
      </w:r>
      <w:r w:rsidR="00CF4AEF" w:rsidRPr="001F0CA7">
        <w:rPr>
          <w:rFonts w:ascii="Calibri" w:hAnsi="Calibri" w:cs="Calibri"/>
          <w:lang w:val="es-ES"/>
        </w:rPr>
        <w:t xml:space="preserve">ara el caso del satélite Bicentenario del Sistema Satelital </w:t>
      </w:r>
      <w:proofErr w:type="spellStart"/>
      <w:r w:rsidR="00CF4AEF" w:rsidRPr="001F0CA7">
        <w:rPr>
          <w:rFonts w:ascii="Calibri" w:hAnsi="Calibri" w:cs="Calibri"/>
          <w:lang w:val="es-ES"/>
        </w:rPr>
        <w:t>Mexsat</w:t>
      </w:r>
      <w:proofErr w:type="spellEnd"/>
      <w:r w:rsidRPr="001F0CA7">
        <w:rPr>
          <w:rStyle w:val="Refdenotaalpie"/>
          <w:rFonts w:ascii="Calibri" w:hAnsi="Calibri" w:cs="Calibri"/>
          <w:lang w:val="es-ES"/>
        </w:rPr>
        <w:footnoteReference w:id="12"/>
      </w:r>
      <w:r w:rsidR="00CF4AEF" w:rsidRPr="001F0CA7">
        <w:rPr>
          <w:rFonts w:ascii="Calibri" w:hAnsi="Calibri" w:cs="Calibri"/>
          <w:lang w:val="es-ES"/>
        </w:rPr>
        <w:t xml:space="preserve"> y </w:t>
      </w:r>
      <w:r w:rsidRPr="001F0CA7">
        <w:rPr>
          <w:rFonts w:ascii="Calibri" w:hAnsi="Calibri" w:cs="Calibri"/>
          <w:lang w:val="es-ES"/>
        </w:rPr>
        <w:t>la realización de los</w:t>
      </w:r>
      <w:r w:rsidR="00CF4AEF" w:rsidRPr="001F0CA7">
        <w:rPr>
          <w:rFonts w:ascii="Calibri" w:hAnsi="Calibri" w:cs="Calibri"/>
          <w:lang w:val="es-ES"/>
        </w:rPr>
        <w:t xml:space="preserve"> estudios</w:t>
      </w:r>
      <w:r w:rsidRPr="001F0CA7">
        <w:rPr>
          <w:rFonts w:ascii="Calibri" w:hAnsi="Calibri" w:cs="Calibri"/>
          <w:lang w:val="es-ES"/>
        </w:rPr>
        <w:t xml:space="preserve"> apropiados</w:t>
      </w:r>
      <w:r w:rsidR="00CF4AEF" w:rsidRPr="001F0CA7">
        <w:rPr>
          <w:rFonts w:ascii="Calibri" w:hAnsi="Calibri" w:cs="Calibri"/>
          <w:lang w:val="es-ES"/>
        </w:rPr>
        <w:t xml:space="preserve"> para determinar la</w:t>
      </w:r>
      <w:r w:rsidR="00EE3F7A" w:rsidRPr="001F0CA7">
        <w:rPr>
          <w:rFonts w:ascii="Calibri" w:hAnsi="Calibri" w:cs="Calibri"/>
          <w:lang w:val="es-ES"/>
        </w:rPr>
        <w:t xml:space="preserve"> viabilidad de</w:t>
      </w:r>
      <w:r w:rsidR="00CF4AEF" w:rsidRPr="001F0CA7">
        <w:rPr>
          <w:rFonts w:ascii="Calibri" w:hAnsi="Calibri" w:cs="Calibri"/>
          <w:lang w:val="es-ES"/>
        </w:rPr>
        <w:t xml:space="preserve"> compartición y compatibilidad con miras a garantizar la protección de los servicios a los que esté atribuida la banda de frecuencias a título primario, sin imponer limitaciones reglamentarias o técnicas adicionales a esos servicios, y también, según proceda, la protección de los servicios en las bandas adyacentes, para las bandas de frecuencias</w:t>
      </w:r>
      <w:r w:rsidR="005B6C88" w:rsidRPr="001F0CA7">
        <w:rPr>
          <w:rFonts w:ascii="Calibri" w:hAnsi="Calibri" w:cs="Calibri"/>
          <w:lang w:val="es-ES"/>
        </w:rPr>
        <w:t xml:space="preserve"> (</w:t>
      </w:r>
      <w:r w:rsidR="00CF4AEF" w:rsidRPr="001F0CA7">
        <w:rPr>
          <w:rFonts w:ascii="Calibri" w:hAnsi="Calibri" w:cs="Calibri"/>
          <w:lang w:val="es-ES"/>
        </w:rPr>
        <w:t xml:space="preserve">3 600-3 800 MHz y 3 300-3 400 MHz </w:t>
      </w:r>
      <w:r w:rsidR="005B6C88" w:rsidRPr="001F0CA7">
        <w:rPr>
          <w:rFonts w:ascii="Calibri" w:hAnsi="Calibri" w:cs="Calibri"/>
          <w:lang w:val="es-ES"/>
        </w:rPr>
        <w:t xml:space="preserve">en la </w:t>
      </w:r>
      <w:r w:rsidR="00CF4AEF" w:rsidRPr="001F0CA7">
        <w:rPr>
          <w:rFonts w:ascii="Calibri" w:hAnsi="Calibri" w:cs="Calibri"/>
          <w:lang w:val="es-ES"/>
        </w:rPr>
        <w:t xml:space="preserve">Región 2), es indispensable asegurar que no se causará un efecto agregado que comprometa o afecte los servicios satelitales que se brindan con el sistema </w:t>
      </w:r>
      <w:proofErr w:type="spellStart"/>
      <w:r w:rsidR="00CF4AEF" w:rsidRPr="001F0CA7">
        <w:rPr>
          <w:rFonts w:ascii="Calibri" w:hAnsi="Calibri" w:cs="Calibri"/>
          <w:lang w:val="es-ES"/>
        </w:rPr>
        <w:t>Mexsat</w:t>
      </w:r>
      <w:proofErr w:type="spellEnd"/>
      <w:r w:rsidR="00CF4AEF" w:rsidRPr="001F0CA7">
        <w:rPr>
          <w:rFonts w:ascii="Calibri" w:hAnsi="Calibri" w:cs="Calibri"/>
          <w:lang w:val="es-ES"/>
        </w:rPr>
        <w:t xml:space="preserve"> para cobertura social y seguridad nacional. </w:t>
      </w:r>
    </w:p>
    <w:p w14:paraId="6574C33B" w14:textId="4B72A8DE" w:rsidR="0046227E" w:rsidRPr="001F0CA7" w:rsidRDefault="0046227E" w:rsidP="001F0CA7">
      <w:pPr>
        <w:spacing w:line="276" w:lineRule="auto"/>
        <w:jc w:val="both"/>
        <w:rPr>
          <w:rFonts w:ascii="Calibri" w:hAnsi="Calibri" w:cs="Calibri"/>
          <w:lang w:val="es-ES"/>
        </w:rPr>
      </w:pPr>
    </w:p>
    <w:p w14:paraId="32BF0EA0" w14:textId="7ABEC6F9" w:rsidR="00A9192F" w:rsidRPr="001F0CA7" w:rsidRDefault="00A9192F"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Tanto IMT / 5G como WIFi6 están </w:t>
      </w:r>
      <w:r w:rsidR="00D36F7B" w:rsidRPr="001F0CA7">
        <w:rPr>
          <w:rFonts w:ascii="Calibri" w:hAnsi="Calibri" w:cs="Calibri"/>
          <w:lang w:val="es-ES"/>
        </w:rPr>
        <w:t>justificando su necesidad de espectro en la promesa de</w:t>
      </w:r>
      <w:r w:rsidRPr="001F0CA7">
        <w:rPr>
          <w:rFonts w:ascii="Calibri" w:hAnsi="Calibri" w:cs="Calibri"/>
          <w:lang w:val="es-ES"/>
        </w:rPr>
        <w:t xml:space="preserve"> un</w:t>
      </w:r>
      <w:r w:rsidR="00B830AF" w:rsidRPr="001F0CA7">
        <w:rPr>
          <w:rFonts w:ascii="Calibri" w:hAnsi="Calibri" w:cs="Calibri"/>
          <w:lang w:val="es-ES"/>
        </w:rPr>
        <w:t>a</w:t>
      </w:r>
      <w:r w:rsidRPr="001F0CA7">
        <w:rPr>
          <w:rFonts w:ascii="Calibri" w:hAnsi="Calibri" w:cs="Calibri"/>
          <w:lang w:val="es-ES"/>
        </w:rPr>
        <w:t xml:space="preserve"> mejor </w:t>
      </w:r>
      <w:r w:rsidR="00B830AF" w:rsidRPr="001F0CA7">
        <w:rPr>
          <w:rFonts w:ascii="Calibri" w:hAnsi="Calibri" w:cs="Calibri"/>
          <w:lang w:val="es-ES"/>
        </w:rPr>
        <w:t xml:space="preserve">experiencia de usuario respecto al </w:t>
      </w:r>
      <w:r w:rsidR="00D36F7B" w:rsidRPr="001F0CA7">
        <w:rPr>
          <w:rFonts w:ascii="Calibri" w:hAnsi="Calibri" w:cs="Calibri"/>
          <w:lang w:val="es-ES"/>
        </w:rPr>
        <w:t>acceso a las redes de datos</w:t>
      </w:r>
      <w:r w:rsidRPr="001F0CA7">
        <w:rPr>
          <w:rFonts w:ascii="Calibri" w:hAnsi="Calibri" w:cs="Calibri"/>
          <w:lang w:val="es-ES"/>
        </w:rPr>
        <w:t xml:space="preserve"> </w:t>
      </w:r>
      <w:r w:rsidR="00D36F7B" w:rsidRPr="001F0CA7">
        <w:rPr>
          <w:rFonts w:ascii="Calibri" w:hAnsi="Calibri" w:cs="Calibri"/>
          <w:lang w:val="es-ES"/>
        </w:rPr>
        <w:t>con</w:t>
      </w:r>
      <w:r w:rsidRPr="001F0CA7">
        <w:rPr>
          <w:rFonts w:ascii="Calibri" w:hAnsi="Calibri" w:cs="Calibri"/>
          <w:lang w:val="es-ES"/>
        </w:rPr>
        <w:t xml:space="preserve"> mayor velocidad de acceso y baja latencia, así como </w:t>
      </w:r>
      <w:r w:rsidR="00B830AF" w:rsidRPr="001F0CA7">
        <w:rPr>
          <w:rFonts w:ascii="Calibri" w:hAnsi="Calibri" w:cs="Calibri"/>
          <w:lang w:val="es-ES"/>
        </w:rPr>
        <w:t xml:space="preserve">la comunicación ininterrumpida entre redes y estándares. </w:t>
      </w:r>
      <w:r w:rsidR="00D36F7B" w:rsidRPr="001F0CA7">
        <w:rPr>
          <w:rFonts w:ascii="Calibri" w:hAnsi="Calibri" w:cs="Calibri"/>
          <w:lang w:val="es-ES"/>
        </w:rPr>
        <w:t xml:space="preserve">Los usuarios en el entorno urbano y rural tienen </w:t>
      </w:r>
      <w:r w:rsidR="005B6C88" w:rsidRPr="001F0CA7">
        <w:rPr>
          <w:rFonts w:ascii="Calibri" w:hAnsi="Calibri" w:cs="Calibri"/>
          <w:lang w:val="es-ES"/>
        </w:rPr>
        <w:t xml:space="preserve">diferentes </w:t>
      </w:r>
      <w:r w:rsidR="00B4009B" w:rsidRPr="001F0CA7">
        <w:rPr>
          <w:rFonts w:ascii="Calibri" w:hAnsi="Calibri" w:cs="Calibri"/>
          <w:lang w:val="es-ES"/>
        </w:rPr>
        <w:t xml:space="preserve">perspectivas de la calidad </w:t>
      </w:r>
      <w:r w:rsidR="00D36F7B" w:rsidRPr="001F0CA7">
        <w:rPr>
          <w:rFonts w:ascii="Calibri" w:hAnsi="Calibri" w:cs="Calibri"/>
          <w:lang w:val="es-ES"/>
        </w:rPr>
        <w:t>del servicio fijo y móvil. Para estos últimos la conexión es una primera condición de calidad antes de la velocidad, latencia y conmutación entre redes. La segunda condición de calidad para los usuarios rurales es la posibilidad de establecer la comunicación y acceso a la información con menor exigencia que el usuario urbano. Si bien e</w:t>
      </w:r>
      <w:r w:rsidR="00B830AF" w:rsidRPr="001F0CA7">
        <w:rPr>
          <w:rFonts w:ascii="Calibri" w:hAnsi="Calibri" w:cs="Calibri"/>
          <w:lang w:val="es-ES"/>
        </w:rPr>
        <w:t xml:space="preserve">l mecanismo de consulta pública permite la participación de los usuarios para expresar sus necesidades y opiniones </w:t>
      </w:r>
      <w:r w:rsidR="009156DC" w:rsidRPr="001F0CA7">
        <w:rPr>
          <w:rFonts w:ascii="Calibri" w:hAnsi="Calibri" w:cs="Calibri"/>
          <w:lang w:val="es-ES"/>
        </w:rPr>
        <w:t xml:space="preserve">sobre </w:t>
      </w:r>
      <w:r w:rsidR="00D36F7B" w:rsidRPr="001F0CA7">
        <w:rPr>
          <w:rFonts w:ascii="Calibri" w:hAnsi="Calibri" w:cs="Calibri"/>
          <w:lang w:val="es-ES"/>
        </w:rPr>
        <w:t>las propuestas regulatorias, es poco probable que las personas que carecen de conectividad puedan expresar estas necesidades</w:t>
      </w:r>
      <w:r w:rsidR="005B6C88" w:rsidRPr="001F0CA7">
        <w:rPr>
          <w:rFonts w:ascii="Calibri" w:hAnsi="Calibri" w:cs="Calibri"/>
          <w:lang w:val="es-ES"/>
        </w:rPr>
        <w:t xml:space="preserve">; el acceso a información </w:t>
      </w:r>
      <w:r w:rsidR="00896C5B" w:rsidRPr="001F0CA7">
        <w:rPr>
          <w:rFonts w:ascii="Calibri" w:hAnsi="Calibri" w:cs="Calibri"/>
          <w:lang w:val="es-ES"/>
        </w:rPr>
        <w:t>en las comunidades rurales es deficiente y la motivación para participar es baja</w:t>
      </w:r>
      <w:r w:rsidR="00D36F7B" w:rsidRPr="001F0CA7">
        <w:rPr>
          <w:rFonts w:ascii="Calibri" w:hAnsi="Calibri" w:cs="Calibri"/>
          <w:lang w:val="es-ES"/>
        </w:rPr>
        <w:t xml:space="preserve"> Por esta razón</w:t>
      </w:r>
      <w:r w:rsidR="00896C5B" w:rsidRPr="001F0CA7">
        <w:rPr>
          <w:rFonts w:ascii="Calibri" w:hAnsi="Calibri" w:cs="Calibri"/>
          <w:lang w:val="es-ES"/>
        </w:rPr>
        <w:t>,</w:t>
      </w:r>
      <w:r w:rsidR="00D36F7B" w:rsidRPr="001F0CA7">
        <w:rPr>
          <w:rFonts w:ascii="Calibri" w:hAnsi="Calibri" w:cs="Calibri"/>
          <w:lang w:val="es-ES"/>
        </w:rPr>
        <w:t xml:space="preserve"> en la primera consulta pública sobre la banda de 6 GHz</w:t>
      </w:r>
      <w:r w:rsidR="00896C5B" w:rsidRPr="001F0CA7">
        <w:rPr>
          <w:rFonts w:ascii="Calibri" w:hAnsi="Calibri" w:cs="Calibri"/>
          <w:lang w:val="es-ES"/>
        </w:rPr>
        <w:t>,</w:t>
      </w:r>
      <w:r w:rsidR="00D36F7B" w:rsidRPr="001F0CA7">
        <w:rPr>
          <w:rFonts w:ascii="Calibri" w:hAnsi="Calibri" w:cs="Calibri"/>
          <w:lang w:val="es-ES"/>
        </w:rPr>
        <w:t xml:space="preserve"> la mayoría de las opiniones expresadas </w:t>
      </w:r>
      <w:r w:rsidR="00896C5B" w:rsidRPr="001F0CA7">
        <w:rPr>
          <w:rFonts w:ascii="Calibri" w:hAnsi="Calibri" w:cs="Calibri"/>
          <w:lang w:val="es-ES"/>
        </w:rPr>
        <w:t xml:space="preserve">fueron </w:t>
      </w:r>
      <w:r w:rsidR="00D36F7B" w:rsidRPr="001F0CA7">
        <w:rPr>
          <w:rFonts w:ascii="Calibri" w:hAnsi="Calibri" w:cs="Calibri"/>
          <w:lang w:val="es-ES"/>
        </w:rPr>
        <w:t xml:space="preserve">de </w:t>
      </w:r>
      <w:r w:rsidR="00B830AF" w:rsidRPr="001F0CA7">
        <w:rPr>
          <w:rFonts w:ascii="Calibri" w:hAnsi="Calibri" w:cs="Calibri"/>
          <w:lang w:val="es-ES"/>
        </w:rPr>
        <w:t xml:space="preserve">operadores, fabricantes, concesionarios y autorizados. </w:t>
      </w:r>
    </w:p>
    <w:p w14:paraId="18A76424" w14:textId="68B97CA9" w:rsidR="00B830AF" w:rsidRPr="001F0CA7" w:rsidRDefault="00B830AF" w:rsidP="001F0CA7">
      <w:pPr>
        <w:spacing w:line="276" w:lineRule="auto"/>
        <w:jc w:val="both"/>
        <w:rPr>
          <w:rFonts w:ascii="Calibri" w:hAnsi="Calibri" w:cs="Calibri"/>
          <w:lang w:val="es-ES"/>
        </w:rPr>
      </w:pPr>
    </w:p>
    <w:p w14:paraId="435CFA6A" w14:textId="697E1C92" w:rsidR="00081804" w:rsidRPr="001F0CA7" w:rsidRDefault="000D0121"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En el corto plazo e</w:t>
      </w:r>
      <w:r w:rsidR="00057EBA" w:rsidRPr="001F0CA7">
        <w:rPr>
          <w:rFonts w:ascii="Calibri" w:hAnsi="Calibri" w:cs="Calibri"/>
          <w:lang w:val="es-ES"/>
        </w:rPr>
        <w:t xml:space="preserve">s inevitable que el usuario final utilice un equipo para el acceso a las redes datos con WiFi6 </w:t>
      </w:r>
      <w:r w:rsidRPr="001F0CA7">
        <w:rPr>
          <w:rFonts w:ascii="Calibri" w:hAnsi="Calibri" w:cs="Calibri"/>
          <w:lang w:val="es-ES"/>
        </w:rPr>
        <w:t>en una red local</w:t>
      </w:r>
      <w:r w:rsidR="00057EBA" w:rsidRPr="001F0CA7">
        <w:rPr>
          <w:rFonts w:ascii="Calibri" w:hAnsi="Calibri" w:cs="Calibri"/>
          <w:lang w:val="es-ES"/>
        </w:rPr>
        <w:t>. El avance en el diseño y fabricación de equipos con esa capacidad rebasará a la regulación por la velocidad de respuesta de esta última a los cambios tecnológicos acelerado</w:t>
      </w:r>
      <w:r w:rsidR="00D3328C" w:rsidRPr="001F0CA7">
        <w:rPr>
          <w:rFonts w:ascii="Calibri" w:hAnsi="Calibri" w:cs="Calibri"/>
          <w:lang w:val="es-ES"/>
        </w:rPr>
        <w:t>s</w:t>
      </w:r>
      <w:r w:rsidR="00057EBA" w:rsidRPr="001F0CA7">
        <w:rPr>
          <w:rFonts w:ascii="Calibri" w:hAnsi="Calibri" w:cs="Calibri"/>
          <w:lang w:val="es-ES"/>
        </w:rPr>
        <w:t>.</w:t>
      </w:r>
      <w:r w:rsidR="00081804" w:rsidRPr="001F0CA7">
        <w:rPr>
          <w:rFonts w:ascii="Calibri" w:hAnsi="Calibri" w:cs="Calibri"/>
          <w:lang w:val="es-ES"/>
        </w:rPr>
        <w:t xml:space="preserve"> </w:t>
      </w:r>
    </w:p>
    <w:p w14:paraId="45137461" w14:textId="77777777" w:rsidR="00081804" w:rsidRPr="001F0CA7" w:rsidRDefault="00081804" w:rsidP="001F0CA7">
      <w:pPr>
        <w:spacing w:line="276" w:lineRule="auto"/>
        <w:jc w:val="both"/>
        <w:rPr>
          <w:rFonts w:ascii="Calibri" w:hAnsi="Calibri" w:cs="Calibri"/>
          <w:lang w:val="es-ES"/>
        </w:rPr>
      </w:pPr>
    </w:p>
    <w:p w14:paraId="240C8E56" w14:textId="67EB3834" w:rsidR="00057EBA" w:rsidRPr="001F0CA7" w:rsidRDefault="00081804"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El papel que juegan los </w:t>
      </w:r>
      <w:r w:rsidR="00D14018" w:rsidRPr="001F0CA7">
        <w:rPr>
          <w:rFonts w:ascii="Calibri" w:hAnsi="Calibri" w:cs="Calibri"/>
          <w:lang w:val="es-ES"/>
        </w:rPr>
        <w:t>micro, pequeños y medianos</w:t>
      </w:r>
      <w:r w:rsidRPr="001F0CA7">
        <w:rPr>
          <w:rFonts w:ascii="Calibri" w:hAnsi="Calibri" w:cs="Calibri"/>
          <w:lang w:val="es-ES"/>
        </w:rPr>
        <w:t xml:space="preserve"> proveedores de acceso a </w:t>
      </w:r>
      <w:r w:rsidR="00D3328C" w:rsidRPr="001F0CA7">
        <w:rPr>
          <w:rFonts w:ascii="Calibri" w:hAnsi="Calibri" w:cs="Calibri"/>
          <w:lang w:val="es-ES"/>
        </w:rPr>
        <w:t>i</w:t>
      </w:r>
      <w:r w:rsidRPr="001F0CA7">
        <w:rPr>
          <w:rFonts w:ascii="Calibri" w:hAnsi="Calibri" w:cs="Calibri"/>
          <w:lang w:val="es-ES"/>
        </w:rPr>
        <w:t xml:space="preserve">nternet a través de redes RAN está resolviendo una problemática social en aquellas localidades donde el servicio satelital es caro, la telefonía tiene retos de despliegue de infraestructura y las necesidades de comunicación son satisfechas con acceso a redes de alcance limitado y calidad </w:t>
      </w:r>
      <w:r w:rsidR="00D3328C" w:rsidRPr="001F0CA7">
        <w:rPr>
          <w:rFonts w:ascii="Calibri" w:hAnsi="Calibri" w:cs="Calibri"/>
          <w:lang w:val="es-ES"/>
        </w:rPr>
        <w:t>in</w:t>
      </w:r>
      <w:r w:rsidRPr="001F0CA7">
        <w:rPr>
          <w:rFonts w:ascii="Calibri" w:hAnsi="Calibri" w:cs="Calibri"/>
          <w:lang w:val="es-ES"/>
        </w:rPr>
        <w:t xml:space="preserve">suficiente para el usuario. La mayor limitante de estas redes es la carencia de espectro para el transporte de datos desde las redes de alta capacidad a las redes de servicio municipal. </w:t>
      </w:r>
      <w:r w:rsidR="00C62293" w:rsidRPr="001F0CA7">
        <w:rPr>
          <w:rFonts w:ascii="Calibri" w:hAnsi="Calibri" w:cs="Calibri"/>
          <w:lang w:val="es-ES"/>
        </w:rPr>
        <w:t xml:space="preserve">Para </w:t>
      </w:r>
      <w:r w:rsidRPr="001F0CA7">
        <w:rPr>
          <w:rFonts w:ascii="Calibri" w:hAnsi="Calibri" w:cs="Calibri"/>
          <w:lang w:val="es-ES"/>
        </w:rPr>
        <w:t xml:space="preserve">entregar servicios con la rapidez y flexibilidad esperada están utilizando espectro de uso libre. Sin embargo, el resto del sector considera que es un tipo de distorsión del entorno </w:t>
      </w:r>
      <w:r w:rsidR="00193DB1" w:rsidRPr="001F0CA7">
        <w:rPr>
          <w:rFonts w:ascii="Calibri" w:hAnsi="Calibri" w:cs="Calibri"/>
          <w:lang w:val="es-ES"/>
        </w:rPr>
        <w:t>competitivo. Los</w:t>
      </w:r>
      <w:r w:rsidRPr="001F0CA7">
        <w:rPr>
          <w:rFonts w:ascii="Calibri" w:hAnsi="Calibri" w:cs="Calibri"/>
          <w:lang w:val="es-ES"/>
        </w:rPr>
        <w:t xml:space="preserve"> operadores del sector </w:t>
      </w:r>
      <w:r w:rsidR="00193DB1" w:rsidRPr="001F0CA7">
        <w:rPr>
          <w:rFonts w:ascii="Calibri" w:hAnsi="Calibri" w:cs="Calibri"/>
          <w:lang w:val="es-ES"/>
        </w:rPr>
        <w:t xml:space="preserve">con </w:t>
      </w:r>
      <w:r w:rsidR="00B4009B" w:rsidRPr="001F0CA7">
        <w:rPr>
          <w:rFonts w:ascii="Calibri" w:hAnsi="Calibri" w:cs="Calibri"/>
          <w:lang w:val="es-ES"/>
        </w:rPr>
        <w:t>mayor participación del mercado</w:t>
      </w:r>
      <w:r w:rsidR="00193DB1" w:rsidRPr="001F0CA7">
        <w:rPr>
          <w:rFonts w:ascii="Calibri" w:hAnsi="Calibri" w:cs="Calibri"/>
          <w:lang w:val="es-ES"/>
        </w:rPr>
        <w:t xml:space="preserve"> </w:t>
      </w:r>
      <w:r w:rsidRPr="001F0CA7">
        <w:rPr>
          <w:rFonts w:ascii="Calibri" w:hAnsi="Calibri" w:cs="Calibri"/>
          <w:lang w:val="es-ES"/>
        </w:rPr>
        <w:t xml:space="preserve">aún no han demostrado </w:t>
      </w:r>
      <w:r w:rsidR="00193DB1" w:rsidRPr="001F0CA7">
        <w:rPr>
          <w:rFonts w:ascii="Calibri" w:hAnsi="Calibri" w:cs="Calibri"/>
          <w:lang w:val="es-ES"/>
        </w:rPr>
        <w:t>que exista un</w:t>
      </w:r>
      <w:r w:rsidRPr="001F0CA7">
        <w:rPr>
          <w:rFonts w:ascii="Calibri" w:hAnsi="Calibri" w:cs="Calibri"/>
          <w:lang w:val="es-ES"/>
        </w:rPr>
        <w:t xml:space="preserve"> impacto económico</w:t>
      </w:r>
      <w:r w:rsidR="00193DB1" w:rsidRPr="001F0CA7">
        <w:rPr>
          <w:rFonts w:ascii="Calibri" w:hAnsi="Calibri" w:cs="Calibri"/>
          <w:lang w:val="es-ES"/>
        </w:rPr>
        <w:t xml:space="preserve"> negativo significativo de la operación de </w:t>
      </w:r>
      <w:r w:rsidRPr="001F0CA7">
        <w:rPr>
          <w:rFonts w:ascii="Calibri" w:hAnsi="Calibri" w:cs="Calibri"/>
          <w:lang w:val="es-ES"/>
        </w:rPr>
        <w:t>redes de acceso inalámbrico</w:t>
      </w:r>
      <w:r w:rsidR="00193DB1" w:rsidRPr="001F0CA7">
        <w:rPr>
          <w:rFonts w:ascii="Calibri" w:hAnsi="Calibri" w:cs="Calibri"/>
          <w:lang w:val="es-ES"/>
        </w:rPr>
        <w:t xml:space="preserve"> a nivel de localidad. Por otra parte, los</w:t>
      </w:r>
      <w:r w:rsidR="00D14018" w:rsidRPr="001F0CA7">
        <w:rPr>
          <w:rFonts w:ascii="Calibri" w:hAnsi="Calibri" w:cs="Calibri"/>
          <w:lang w:val="es-ES"/>
        </w:rPr>
        <w:t xml:space="preserve"> micro, pequeños y medianos proveedores s</w:t>
      </w:r>
      <w:r w:rsidR="00C62293" w:rsidRPr="001F0CA7">
        <w:rPr>
          <w:rFonts w:ascii="Calibri" w:hAnsi="Calibri" w:cs="Calibri"/>
          <w:lang w:val="es-ES"/>
        </w:rPr>
        <w:t>í</w:t>
      </w:r>
      <w:r w:rsidR="00D14018" w:rsidRPr="001F0CA7">
        <w:rPr>
          <w:rFonts w:ascii="Calibri" w:hAnsi="Calibri" w:cs="Calibri"/>
          <w:lang w:val="es-ES"/>
        </w:rPr>
        <w:t xml:space="preserve"> están demostrando el impacto social de las redes que operan a un menor costo</w:t>
      </w:r>
      <w:r w:rsidR="00F219F2" w:rsidRPr="001F0CA7">
        <w:rPr>
          <w:rStyle w:val="Refdenotaalpie"/>
          <w:rFonts w:ascii="Calibri" w:hAnsi="Calibri" w:cs="Calibri"/>
          <w:lang w:val="es-ES"/>
        </w:rPr>
        <w:footnoteReference w:id="13"/>
      </w:r>
      <w:r w:rsidR="00D14018" w:rsidRPr="001F0CA7">
        <w:rPr>
          <w:rFonts w:ascii="Calibri" w:hAnsi="Calibri" w:cs="Calibri"/>
          <w:lang w:val="es-ES"/>
        </w:rPr>
        <w:t xml:space="preserve">. </w:t>
      </w:r>
    </w:p>
    <w:p w14:paraId="3FE0F4E2" w14:textId="341F4922" w:rsidR="00D14018" w:rsidRPr="001F0CA7" w:rsidRDefault="00D14018" w:rsidP="001F0CA7">
      <w:pPr>
        <w:spacing w:line="276" w:lineRule="auto"/>
        <w:jc w:val="both"/>
        <w:rPr>
          <w:rFonts w:ascii="Calibri" w:hAnsi="Calibri" w:cs="Calibri"/>
          <w:lang w:val="es-ES"/>
        </w:rPr>
      </w:pPr>
    </w:p>
    <w:p w14:paraId="6DF04A38" w14:textId="2E47ABA3" w:rsidR="00057EBA" w:rsidRDefault="00D14018" w:rsidP="005B63AD">
      <w:pPr>
        <w:pStyle w:val="Prrafodelista"/>
        <w:numPr>
          <w:ilvl w:val="0"/>
          <w:numId w:val="6"/>
        </w:numPr>
        <w:spacing w:line="276" w:lineRule="auto"/>
        <w:jc w:val="both"/>
        <w:rPr>
          <w:rFonts w:ascii="Calibri" w:hAnsi="Calibri" w:cs="Calibri"/>
          <w:lang w:val="es-ES"/>
        </w:rPr>
      </w:pPr>
      <w:r w:rsidRPr="001F0CA7">
        <w:rPr>
          <w:rFonts w:ascii="Calibri" w:hAnsi="Calibri" w:cs="Calibri"/>
          <w:lang w:val="es-ES"/>
        </w:rPr>
        <w:t xml:space="preserve">La consulta pública realizada </w:t>
      </w:r>
      <w:r w:rsidR="00896C5B" w:rsidRPr="001F0CA7">
        <w:rPr>
          <w:rFonts w:ascii="Calibri" w:hAnsi="Calibri" w:cs="Calibri"/>
          <w:lang w:val="es-ES"/>
        </w:rPr>
        <w:t xml:space="preserve">por el IFT </w:t>
      </w:r>
      <w:r w:rsidRPr="001F0CA7">
        <w:rPr>
          <w:rFonts w:ascii="Calibri" w:hAnsi="Calibri" w:cs="Calibri"/>
          <w:lang w:val="es-ES"/>
        </w:rPr>
        <w:t xml:space="preserve">el </w:t>
      </w:r>
      <w:r w:rsidR="002C0D85" w:rsidRPr="001F0CA7">
        <w:rPr>
          <w:rFonts w:ascii="Calibri" w:hAnsi="Calibri" w:cs="Calibri"/>
          <w:lang w:val="es-ES"/>
        </w:rPr>
        <w:t>6 de noviembre de 2020</w:t>
      </w:r>
      <w:r w:rsidRPr="001F0CA7">
        <w:rPr>
          <w:rFonts w:ascii="Calibri" w:hAnsi="Calibri" w:cs="Calibri"/>
          <w:lang w:val="es-ES"/>
        </w:rPr>
        <w:t xml:space="preserve"> deja ver muchos de los retos regulatorios que deberá afrontar </w:t>
      </w:r>
      <w:r w:rsidR="00665429" w:rsidRPr="001F0CA7">
        <w:rPr>
          <w:rFonts w:ascii="Calibri" w:hAnsi="Calibri" w:cs="Calibri"/>
          <w:lang w:val="es-ES"/>
        </w:rPr>
        <w:t xml:space="preserve">la institución </w:t>
      </w:r>
      <w:r w:rsidRPr="001F0CA7">
        <w:rPr>
          <w:rFonts w:ascii="Calibri" w:hAnsi="Calibri" w:cs="Calibri"/>
          <w:lang w:val="es-ES"/>
        </w:rPr>
        <w:t>para abonar al desarrollo nacional. También nos muestra el estado del diálogo y el contraste del discurso entre todos los interesados en la banda de 6</w:t>
      </w:r>
      <w:r w:rsidR="00193DB1" w:rsidRPr="001F0CA7">
        <w:rPr>
          <w:rFonts w:ascii="Calibri" w:hAnsi="Calibri" w:cs="Calibri"/>
          <w:lang w:val="es-ES"/>
        </w:rPr>
        <w:t xml:space="preserve"> </w:t>
      </w:r>
      <w:r w:rsidRPr="001F0CA7">
        <w:rPr>
          <w:rFonts w:ascii="Calibri" w:hAnsi="Calibri" w:cs="Calibri"/>
          <w:lang w:val="es-ES"/>
        </w:rPr>
        <w:t xml:space="preserve">GHz. La adopción de una visión de múltiples partes interesadas puede traer eficiencia a este diálogo y facilitar la tarea al regulador. </w:t>
      </w:r>
    </w:p>
    <w:p w14:paraId="53ADE402" w14:textId="77777777" w:rsidR="005B63AD" w:rsidRPr="005B63AD" w:rsidRDefault="005B63AD" w:rsidP="005B63AD">
      <w:pPr>
        <w:pStyle w:val="Prrafodelista"/>
        <w:rPr>
          <w:rFonts w:ascii="Calibri" w:hAnsi="Calibri" w:cs="Calibri"/>
          <w:lang w:val="es-ES"/>
        </w:rPr>
      </w:pPr>
    </w:p>
    <w:p w14:paraId="0E905F8A" w14:textId="3B0EE821" w:rsidR="005B63AD" w:rsidRPr="005B63AD" w:rsidRDefault="005B63AD" w:rsidP="005B63AD">
      <w:pPr>
        <w:pStyle w:val="Prrafodelista"/>
        <w:spacing w:line="276" w:lineRule="auto"/>
        <w:ind w:left="0"/>
        <w:jc w:val="both"/>
        <w:rPr>
          <w:rFonts w:ascii="Calibri" w:hAnsi="Calibri" w:cs="Calibri"/>
          <w:b/>
          <w:bCs/>
          <w:lang w:val="es-ES"/>
        </w:rPr>
      </w:pPr>
      <w:r w:rsidRPr="005B63AD">
        <w:rPr>
          <w:rFonts w:ascii="Calibri" w:hAnsi="Calibri" w:cs="Calibri"/>
          <w:b/>
          <w:bCs/>
          <w:lang w:val="es-ES"/>
        </w:rPr>
        <w:t>II.</w:t>
      </w:r>
      <w:r w:rsidRPr="005B63AD">
        <w:rPr>
          <w:rFonts w:ascii="Calibri" w:hAnsi="Calibri" w:cs="Calibri"/>
          <w:b/>
          <w:bCs/>
          <w:lang w:val="es-ES"/>
        </w:rPr>
        <w:tab/>
      </w:r>
      <w:r w:rsidRPr="005B63AD">
        <w:rPr>
          <w:rFonts w:ascii="Calibri" w:hAnsi="Calibri" w:cs="Calibri"/>
          <w:b/>
          <w:bCs/>
          <w:u w:val="single"/>
          <w:lang w:val="es-ES"/>
        </w:rPr>
        <w:t>Recomendaciones</w:t>
      </w:r>
    </w:p>
    <w:p w14:paraId="5313532A" w14:textId="276A5205" w:rsidR="007F0490" w:rsidRPr="001F0CA7" w:rsidRDefault="007F0490" w:rsidP="001F0CA7">
      <w:pPr>
        <w:spacing w:line="276" w:lineRule="auto"/>
        <w:jc w:val="both"/>
        <w:rPr>
          <w:rFonts w:ascii="Calibri" w:hAnsi="Calibri" w:cs="Calibri"/>
          <w:lang w:val="es-ES"/>
        </w:rPr>
      </w:pPr>
    </w:p>
    <w:p w14:paraId="34D9428A" w14:textId="6771C63C" w:rsidR="007F0490" w:rsidRPr="001F0CA7" w:rsidRDefault="001415CB" w:rsidP="001F0CA7">
      <w:pPr>
        <w:spacing w:line="276" w:lineRule="auto"/>
        <w:jc w:val="both"/>
        <w:rPr>
          <w:rFonts w:ascii="Calibri" w:hAnsi="Calibri" w:cs="Calibri"/>
          <w:lang w:val="es-ES"/>
        </w:rPr>
      </w:pPr>
      <w:r w:rsidRPr="001F0CA7">
        <w:rPr>
          <w:rFonts w:ascii="Calibri" w:hAnsi="Calibri" w:cs="Calibri"/>
          <w:lang w:val="es-ES"/>
        </w:rPr>
        <w:t>Este V Consejo Consultivo del Instituto Federal de Telecomunicaciones r</w:t>
      </w:r>
      <w:r w:rsidR="007F0490" w:rsidRPr="001F0CA7">
        <w:rPr>
          <w:rFonts w:ascii="Calibri" w:hAnsi="Calibri" w:cs="Calibri"/>
          <w:lang w:val="es-ES"/>
        </w:rPr>
        <w:t xml:space="preserve">ecomienda </w:t>
      </w:r>
      <w:r w:rsidRPr="001F0CA7">
        <w:rPr>
          <w:rFonts w:ascii="Calibri" w:hAnsi="Calibri" w:cs="Calibri"/>
          <w:lang w:val="es-ES"/>
        </w:rPr>
        <w:t xml:space="preserve">al Pleno </w:t>
      </w:r>
      <w:r w:rsidR="007F0490" w:rsidRPr="001F0CA7">
        <w:rPr>
          <w:rFonts w:ascii="Calibri" w:hAnsi="Calibri" w:cs="Calibri"/>
          <w:lang w:val="es-ES"/>
        </w:rPr>
        <w:t>que:</w:t>
      </w:r>
    </w:p>
    <w:p w14:paraId="7723451A" w14:textId="1F1EEC89" w:rsidR="00D14018" w:rsidRPr="001F0CA7" w:rsidRDefault="00D14018" w:rsidP="001F0CA7">
      <w:pPr>
        <w:spacing w:line="276" w:lineRule="auto"/>
        <w:jc w:val="both"/>
        <w:rPr>
          <w:rFonts w:ascii="Calibri" w:hAnsi="Calibri" w:cs="Calibri"/>
          <w:lang w:val="es-ES"/>
        </w:rPr>
      </w:pPr>
    </w:p>
    <w:p w14:paraId="4CEEF979" w14:textId="1A197650" w:rsidR="00181125" w:rsidRDefault="00383CF8" w:rsidP="001F0CA7">
      <w:pPr>
        <w:pStyle w:val="Prrafodelista"/>
        <w:numPr>
          <w:ilvl w:val="0"/>
          <w:numId w:val="2"/>
        </w:numPr>
        <w:spacing w:line="276" w:lineRule="auto"/>
        <w:jc w:val="both"/>
        <w:rPr>
          <w:rFonts w:ascii="Calibri" w:hAnsi="Calibri" w:cs="Calibri"/>
          <w:lang w:val="es-ES"/>
        </w:rPr>
      </w:pPr>
      <w:r w:rsidRPr="001F0CA7">
        <w:rPr>
          <w:rFonts w:ascii="Calibri" w:hAnsi="Calibri" w:cs="Calibri"/>
          <w:lang w:val="es-ES"/>
        </w:rPr>
        <w:t>En la r</w:t>
      </w:r>
      <w:r w:rsidR="00D14018" w:rsidRPr="001F0CA7">
        <w:rPr>
          <w:rFonts w:ascii="Calibri" w:hAnsi="Calibri" w:cs="Calibri"/>
          <w:lang w:val="es-ES"/>
        </w:rPr>
        <w:t>egul</w:t>
      </w:r>
      <w:r w:rsidR="00982DFE" w:rsidRPr="001F0CA7">
        <w:rPr>
          <w:rFonts w:ascii="Calibri" w:hAnsi="Calibri" w:cs="Calibri"/>
          <w:lang w:val="es-ES"/>
        </w:rPr>
        <w:t>a</w:t>
      </w:r>
      <w:r w:rsidRPr="001F0CA7">
        <w:rPr>
          <w:rFonts w:ascii="Calibri" w:hAnsi="Calibri" w:cs="Calibri"/>
          <w:lang w:val="es-ES"/>
        </w:rPr>
        <w:t>ción</w:t>
      </w:r>
      <w:r w:rsidR="00D14018" w:rsidRPr="001F0CA7">
        <w:rPr>
          <w:rFonts w:ascii="Calibri" w:hAnsi="Calibri" w:cs="Calibri"/>
          <w:lang w:val="es-ES"/>
        </w:rPr>
        <w:t xml:space="preserve"> </w:t>
      </w:r>
      <w:r w:rsidRPr="001F0CA7">
        <w:rPr>
          <w:rFonts w:ascii="Calibri" w:hAnsi="Calibri" w:cs="Calibri"/>
          <w:lang w:val="es-ES"/>
        </w:rPr>
        <w:t>d</w:t>
      </w:r>
      <w:r w:rsidR="00D14018" w:rsidRPr="001F0CA7">
        <w:rPr>
          <w:rFonts w:ascii="Calibri" w:hAnsi="Calibri" w:cs="Calibri"/>
          <w:lang w:val="es-ES"/>
        </w:rPr>
        <w:t>el uso y aprovechamiento de la banda de 6 GHz (</w:t>
      </w:r>
      <w:r w:rsidR="00D14018" w:rsidRPr="001F0CA7">
        <w:rPr>
          <w:rFonts w:ascii="Calibri" w:hAnsi="Calibri" w:cs="Calibri"/>
        </w:rPr>
        <w:t>5.925–7.125 GHz</w:t>
      </w:r>
      <w:r w:rsidR="00D14018" w:rsidRPr="001F0CA7">
        <w:rPr>
          <w:rFonts w:ascii="Calibri" w:hAnsi="Calibri" w:cs="Calibri"/>
          <w:lang w:val="es-ES"/>
        </w:rPr>
        <w:t>)</w:t>
      </w:r>
      <w:r w:rsidR="00982DFE" w:rsidRPr="001F0CA7">
        <w:rPr>
          <w:rFonts w:ascii="Calibri" w:hAnsi="Calibri" w:cs="Calibri"/>
          <w:lang w:val="es-ES"/>
        </w:rPr>
        <w:t>,</w:t>
      </w:r>
      <w:r w:rsidR="00D14018" w:rsidRPr="001F0CA7">
        <w:rPr>
          <w:rFonts w:ascii="Calibri" w:hAnsi="Calibri" w:cs="Calibri"/>
          <w:lang w:val="es-ES"/>
        </w:rPr>
        <w:t xml:space="preserve"> </w:t>
      </w:r>
      <w:r w:rsidR="00982DFE" w:rsidRPr="001F0CA7">
        <w:rPr>
          <w:rFonts w:ascii="Calibri" w:hAnsi="Calibri" w:cs="Calibri"/>
          <w:lang w:val="es-ES"/>
        </w:rPr>
        <w:t xml:space="preserve">se favorezcan </w:t>
      </w:r>
      <w:r w:rsidR="00D14018" w:rsidRPr="001F0CA7">
        <w:rPr>
          <w:rFonts w:ascii="Calibri" w:hAnsi="Calibri" w:cs="Calibri"/>
          <w:lang w:val="es-ES"/>
        </w:rPr>
        <w:t xml:space="preserve">aquellas tecnologías que aporten </w:t>
      </w:r>
      <w:r w:rsidR="00F46700" w:rsidRPr="001F0CA7">
        <w:rPr>
          <w:rFonts w:ascii="Calibri" w:hAnsi="Calibri" w:cs="Calibri"/>
          <w:lang w:val="es-ES"/>
        </w:rPr>
        <w:t xml:space="preserve">el </w:t>
      </w:r>
      <w:r w:rsidR="00D14018" w:rsidRPr="001F0CA7">
        <w:rPr>
          <w:rFonts w:ascii="Calibri" w:hAnsi="Calibri" w:cs="Calibri"/>
          <w:lang w:val="es-ES"/>
        </w:rPr>
        <w:t>mayor beneficio social</w:t>
      </w:r>
      <w:r w:rsidR="00D93884" w:rsidRPr="001F0CA7">
        <w:rPr>
          <w:rFonts w:ascii="Calibri" w:hAnsi="Calibri" w:cs="Calibri"/>
          <w:lang w:val="es-ES"/>
        </w:rPr>
        <w:t xml:space="preserve"> (como se ha </w:t>
      </w:r>
      <w:r w:rsidR="009156DC" w:rsidRPr="001F0CA7">
        <w:rPr>
          <w:rFonts w:ascii="Calibri" w:hAnsi="Calibri" w:cs="Calibri"/>
          <w:lang w:val="es-ES"/>
        </w:rPr>
        <w:t xml:space="preserve">expuesto </w:t>
      </w:r>
      <w:r w:rsidR="00D93884" w:rsidRPr="001F0CA7">
        <w:rPr>
          <w:rFonts w:ascii="Calibri" w:hAnsi="Calibri" w:cs="Calibri"/>
          <w:lang w:val="es-ES"/>
        </w:rPr>
        <w:t>en el primer considerando de esta recomendación)</w:t>
      </w:r>
      <w:r w:rsidR="00D14018" w:rsidRPr="001F0CA7">
        <w:rPr>
          <w:rFonts w:ascii="Calibri" w:hAnsi="Calibri" w:cs="Calibri"/>
          <w:lang w:val="es-ES"/>
        </w:rPr>
        <w:t xml:space="preserve"> y </w:t>
      </w:r>
      <w:r w:rsidR="00D93884" w:rsidRPr="001F0CA7">
        <w:rPr>
          <w:rFonts w:ascii="Calibri" w:hAnsi="Calibri" w:cs="Calibri"/>
          <w:lang w:val="es-ES"/>
        </w:rPr>
        <w:t>d</w:t>
      </w:r>
      <w:r w:rsidR="009156DC" w:rsidRPr="001F0CA7">
        <w:rPr>
          <w:rFonts w:ascii="Calibri" w:hAnsi="Calibri" w:cs="Calibri"/>
          <w:lang w:val="es-ES"/>
        </w:rPr>
        <w:t>é</w:t>
      </w:r>
      <w:r w:rsidR="00D93884" w:rsidRPr="001F0CA7">
        <w:rPr>
          <w:rFonts w:ascii="Calibri" w:hAnsi="Calibri" w:cs="Calibri"/>
          <w:lang w:val="es-ES"/>
        </w:rPr>
        <w:t xml:space="preserve"> </w:t>
      </w:r>
      <w:r w:rsidR="00D14018" w:rsidRPr="001F0CA7">
        <w:rPr>
          <w:rFonts w:ascii="Calibri" w:hAnsi="Calibri" w:cs="Calibri"/>
          <w:lang w:val="es-ES"/>
        </w:rPr>
        <w:t>solución a los problemas de comunicación</w:t>
      </w:r>
      <w:r w:rsidR="00D3328C" w:rsidRPr="001F0CA7">
        <w:rPr>
          <w:rFonts w:ascii="Calibri" w:hAnsi="Calibri" w:cs="Calibri"/>
          <w:lang w:val="es-ES"/>
        </w:rPr>
        <w:t>,</w:t>
      </w:r>
      <w:r w:rsidR="00D14018" w:rsidRPr="001F0CA7">
        <w:rPr>
          <w:rFonts w:ascii="Calibri" w:hAnsi="Calibri" w:cs="Calibri"/>
          <w:lang w:val="es-ES"/>
        </w:rPr>
        <w:t xml:space="preserve"> como la conectividad de las personas menos favorecidas</w:t>
      </w:r>
      <w:r w:rsidR="00D3328C" w:rsidRPr="001F0CA7">
        <w:rPr>
          <w:rFonts w:ascii="Calibri" w:hAnsi="Calibri" w:cs="Calibri"/>
          <w:lang w:val="es-ES"/>
        </w:rPr>
        <w:t>,</w:t>
      </w:r>
      <w:r w:rsidR="00D14018" w:rsidRPr="001F0CA7">
        <w:rPr>
          <w:rFonts w:ascii="Calibri" w:hAnsi="Calibri" w:cs="Calibri"/>
          <w:lang w:val="es-ES"/>
        </w:rPr>
        <w:t xml:space="preserve"> sin dejar de lado el contexto mundial y regional en lo tecnológico y económico.</w:t>
      </w:r>
    </w:p>
    <w:p w14:paraId="5DDCA22B" w14:textId="77777777" w:rsidR="007533B9" w:rsidRPr="001F0CA7" w:rsidRDefault="007533B9" w:rsidP="007533B9">
      <w:pPr>
        <w:pStyle w:val="Prrafodelista"/>
        <w:spacing w:line="276" w:lineRule="auto"/>
        <w:jc w:val="both"/>
        <w:rPr>
          <w:rFonts w:ascii="Calibri" w:hAnsi="Calibri" w:cs="Calibri"/>
          <w:lang w:val="es-ES"/>
        </w:rPr>
      </w:pPr>
    </w:p>
    <w:p w14:paraId="08CE54F8" w14:textId="744633EB" w:rsidR="00BC4F43" w:rsidRDefault="00181125" w:rsidP="001F0CA7">
      <w:pPr>
        <w:pStyle w:val="Prrafodelista"/>
        <w:numPr>
          <w:ilvl w:val="0"/>
          <w:numId w:val="2"/>
        </w:numPr>
        <w:spacing w:line="276" w:lineRule="auto"/>
        <w:jc w:val="both"/>
        <w:rPr>
          <w:rFonts w:ascii="Calibri" w:hAnsi="Calibri" w:cs="Calibri"/>
          <w:lang w:val="es-ES"/>
        </w:rPr>
      </w:pPr>
      <w:r w:rsidRPr="001F0CA7">
        <w:rPr>
          <w:rFonts w:ascii="Calibri" w:hAnsi="Calibri" w:cs="Calibri"/>
          <w:lang w:val="es-ES"/>
        </w:rPr>
        <w:t>Haga un llamado al diálogo de las múltiples partes interesadas para exponer sus intereses, planes y beneficios en el contexto de la regulación que están esperando por parte del Instituto. Más allá de la consulta pública que deja un testimonio documental</w:t>
      </w:r>
      <w:r w:rsidR="00B454A9" w:rsidRPr="001F0CA7">
        <w:rPr>
          <w:rFonts w:ascii="Calibri" w:hAnsi="Calibri" w:cs="Calibri"/>
          <w:lang w:val="es-ES"/>
        </w:rPr>
        <w:t>,</w:t>
      </w:r>
      <w:r w:rsidRPr="001F0CA7">
        <w:rPr>
          <w:rFonts w:ascii="Calibri" w:hAnsi="Calibri" w:cs="Calibri"/>
          <w:lang w:val="es-ES"/>
        </w:rPr>
        <w:t xml:space="preserve"> es necesario escuchar y moderar el diálogo entre las partes interesadas. Al respecto</w:t>
      </w:r>
      <w:r w:rsidR="005A25E5" w:rsidRPr="001F0CA7">
        <w:rPr>
          <w:rFonts w:ascii="Calibri" w:hAnsi="Calibri" w:cs="Calibri"/>
          <w:lang w:val="es-ES"/>
        </w:rPr>
        <w:t>,</w:t>
      </w:r>
      <w:r w:rsidRPr="001F0CA7">
        <w:rPr>
          <w:rFonts w:ascii="Calibri" w:hAnsi="Calibri" w:cs="Calibri"/>
          <w:lang w:val="es-ES"/>
        </w:rPr>
        <w:t xml:space="preserve"> el usuario final y sus necesidades son poco conocidas por todos los actores, </w:t>
      </w:r>
      <w:r w:rsidR="005A25E5" w:rsidRPr="001F0CA7">
        <w:rPr>
          <w:rFonts w:ascii="Calibri" w:hAnsi="Calibri" w:cs="Calibri"/>
          <w:lang w:val="es-ES"/>
        </w:rPr>
        <w:t xml:space="preserve">por lo que </w:t>
      </w:r>
      <w:r w:rsidRPr="001F0CA7">
        <w:rPr>
          <w:rFonts w:ascii="Calibri" w:hAnsi="Calibri" w:cs="Calibri"/>
          <w:lang w:val="es-ES"/>
        </w:rPr>
        <w:t xml:space="preserve">el IFT </w:t>
      </w:r>
      <w:r w:rsidR="00665429" w:rsidRPr="001F0CA7">
        <w:rPr>
          <w:rFonts w:ascii="Calibri" w:hAnsi="Calibri" w:cs="Calibri"/>
          <w:lang w:val="es-ES"/>
        </w:rPr>
        <w:t xml:space="preserve">debería considerar </w:t>
      </w:r>
      <w:r w:rsidRPr="001F0CA7">
        <w:rPr>
          <w:rFonts w:ascii="Calibri" w:hAnsi="Calibri" w:cs="Calibri"/>
          <w:lang w:val="es-ES"/>
        </w:rPr>
        <w:t>instrumentar el levantamiento</w:t>
      </w:r>
      <w:r w:rsidR="00C233DF" w:rsidRPr="001F0CA7">
        <w:rPr>
          <w:rFonts w:ascii="Calibri" w:hAnsi="Calibri" w:cs="Calibri"/>
          <w:lang w:val="es-ES"/>
        </w:rPr>
        <w:t xml:space="preserve"> y publicación</w:t>
      </w:r>
      <w:r w:rsidRPr="001F0CA7">
        <w:rPr>
          <w:rFonts w:ascii="Calibri" w:hAnsi="Calibri" w:cs="Calibri"/>
          <w:lang w:val="es-ES"/>
        </w:rPr>
        <w:t xml:space="preserve"> de una encuesta entre los usuarios final</w:t>
      </w:r>
      <w:r w:rsidR="005A25E5" w:rsidRPr="001F0CA7">
        <w:rPr>
          <w:rFonts w:ascii="Calibri" w:hAnsi="Calibri" w:cs="Calibri"/>
          <w:lang w:val="es-ES"/>
        </w:rPr>
        <w:t>es</w:t>
      </w:r>
      <w:r w:rsidRPr="001F0CA7">
        <w:rPr>
          <w:rFonts w:ascii="Calibri" w:hAnsi="Calibri" w:cs="Calibri"/>
          <w:lang w:val="es-ES"/>
        </w:rPr>
        <w:t xml:space="preserve"> para conocer sus necesidades y expectativas de uso frente a la oferta de los potenciales entrantes a la banda de 6 GHz.</w:t>
      </w:r>
    </w:p>
    <w:p w14:paraId="4442B894" w14:textId="77777777" w:rsidR="007533B9" w:rsidRPr="007533B9" w:rsidRDefault="007533B9" w:rsidP="007533B9">
      <w:pPr>
        <w:spacing w:line="276" w:lineRule="auto"/>
        <w:jc w:val="both"/>
        <w:rPr>
          <w:rFonts w:ascii="Calibri" w:hAnsi="Calibri" w:cs="Calibri"/>
          <w:lang w:val="es-ES"/>
        </w:rPr>
      </w:pPr>
    </w:p>
    <w:p w14:paraId="2F4BDB24" w14:textId="0C89E3A3" w:rsidR="00C233DF" w:rsidRDefault="00C233DF" w:rsidP="001F0CA7">
      <w:pPr>
        <w:pStyle w:val="Prrafodelista"/>
        <w:numPr>
          <w:ilvl w:val="0"/>
          <w:numId w:val="2"/>
        </w:numPr>
        <w:spacing w:line="276" w:lineRule="auto"/>
        <w:jc w:val="both"/>
        <w:rPr>
          <w:rFonts w:ascii="Calibri" w:hAnsi="Calibri" w:cs="Calibri"/>
        </w:rPr>
      </w:pPr>
      <w:r w:rsidRPr="001F0CA7">
        <w:rPr>
          <w:rFonts w:ascii="Calibri" w:hAnsi="Calibri" w:cs="Calibri"/>
        </w:rPr>
        <w:t xml:space="preserve">Disponga que el área correspondiente en el Instituto realice los estudios necesarios para determinar la </w:t>
      </w:r>
      <w:r w:rsidR="00982DFE" w:rsidRPr="001F0CA7">
        <w:rPr>
          <w:rFonts w:ascii="Calibri" w:hAnsi="Calibri" w:cs="Calibri"/>
        </w:rPr>
        <w:t>factibilidad</w:t>
      </w:r>
      <w:r w:rsidRPr="001F0CA7">
        <w:rPr>
          <w:rFonts w:ascii="Calibri" w:hAnsi="Calibri" w:cs="Calibri"/>
        </w:rPr>
        <w:t xml:space="preserve"> y compatibilidad </w:t>
      </w:r>
      <w:r w:rsidRPr="001F0CA7">
        <w:rPr>
          <w:rFonts w:ascii="Calibri" w:hAnsi="Calibri" w:cs="Calibri"/>
          <w:lang w:val="es-ES"/>
        </w:rPr>
        <w:t>de la compartición de la banda con los servicios existentes como SFS, SMT y SFT</w:t>
      </w:r>
      <w:r w:rsidR="00665429" w:rsidRPr="001F0CA7">
        <w:rPr>
          <w:rFonts w:ascii="Calibri" w:hAnsi="Calibri" w:cs="Calibri"/>
          <w:lang w:val="es-ES"/>
        </w:rPr>
        <w:t>,</w:t>
      </w:r>
      <w:r w:rsidRPr="001F0CA7">
        <w:rPr>
          <w:rFonts w:ascii="Calibri" w:hAnsi="Calibri" w:cs="Calibri"/>
          <w:lang w:val="es-ES"/>
        </w:rPr>
        <w:t xml:space="preserve"> cuyos concesionarios mantendrían el uso primario del espectro sin imponer limitaciones adicionales. Con respecto al sistema satelital </w:t>
      </w:r>
      <w:proofErr w:type="spellStart"/>
      <w:r w:rsidRPr="001F0CA7">
        <w:rPr>
          <w:rFonts w:ascii="Calibri" w:hAnsi="Calibri" w:cs="Calibri"/>
          <w:lang w:val="es-ES"/>
        </w:rPr>
        <w:t>Mexsat</w:t>
      </w:r>
      <w:proofErr w:type="spellEnd"/>
      <w:r w:rsidRPr="001F0CA7">
        <w:rPr>
          <w:rFonts w:ascii="Calibri" w:hAnsi="Calibri" w:cs="Calibri"/>
          <w:lang w:val="es-ES"/>
        </w:rPr>
        <w:t xml:space="preserve"> el Instituto deberá tomar en cuenta para los estudios técnicos que realice, el impacto acumulado por la regulación que se pretende imponer para la banda 6 GHz y las afectaciones al servicio SFS que el operador del sistema satelital </w:t>
      </w:r>
      <w:proofErr w:type="spellStart"/>
      <w:r w:rsidRPr="001F0CA7">
        <w:rPr>
          <w:rFonts w:ascii="Calibri" w:hAnsi="Calibri" w:cs="Calibri"/>
          <w:lang w:val="es-ES"/>
        </w:rPr>
        <w:t>Mexsat</w:t>
      </w:r>
      <w:proofErr w:type="spellEnd"/>
      <w:r w:rsidRPr="001F0CA7">
        <w:rPr>
          <w:rFonts w:ascii="Calibri" w:hAnsi="Calibri" w:cs="Calibri"/>
          <w:lang w:val="es-ES"/>
        </w:rPr>
        <w:t xml:space="preserve">, Telecomunicaciones de México, ha expuesto son causadas en la banda 3.4-3.6 GHz por el servicio de acceso inalámbrico fijo y móvil y que permitan continuar operando el satélite </w:t>
      </w:r>
      <w:r w:rsidRPr="001F0CA7">
        <w:rPr>
          <w:rFonts w:ascii="Calibri" w:hAnsi="Calibri" w:cs="Calibri"/>
          <w:lang w:val="es-ES"/>
        </w:rPr>
        <w:lastRenderedPageBreak/>
        <w:t>Bicentenario del Gobierno Federal sin impactos negativos en las comunicaciones estratégicas de seguridad nacional y cobertura social</w:t>
      </w:r>
      <w:r w:rsidRPr="001F0CA7">
        <w:rPr>
          <w:rStyle w:val="Refdenotaalpie"/>
          <w:rFonts w:ascii="Calibri" w:hAnsi="Calibri" w:cs="Calibri"/>
          <w:i/>
          <w:iCs/>
        </w:rPr>
        <w:footnoteReference w:id="14"/>
      </w:r>
      <w:r w:rsidRPr="001F0CA7">
        <w:rPr>
          <w:rFonts w:ascii="Calibri" w:hAnsi="Calibri" w:cs="Calibri"/>
        </w:rPr>
        <w:t>.</w:t>
      </w:r>
    </w:p>
    <w:p w14:paraId="20EE9419" w14:textId="77777777" w:rsidR="007533B9" w:rsidRPr="007533B9" w:rsidRDefault="007533B9" w:rsidP="007533B9">
      <w:pPr>
        <w:spacing w:line="276" w:lineRule="auto"/>
        <w:jc w:val="both"/>
        <w:rPr>
          <w:rFonts w:ascii="Calibri" w:hAnsi="Calibri" w:cs="Calibri"/>
        </w:rPr>
      </w:pPr>
    </w:p>
    <w:p w14:paraId="1AF2EDE6" w14:textId="7F641DB0" w:rsidR="007533B9" w:rsidRPr="007533B9" w:rsidRDefault="00C233DF" w:rsidP="007533B9">
      <w:pPr>
        <w:pStyle w:val="Prrafodelista"/>
        <w:numPr>
          <w:ilvl w:val="0"/>
          <w:numId w:val="2"/>
        </w:numPr>
        <w:spacing w:line="276" w:lineRule="auto"/>
        <w:jc w:val="both"/>
        <w:rPr>
          <w:rFonts w:ascii="Calibri" w:hAnsi="Calibri" w:cs="Calibri"/>
        </w:rPr>
      </w:pPr>
      <w:r w:rsidRPr="001F0CA7">
        <w:rPr>
          <w:rFonts w:ascii="Calibri" w:hAnsi="Calibri" w:cs="Calibri"/>
          <w:lang w:val="es-ES"/>
        </w:rPr>
        <w:t xml:space="preserve">En función de los estudios realizados, en su caso </w:t>
      </w:r>
      <w:r w:rsidR="00B4009B" w:rsidRPr="001F0CA7">
        <w:rPr>
          <w:rFonts w:ascii="Calibri" w:hAnsi="Calibri" w:cs="Calibri"/>
          <w:lang w:val="es-ES"/>
        </w:rPr>
        <w:t xml:space="preserve">clasificar </w:t>
      </w:r>
      <w:r w:rsidRPr="001F0CA7">
        <w:rPr>
          <w:rFonts w:ascii="Calibri" w:hAnsi="Calibri" w:cs="Calibri"/>
          <w:lang w:val="es-ES"/>
        </w:rPr>
        <w:t>al menos la mitad de la banda de 6 GHz como espectro de uso libre para ser consistentes con la tendencia mundial que está predominando y considere las estrategias regulatorias utilizadas por otras administraciones</w:t>
      </w:r>
      <w:r w:rsidR="00665429" w:rsidRPr="001F0CA7">
        <w:rPr>
          <w:rFonts w:ascii="Calibri" w:hAnsi="Calibri" w:cs="Calibri"/>
          <w:lang w:val="es-ES"/>
        </w:rPr>
        <w:t>, que</w:t>
      </w:r>
      <w:r w:rsidRPr="001F0CA7">
        <w:rPr>
          <w:rFonts w:ascii="Calibri" w:hAnsi="Calibri" w:cs="Calibri"/>
          <w:lang w:val="es-ES"/>
        </w:rPr>
        <w:t xml:space="preserve"> han sido la división de la banda en frecuencia (alta o baja) o por cobertura (interior, exterior)</w:t>
      </w:r>
      <w:r w:rsidR="007533B9">
        <w:rPr>
          <w:rFonts w:ascii="Calibri" w:hAnsi="Calibri" w:cs="Calibri"/>
          <w:lang w:val="es-ES"/>
        </w:rPr>
        <w:t>.</w:t>
      </w:r>
    </w:p>
    <w:p w14:paraId="3ED3F32E" w14:textId="77777777" w:rsidR="007533B9" w:rsidRPr="007533B9" w:rsidRDefault="007533B9" w:rsidP="007533B9">
      <w:pPr>
        <w:spacing w:line="276" w:lineRule="auto"/>
        <w:jc w:val="both"/>
        <w:rPr>
          <w:rFonts w:ascii="Calibri" w:hAnsi="Calibri" w:cs="Calibri"/>
        </w:rPr>
      </w:pPr>
    </w:p>
    <w:p w14:paraId="257144F5" w14:textId="7A001BEF" w:rsidR="00D13FEE" w:rsidRPr="001F0CA7" w:rsidRDefault="00D13FEE" w:rsidP="00AB4775">
      <w:pPr>
        <w:pStyle w:val="Prrafodelista"/>
        <w:numPr>
          <w:ilvl w:val="0"/>
          <w:numId w:val="2"/>
        </w:numPr>
        <w:spacing w:line="276" w:lineRule="auto"/>
        <w:jc w:val="both"/>
        <w:rPr>
          <w:rFonts w:ascii="Calibri" w:hAnsi="Calibri" w:cs="Calibri"/>
        </w:rPr>
      </w:pPr>
      <w:r w:rsidRPr="001F0CA7">
        <w:rPr>
          <w:rFonts w:ascii="Calibri" w:hAnsi="Calibri" w:cs="Calibri"/>
          <w:lang w:val="es-ES"/>
        </w:rPr>
        <w:t>Considere</w:t>
      </w:r>
      <w:r w:rsidR="004B2BCD" w:rsidRPr="001F0CA7">
        <w:rPr>
          <w:rFonts w:ascii="Calibri" w:hAnsi="Calibri" w:cs="Calibri"/>
          <w:lang w:val="es-ES"/>
        </w:rPr>
        <w:t xml:space="preserve"> para los estudios técnicos antes referidos</w:t>
      </w:r>
      <w:r w:rsidRPr="001F0CA7">
        <w:rPr>
          <w:rFonts w:ascii="Calibri" w:hAnsi="Calibri" w:cs="Calibri"/>
          <w:lang w:val="es-ES"/>
        </w:rPr>
        <w:t xml:space="preserve"> las necesidades de espectro para el transporte de datos necesario para la implementación de la 5G y las RAN y reserve</w:t>
      </w:r>
      <w:r w:rsidR="00665429" w:rsidRPr="001F0CA7">
        <w:rPr>
          <w:rFonts w:ascii="Calibri" w:hAnsi="Calibri" w:cs="Calibri"/>
          <w:lang w:val="es-ES"/>
        </w:rPr>
        <w:t>, si se considera necesario,</w:t>
      </w:r>
      <w:r w:rsidRPr="001F0CA7">
        <w:rPr>
          <w:rFonts w:ascii="Calibri" w:hAnsi="Calibri" w:cs="Calibri"/>
          <w:lang w:val="es-ES"/>
        </w:rPr>
        <w:t xml:space="preserve"> una porción del espectro libre para estos enlaces punto a punto. También deberá considerar la necesidad del usuario final para utilizar el espectro libre en el acceso a las redes locales desde los diversos dispositivos a su alcance y cuyo cambio tecnológico es inminente al incorporar nuevos estándares como 5G y WiFi6E. </w:t>
      </w:r>
    </w:p>
    <w:p w14:paraId="048DBEB7" w14:textId="2AA086A8" w:rsidR="001F0CA7" w:rsidRDefault="001F0CA7" w:rsidP="001F0CA7">
      <w:pPr>
        <w:pStyle w:val="Prrafodelista"/>
        <w:spacing w:line="276" w:lineRule="auto"/>
        <w:jc w:val="center"/>
        <w:rPr>
          <w:rFonts w:ascii="Calibri" w:hAnsi="Calibri" w:cs="Calibri"/>
          <w:b/>
          <w:bCs/>
        </w:rPr>
      </w:pPr>
    </w:p>
    <w:p w14:paraId="4D0885D4" w14:textId="77777777" w:rsidR="001F0CA7" w:rsidRDefault="001F0CA7" w:rsidP="001F0CA7">
      <w:pPr>
        <w:pStyle w:val="Prrafodelista"/>
        <w:spacing w:line="276" w:lineRule="auto"/>
        <w:jc w:val="center"/>
        <w:rPr>
          <w:rFonts w:ascii="Calibri" w:hAnsi="Calibri" w:cs="Calibri"/>
          <w:b/>
          <w:bCs/>
        </w:rPr>
      </w:pPr>
    </w:p>
    <w:p w14:paraId="79C3CDD8" w14:textId="483FA778" w:rsidR="003B4A5C" w:rsidRPr="001F0CA7" w:rsidRDefault="003B4A5C" w:rsidP="001F0CA7">
      <w:pPr>
        <w:pStyle w:val="Prrafodelista"/>
        <w:spacing w:line="276" w:lineRule="auto"/>
        <w:jc w:val="center"/>
        <w:rPr>
          <w:rFonts w:ascii="Calibri" w:hAnsi="Calibri" w:cs="Calibri"/>
          <w:b/>
          <w:bCs/>
        </w:rPr>
      </w:pPr>
      <w:r w:rsidRPr="001F0CA7">
        <w:rPr>
          <w:rFonts w:ascii="Calibri" w:hAnsi="Calibri" w:cs="Calibri"/>
          <w:b/>
          <w:bCs/>
        </w:rPr>
        <w:t>Dr. Ernesto M. Flores-Roux</w:t>
      </w:r>
    </w:p>
    <w:p w14:paraId="67BCDF63" w14:textId="77777777" w:rsidR="003B4A5C" w:rsidRPr="001F0CA7" w:rsidRDefault="003B4A5C" w:rsidP="001F0CA7">
      <w:pPr>
        <w:pStyle w:val="Prrafodelista"/>
        <w:spacing w:line="276" w:lineRule="auto"/>
        <w:jc w:val="center"/>
        <w:rPr>
          <w:rFonts w:ascii="Calibri" w:hAnsi="Calibri" w:cs="Calibri"/>
          <w:b/>
          <w:bCs/>
        </w:rPr>
      </w:pPr>
      <w:r w:rsidRPr="001F0CA7">
        <w:rPr>
          <w:rFonts w:ascii="Calibri" w:hAnsi="Calibri" w:cs="Calibri"/>
          <w:b/>
          <w:bCs/>
        </w:rPr>
        <w:t>Presidente</w:t>
      </w:r>
    </w:p>
    <w:p w14:paraId="53D2C5FC" w14:textId="1113499C" w:rsidR="003B4A5C" w:rsidRDefault="003B4A5C" w:rsidP="001F0CA7">
      <w:pPr>
        <w:pStyle w:val="Prrafodelista"/>
        <w:spacing w:line="276" w:lineRule="auto"/>
        <w:jc w:val="center"/>
        <w:rPr>
          <w:rFonts w:ascii="Calibri" w:hAnsi="Calibri" w:cs="Calibri"/>
          <w:b/>
          <w:bCs/>
        </w:rPr>
      </w:pPr>
    </w:p>
    <w:p w14:paraId="58023966" w14:textId="77777777" w:rsidR="003B4A5C" w:rsidRPr="001F0CA7" w:rsidRDefault="003B4A5C" w:rsidP="001F0CA7">
      <w:pPr>
        <w:pStyle w:val="Prrafodelista"/>
        <w:spacing w:line="276" w:lineRule="auto"/>
        <w:jc w:val="center"/>
        <w:rPr>
          <w:rFonts w:ascii="Calibri" w:hAnsi="Calibri" w:cs="Calibri"/>
          <w:b/>
          <w:bCs/>
        </w:rPr>
      </w:pPr>
    </w:p>
    <w:p w14:paraId="6860EAA0" w14:textId="77777777" w:rsidR="003B4A5C" w:rsidRPr="001F0CA7" w:rsidRDefault="003B4A5C" w:rsidP="001F0CA7">
      <w:pPr>
        <w:pStyle w:val="Prrafodelista"/>
        <w:spacing w:line="276" w:lineRule="auto"/>
        <w:jc w:val="center"/>
        <w:rPr>
          <w:rFonts w:ascii="Calibri" w:hAnsi="Calibri" w:cs="Calibri"/>
          <w:b/>
          <w:bCs/>
        </w:rPr>
      </w:pPr>
      <w:r w:rsidRPr="001F0CA7">
        <w:rPr>
          <w:rFonts w:ascii="Calibri" w:hAnsi="Calibri" w:cs="Calibri"/>
          <w:b/>
          <w:bCs/>
        </w:rPr>
        <w:t>Mtra. Rebeca Escobar Briones</w:t>
      </w:r>
    </w:p>
    <w:p w14:paraId="713C94EF" w14:textId="43FC8792" w:rsidR="003B4A5C" w:rsidRDefault="003B4A5C" w:rsidP="001F0CA7">
      <w:pPr>
        <w:pStyle w:val="Prrafodelista"/>
        <w:spacing w:line="276" w:lineRule="auto"/>
        <w:jc w:val="center"/>
        <w:rPr>
          <w:rFonts w:ascii="Calibri" w:hAnsi="Calibri" w:cs="Calibri"/>
          <w:b/>
          <w:bCs/>
        </w:rPr>
      </w:pPr>
      <w:r w:rsidRPr="001F0CA7">
        <w:rPr>
          <w:rFonts w:ascii="Calibri" w:hAnsi="Calibri" w:cs="Calibri"/>
          <w:b/>
          <w:bCs/>
        </w:rPr>
        <w:t>Secretaria del Consejo Consultivo</w:t>
      </w:r>
    </w:p>
    <w:p w14:paraId="49E9BF0F" w14:textId="2753862E" w:rsidR="00744AEE" w:rsidRDefault="00744AEE" w:rsidP="001F0CA7">
      <w:pPr>
        <w:pStyle w:val="Prrafodelista"/>
        <w:spacing w:line="276" w:lineRule="auto"/>
        <w:jc w:val="center"/>
        <w:rPr>
          <w:rFonts w:ascii="Calibri" w:hAnsi="Calibri" w:cs="Calibri"/>
          <w:b/>
          <w:bCs/>
        </w:rPr>
      </w:pPr>
    </w:p>
    <w:p w14:paraId="06091B74" w14:textId="77777777" w:rsidR="00744AEE" w:rsidRPr="00744AEE" w:rsidRDefault="00744AEE" w:rsidP="00744AEE">
      <w:pPr>
        <w:pStyle w:val="Prrafodelista"/>
        <w:spacing w:line="276" w:lineRule="auto"/>
        <w:ind w:left="0"/>
        <w:jc w:val="both"/>
        <w:rPr>
          <w:rFonts w:ascii="Calibri" w:hAnsi="Calibri" w:cs="Calibri"/>
          <w:sz w:val="14"/>
          <w:szCs w:val="14"/>
        </w:rPr>
      </w:pPr>
      <w:r w:rsidRPr="00744AEE">
        <w:rPr>
          <w:rFonts w:ascii="Calibri" w:hAnsi="Calibri" w:cs="Calibri"/>
          <w:sz w:val="14"/>
          <w:szCs w:val="14"/>
        </w:rPr>
        <w:t xml:space="preserve">La Recomendación fue aprobada por el V Consejo Consultivo del Instituto Federal de Telecomunicaciones el 20 de mayo de 2021 y votada en términos del artículo 17 último párrafo, con unanimidad de votos de los Consejeros Sara Gabriela Castellanos Pascacio, Isabel Clavijo Mostajo, Mario de la Cruz Sarabia, Ernesto M. Flores-Roux, Gerardo Francisco González Abarca, Erik Huesca Morales, Salvador Landeros Ayala, Luis Miguel Martínez Cervantes, Jorge Fernando Negrete Pacheco, Lucía Ojeda Cárdenas, María Catalina Ovando Chico, </w:t>
      </w:r>
      <w:proofErr w:type="spellStart"/>
      <w:r w:rsidRPr="00744AEE">
        <w:rPr>
          <w:rFonts w:ascii="Calibri" w:hAnsi="Calibri" w:cs="Calibri"/>
          <w:sz w:val="14"/>
          <w:szCs w:val="14"/>
        </w:rPr>
        <w:t>Euridice</w:t>
      </w:r>
      <w:proofErr w:type="spellEnd"/>
      <w:r w:rsidRPr="00744AEE">
        <w:rPr>
          <w:rFonts w:ascii="Calibri" w:hAnsi="Calibri" w:cs="Calibri"/>
          <w:sz w:val="14"/>
          <w:szCs w:val="14"/>
        </w:rPr>
        <w:t xml:space="preserve"> Palma Salas, Fabiola Alicia Peña Ahumada, Armida Sánchez Arellano  y Salomón Woldenberg Esperón mediante Acuerdo CC/IFT/</w:t>
      </w:r>
      <w:proofErr w:type="spellStart"/>
      <w:r w:rsidRPr="00744AEE">
        <w:rPr>
          <w:rFonts w:ascii="Calibri" w:hAnsi="Calibri" w:cs="Calibri"/>
          <w:sz w:val="14"/>
          <w:szCs w:val="14"/>
        </w:rPr>
        <w:t>VotaciónElectrónica</w:t>
      </w:r>
      <w:proofErr w:type="spellEnd"/>
      <w:r w:rsidRPr="00744AEE">
        <w:rPr>
          <w:rFonts w:ascii="Calibri" w:hAnsi="Calibri" w:cs="Calibri"/>
          <w:sz w:val="14"/>
          <w:szCs w:val="14"/>
        </w:rPr>
        <w:t>/3, de fecha 01 de junio de 2021.</w:t>
      </w:r>
    </w:p>
    <w:p w14:paraId="266EF541" w14:textId="77777777" w:rsidR="00744AEE" w:rsidRPr="00744AEE" w:rsidRDefault="00744AEE" w:rsidP="00744AEE">
      <w:pPr>
        <w:pStyle w:val="Prrafodelista"/>
        <w:spacing w:line="276" w:lineRule="auto"/>
        <w:ind w:left="0"/>
        <w:jc w:val="both"/>
        <w:rPr>
          <w:rFonts w:ascii="Calibri" w:hAnsi="Calibri" w:cs="Calibri"/>
          <w:sz w:val="14"/>
          <w:szCs w:val="14"/>
        </w:rPr>
      </w:pPr>
    </w:p>
    <w:p w14:paraId="4A4F637C" w14:textId="7DE2649C" w:rsidR="00744AEE" w:rsidRPr="00744AEE" w:rsidRDefault="00744AEE" w:rsidP="00744AEE">
      <w:pPr>
        <w:pStyle w:val="Prrafodelista"/>
        <w:spacing w:line="276" w:lineRule="auto"/>
        <w:ind w:left="0"/>
        <w:jc w:val="both"/>
        <w:rPr>
          <w:rFonts w:ascii="Calibri" w:hAnsi="Calibri" w:cs="Calibri"/>
          <w:sz w:val="14"/>
          <w:szCs w:val="14"/>
        </w:rPr>
      </w:pPr>
      <w:r w:rsidRPr="00744AEE">
        <w:rPr>
          <w:rFonts w:ascii="Calibri" w:hAnsi="Calibri" w:cs="Calibri"/>
          <w:sz w:val="14"/>
          <w:szCs w:val="14"/>
        </w:rPr>
        <w:t xml:space="preserve">El proyecto de Recomendación fue desarrollado por </w:t>
      </w:r>
      <w:r>
        <w:rPr>
          <w:rFonts w:ascii="Calibri" w:hAnsi="Calibri" w:cs="Calibri"/>
          <w:sz w:val="14"/>
          <w:szCs w:val="14"/>
        </w:rPr>
        <w:t>los</w:t>
      </w:r>
      <w:r w:rsidRPr="00744AEE">
        <w:rPr>
          <w:rFonts w:ascii="Calibri" w:hAnsi="Calibri" w:cs="Calibri"/>
          <w:sz w:val="14"/>
          <w:szCs w:val="14"/>
        </w:rPr>
        <w:t xml:space="preserve"> </w:t>
      </w:r>
      <w:proofErr w:type="gramStart"/>
      <w:r w:rsidRPr="00744AEE">
        <w:rPr>
          <w:rFonts w:ascii="Calibri" w:hAnsi="Calibri" w:cs="Calibri"/>
          <w:sz w:val="14"/>
          <w:szCs w:val="14"/>
        </w:rPr>
        <w:t>Consejero</w:t>
      </w:r>
      <w:r>
        <w:rPr>
          <w:rFonts w:ascii="Calibri" w:hAnsi="Calibri" w:cs="Calibri"/>
          <w:sz w:val="14"/>
          <w:szCs w:val="14"/>
        </w:rPr>
        <w:t>s</w:t>
      </w:r>
      <w:proofErr w:type="gramEnd"/>
      <w:r w:rsidRPr="00744AEE">
        <w:rPr>
          <w:rFonts w:ascii="Calibri" w:hAnsi="Calibri" w:cs="Calibri"/>
          <w:sz w:val="14"/>
          <w:szCs w:val="14"/>
        </w:rPr>
        <w:t xml:space="preserve"> Luis Miguel Martínez Cervantes</w:t>
      </w:r>
      <w:r>
        <w:rPr>
          <w:rFonts w:ascii="Calibri" w:hAnsi="Calibri" w:cs="Calibri"/>
          <w:sz w:val="14"/>
          <w:szCs w:val="14"/>
        </w:rPr>
        <w:t>, Mario de la Cruz Sarabia y Ernesto M. Flores-Rou</w:t>
      </w:r>
      <w:r w:rsidR="00C84F1E">
        <w:rPr>
          <w:rFonts w:ascii="Calibri" w:hAnsi="Calibri" w:cs="Calibri"/>
          <w:sz w:val="14"/>
          <w:szCs w:val="14"/>
        </w:rPr>
        <w:t>x</w:t>
      </w:r>
      <w:r>
        <w:rPr>
          <w:rFonts w:ascii="Calibri" w:hAnsi="Calibri" w:cs="Calibri"/>
          <w:sz w:val="14"/>
          <w:szCs w:val="14"/>
        </w:rPr>
        <w:t>.</w:t>
      </w:r>
    </w:p>
    <w:sectPr w:rsidR="00744AEE" w:rsidRPr="00744AEE">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9668" w14:textId="77777777" w:rsidR="009D0C52" w:rsidRDefault="009D0C52" w:rsidP="00064234">
      <w:r>
        <w:separator/>
      </w:r>
    </w:p>
  </w:endnote>
  <w:endnote w:type="continuationSeparator" w:id="0">
    <w:p w14:paraId="13DEE8DB" w14:textId="77777777" w:rsidR="009D0C52" w:rsidRDefault="009D0C52" w:rsidP="0006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21609783"/>
      <w:docPartObj>
        <w:docPartGallery w:val="Page Numbers (Bottom of Page)"/>
        <w:docPartUnique/>
      </w:docPartObj>
    </w:sdtPr>
    <w:sdtEndPr>
      <w:rPr>
        <w:rStyle w:val="Nmerodepgina"/>
      </w:rPr>
    </w:sdtEndPr>
    <w:sdtContent>
      <w:p w14:paraId="42D4F3C2" w14:textId="303D58DE" w:rsidR="001932BC" w:rsidRDefault="001932BC" w:rsidP="009C6D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5FC9FE" w14:textId="77777777" w:rsidR="001932BC" w:rsidRDefault="001932BC" w:rsidP="001932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9670087"/>
      <w:docPartObj>
        <w:docPartGallery w:val="Page Numbers (Bottom of Page)"/>
        <w:docPartUnique/>
      </w:docPartObj>
    </w:sdtPr>
    <w:sdtEndPr>
      <w:rPr>
        <w:rStyle w:val="Nmerodepgina"/>
      </w:rPr>
    </w:sdtEndPr>
    <w:sdtContent>
      <w:p w14:paraId="59ED1F10" w14:textId="3868E170" w:rsidR="001932BC" w:rsidRDefault="001932BC" w:rsidP="009C6D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5BE2062" w14:textId="77777777" w:rsidR="001932BC" w:rsidRDefault="001932BC" w:rsidP="001932B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C0401" w14:textId="77777777" w:rsidR="009D0C52" w:rsidRDefault="009D0C52" w:rsidP="00064234">
      <w:r>
        <w:separator/>
      </w:r>
    </w:p>
  </w:footnote>
  <w:footnote w:type="continuationSeparator" w:id="0">
    <w:p w14:paraId="27DA4861" w14:textId="77777777" w:rsidR="009D0C52" w:rsidRDefault="009D0C52" w:rsidP="00064234">
      <w:r>
        <w:continuationSeparator/>
      </w:r>
    </w:p>
  </w:footnote>
  <w:footnote w:id="1">
    <w:p w14:paraId="075CAC6C" w14:textId="1D130267" w:rsidR="00421204" w:rsidRPr="001F0CA7" w:rsidRDefault="00421204" w:rsidP="001F0CA7">
      <w:pPr>
        <w:pStyle w:val="Textonotapie"/>
        <w:jc w:val="both"/>
        <w:rPr>
          <w:rFonts w:ascii="Calibri" w:hAnsi="Calibri" w:cs="Calibri"/>
          <w:lang w:val="en-US"/>
        </w:rPr>
      </w:pPr>
      <w:r w:rsidRPr="001F0CA7">
        <w:rPr>
          <w:rStyle w:val="Refdenotaalpie"/>
          <w:rFonts w:ascii="Calibri" w:hAnsi="Calibri" w:cs="Calibri"/>
        </w:rPr>
        <w:footnoteRef/>
      </w:r>
      <w:r w:rsidRPr="001F0CA7">
        <w:rPr>
          <w:rFonts w:ascii="Calibri" w:hAnsi="Calibri" w:cs="Calibri"/>
          <w:lang w:val="en-US"/>
        </w:rPr>
        <w:t xml:space="preserve"> : Katz, Raul L. (2009</w:t>
      </w:r>
      <w:proofErr w:type="gramStart"/>
      <w:r w:rsidRPr="001F0CA7">
        <w:rPr>
          <w:rFonts w:ascii="Calibri" w:hAnsi="Calibri" w:cs="Calibri"/>
          <w:lang w:val="en-US"/>
        </w:rPr>
        <w:t>) :</w:t>
      </w:r>
      <w:proofErr w:type="gramEnd"/>
      <w:r w:rsidRPr="001F0CA7">
        <w:rPr>
          <w:rFonts w:ascii="Calibri" w:hAnsi="Calibri" w:cs="Calibri"/>
          <w:lang w:val="en-US"/>
        </w:rPr>
        <w:t xml:space="preserve"> The economic and social impact of telecommunications output: A theoretical framework and empirical evidence for Spain, </w:t>
      </w:r>
      <w:proofErr w:type="spellStart"/>
      <w:r w:rsidRPr="001F0CA7">
        <w:rPr>
          <w:rFonts w:ascii="Calibri" w:hAnsi="Calibri" w:cs="Calibri"/>
          <w:lang w:val="en-US"/>
        </w:rPr>
        <w:t>Intereconomics</w:t>
      </w:r>
      <w:proofErr w:type="spellEnd"/>
      <w:r w:rsidRPr="001F0CA7">
        <w:rPr>
          <w:rFonts w:ascii="Calibri" w:hAnsi="Calibri" w:cs="Calibri"/>
          <w:lang w:val="en-US"/>
        </w:rPr>
        <w:t xml:space="preserve">, ISSN 1613-964X, Springer, Heidelberg, Vol. 44, </w:t>
      </w:r>
      <w:proofErr w:type="spellStart"/>
      <w:r w:rsidRPr="001F0CA7">
        <w:rPr>
          <w:rFonts w:ascii="Calibri" w:hAnsi="Calibri" w:cs="Calibri"/>
          <w:lang w:val="en-US"/>
        </w:rPr>
        <w:t>Iss</w:t>
      </w:r>
      <w:proofErr w:type="spellEnd"/>
      <w:r w:rsidRPr="001F0CA7">
        <w:rPr>
          <w:rFonts w:ascii="Calibri" w:hAnsi="Calibri" w:cs="Calibri"/>
          <w:lang w:val="en-US"/>
        </w:rPr>
        <w:t>. 1, pp. 41-48, http://dx.doi.org/10.1007/s10272-009-0276-0</w:t>
      </w:r>
    </w:p>
  </w:footnote>
  <w:footnote w:id="2">
    <w:p w14:paraId="562B7B40" w14:textId="5FDDEE1F" w:rsidR="009242E9" w:rsidRPr="001F0CA7" w:rsidRDefault="009242E9" w:rsidP="001F0CA7">
      <w:pPr>
        <w:pStyle w:val="Textonotapie"/>
        <w:jc w:val="both"/>
        <w:rPr>
          <w:rFonts w:ascii="Calibri" w:hAnsi="Calibri" w:cs="Calibri"/>
          <w:lang w:val="en-US"/>
        </w:rPr>
      </w:pPr>
      <w:r w:rsidRPr="001F0CA7">
        <w:rPr>
          <w:rStyle w:val="Refdenotaalpie"/>
          <w:rFonts w:ascii="Calibri" w:hAnsi="Calibri" w:cs="Calibri"/>
        </w:rPr>
        <w:footnoteRef/>
      </w:r>
      <w:r w:rsidRPr="001F0CA7">
        <w:rPr>
          <w:rFonts w:ascii="Calibri" w:hAnsi="Calibri" w:cs="Calibri"/>
          <w:lang w:val="en-US"/>
        </w:rPr>
        <w:t xml:space="preserve"> Van der Wee, M, </w:t>
      </w:r>
      <w:proofErr w:type="spellStart"/>
      <w:r w:rsidRPr="001F0CA7">
        <w:rPr>
          <w:rFonts w:ascii="Calibri" w:hAnsi="Calibri" w:cs="Calibri"/>
          <w:lang w:val="en-US"/>
        </w:rPr>
        <w:t>Verbrugge</w:t>
      </w:r>
      <w:proofErr w:type="spellEnd"/>
      <w:r w:rsidRPr="001F0CA7">
        <w:rPr>
          <w:rFonts w:ascii="Calibri" w:hAnsi="Calibri" w:cs="Calibri"/>
          <w:lang w:val="en-US"/>
        </w:rPr>
        <w:t xml:space="preserve">, I. R., Sadowski, B, </w:t>
      </w:r>
      <w:proofErr w:type="spellStart"/>
      <w:r w:rsidRPr="001F0CA7">
        <w:rPr>
          <w:rFonts w:ascii="Calibri" w:hAnsi="Calibri" w:cs="Calibri"/>
          <w:lang w:val="en-US"/>
        </w:rPr>
        <w:t>Driesse</w:t>
      </w:r>
      <w:proofErr w:type="spellEnd"/>
      <w:r w:rsidRPr="001F0CA7">
        <w:rPr>
          <w:rFonts w:ascii="Calibri" w:hAnsi="Calibri" w:cs="Calibri"/>
          <w:lang w:val="en-US"/>
        </w:rPr>
        <w:t xml:space="preserve">, M., </w:t>
      </w:r>
      <w:proofErr w:type="spellStart"/>
      <w:r w:rsidRPr="001F0CA7">
        <w:rPr>
          <w:rFonts w:ascii="Calibri" w:hAnsi="Calibri" w:cs="Calibri"/>
          <w:lang w:val="en-US"/>
        </w:rPr>
        <w:t>Pickavet</w:t>
      </w:r>
      <w:proofErr w:type="spellEnd"/>
      <w:r w:rsidRPr="001F0CA7">
        <w:rPr>
          <w:rFonts w:ascii="Calibri" w:hAnsi="Calibri" w:cs="Calibri"/>
          <w:lang w:val="en-US"/>
        </w:rPr>
        <w:t xml:space="preserve">, M. </w:t>
      </w:r>
      <w:r w:rsidR="00421204" w:rsidRPr="001F0CA7">
        <w:rPr>
          <w:rFonts w:ascii="Calibri" w:hAnsi="Calibri" w:cs="Calibri"/>
          <w:lang w:val="en-US"/>
        </w:rPr>
        <w:t>(20</w:t>
      </w:r>
      <w:r w:rsidR="00C62293" w:rsidRPr="001F0CA7">
        <w:rPr>
          <w:rFonts w:ascii="Calibri" w:hAnsi="Calibri" w:cs="Calibri"/>
          <w:lang w:val="en-US"/>
        </w:rPr>
        <w:t>15</w:t>
      </w:r>
      <w:r w:rsidR="00421204" w:rsidRPr="001F0CA7">
        <w:rPr>
          <w:rFonts w:ascii="Calibri" w:hAnsi="Calibri" w:cs="Calibri"/>
          <w:lang w:val="en-US"/>
        </w:rPr>
        <w:t xml:space="preserve">). </w:t>
      </w:r>
      <w:r w:rsidRPr="001F0CA7">
        <w:rPr>
          <w:rFonts w:ascii="Calibri" w:hAnsi="Calibri" w:cs="Calibri"/>
          <w:lang w:val="en-US"/>
        </w:rPr>
        <w:t>“Identifying and quantifying the indirect benefits of broadband networks for eGovernment and eBusiness: a bottom-up approach.” Elsevier Editorial System(tm) for Telecommunications Policy, Manuscript Draft Number: JTPO-D-13-00054R2</w:t>
      </w:r>
    </w:p>
  </w:footnote>
  <w:footnote w:id="3">
    <w:p w14:paraId="18F468E7" w14:textId="3C176117" w:rsidR="00421204" w:rsidRPr="00421204" w:rsidRDefault="00421204" w:rsidP="001F0CA7">
      <w:pPr>
        <w:pStyle w:val="Textonotapie"/>
        <w:jc w:val="both"/>
        <w:rPr>
          <w:lang w:val="en-US"/>
        </w:rPr>
      </w:pPr>
      <w:r w:rsidRPr="001F0CA7">
        <w:rPr>
          <w:rStyle w:val="Refdenotaalpie"/>
          <w:rFonts w:ascii="Calibri" w:hAnsi="Calibri" w:cs="Calibri"/>
        </w:rPr>
        <w:footnoteRef/>
      </w:r>
      <w:r w:rsidRPr="001F0CA7">
        <w:rPr>
          <w:rFonts w:ascii="Calibri" w:hAnsi="Calibri" w:cs="Calibri"/>
          <w:lang w:val="en-US"/>
        </w:rPr>
        <w:t xml:space="preserve"> </w:t>
      </w:r>
      <w:proofErr w:type="spellStart"/>
      <w:r w:rsidRPr="001F0CA7">
        <w:rPr>
          <w:rFonts w:ascii="Calibri" w:hAnsi="Calibri" w:cs="Calibri"/>
          <w:lang w:val="en-US"/>
        </w:rPr>
        <w:t>Enck</w:t>
      </w:r>
      <w:proofErr w:type="spellEnd"/>
      <w:r w:rsidRPr="001F0CA7">
        <w:rPr>
          <w:rFonts w:ascii="Calibri" w:hAnsi="Calibri" w:cs="Calibri"/>
          <w:lang w:val="en-US"/>
        </w:rPr>
        <w:t>, J. and T. Reynolds (2009-12-09), “Network Developments in Support of Innovation and User Needs”, OECD Digital Economy Papers, No. 164, OECD Publishing, Paris. http://dx.doi.org/10.1787/5kml8rfvtbf6-en</w:t>
      </w:r>
    </w:p>
  </w:footnote>
  <w:footnote w:id="4">
    <w:p w14:paraId="324570EA" w14:textId="7D0A4B5E" w:rsidR="001029E9" w:rsidRPr="001F0CA7" w:rsidRDefault="001029E9"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rPr>
        <w:t xml:space="preserve"> </w:t>
      </w:r>
      <w:r w:rsidR="00996D60" w:rsidRPr="001F0CA7">
        <w:rPr>
          <w:rFonts w:ascii="Calibri" w:hAnsi="Calibri" w:cs="Calibri"/>
        </w:rPr>
        <w:t>Comparecencia del C</w:t>
      </w:r>
      <w:proofErr w:type="spellStart"/>
      <w:r w:rsidRPr="001F0CA7">
        <w:rPr>
          <w:rFonts w:ascii="Calibri" w:hAnsi="Calibri" w:cs="Calibri"/>
          <w:lang w:val="es-ES"/>
        </w:rPr>
        <w:t>omisionado</w:t>
      </w:r>
      <w:proofErr w:type="spellEnd"/>
      <w:r w:rsidRPr="001F0CA7">
        <w:rPr>
          <w:rFonts w:ascii="Calibri" w:hAnsi="Calibri" w:cs="Calibri"/>
          <w:lang w:val="es-ES"/>
        </w:rPr>
        <w:t xml:space="preserve"> </w:t>
      </w:r>
      <w:r w:rsidR="00996D60" w:rsidRPr="001F0CA7">
        <w:rPr>
          <w:rFonts w:ascii="Calibri" w:hAnsi="Calibri" w:cs="Calibri"/>
          <w:lang w:val="es-ES"/>
        </w:rPr>
        <w:t xml:space="preserve">Javier </w:t>
      </w:r>
      <w:r w:rsidRPr="001F0CA7">
        <w:rPr>
          <w:rFonts w:ascii="Calibri" w:hAnsi="Calibri" w:cs="Calibri"/>
          <w:lang w:val="es-ES"/>
        </w:rPr>
        <w:t>Juárez ante el Senado, 2020</w:t>
      </w:r>
      <w:r w:rsidR="00996D60" w:rsidRPr="001F0CA7">
        <w:rPr>
          <w:rFonts w:ascii="Calibri" w:hAnsi="Calibri" w:cs="Calibri"/>
          <w:lang w:val="es-ES"/>
        </w:rPr>
        <w:t>, disponible en https://www.senado.gob.mx/64/app/JUCOPO/docs/E_JJM.pdf</w:t>
      </w:r>
    </w:p>
  </w:footnote>
  <w:footnote w:id="5">
    <w:p w14:paraId="74724F8C" w14:textId="364D544B" w:rsidR="000D0121" w:rsidRPr="001F0CA7" w:rsidRDefault="000D0121"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rPr>
        <w:t xml:space="preserve"> http://cnaf.ift.org.mx/</w:t>
      </w:r>
    </w:p>
  </w:footnote>
  <w:footnote w:id="6">
    <w:p w14:paraId="132924D4" w14:textId="39CC8FEE" w:rsidR="001415CB" w:rsidRPr="001F0CA7" w:rsidRDefault="001415CB"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lang w:val="es-ES"/>
        </w:rPr>
        <w:t xml:space="preserve"> GSMA</w:t>
      </w:r>
      <w:r w:rsidR="00996D60" w:rsidRPr="001F0CA7">
        <w:rPr>
          <w:rFonts w:ascii="Calibri" w:hAnsi="Calibri" w:cs="Calibri"/>
          <w:lang w:val="es-ES"/>
        </w:rPr>
        <w:t xml:space="preserve">, “5G </w:t>
      </w:r>
      <w:proofErr w:type="spellStart"/>
      <w:r w:rsidR="00996D60" w:rsidRPr="001F0CA7">
        <w:rPr>
          <w:rFonts w:ascii="Calibri" w:hAnsi="Calibri" w:cs="Calibri"/>
          <w:lang w:val="es-ES"/>
        </w:rPr>
        <w:t>Spectrum</w:t>
      </w:r>
      <w:proofErr w:type="spellEnd"/>
      <w:r w:rsidR="00996D60" w:rsidRPr="001F0CA7">
        <w:rPr>
          <w:rFonts w:ascii="Calibri" w:hAnsi="Calibri" w:cs="Calibri"/>
          <w:lang w:val="es-ES"/>
        </w:rPr>
        <w:t xml:space="preserve">, GSMA </w:t>
      </w:r>
      <w:proofErr w:type="spellStart"/>
      <w:r w:rsidR="00996D60" w:rsidRPr="001F0CA7">
        <w:rPr>
          <w:rFonts w:ascii="Calibri" w:hAnsi="Calibri" w:cs="Calibri"/>
          <w:lang w:val="es-ES"/>
        </w:rPr>
        <w:t>Public</w:t>
      </w:r>
      <w:proofErr w:type="spellEnd"/>
      <w:r w:rsidR="00996D60" w:rsidRPr="001F0CA7">
        <w:rPr>
          <w:rFonts w:ascii="Calibri" w:hAnsi="Calibri" w:cs="Calibri"/>
          <w:lang w:val="es-ES"/>
        </w:rPr>
        <w:t xml:space="preserve"> </w:t>
      </w:r>
      <w:proofErr w:type="spellStart"/>
      <w:r w:rsidR="00996D60" w:rsidRPr="001F0CA7">
        <w:rPr>
          <w:rFonts w:ascii="Calibri" w:hAnsi="Calibri" w:cs="Calibri"/>
          <w:lang w:val="es-ES"/>
        </w:rPr>
        <w:t>Policy</w:t>
      </w:r>
      <w:proofErr w:type="spellEnd"/>
      <w:r w:rsidR="00996D60" w:rsidRPr="001F0CA7">
        <w:rPr>
          <w:rFonts w:ascii="Calibri" w:hAnsi="Calibri" w:cs="Calibri"/>
          <w:lang w:val="es-ES"/>
        </w:rPr>
        <w:t xml:space="preserve"> Position”, March 2021 disponible en </w:t>
      </w:r>
      <w:r w:rsidR="00F46700" w:rsidRPr="001F0CA7">
        <w:rPr>
          <w:rFonts w:ascii="Calibri" w:hAnsi="Calibri" w:cs="Calibri"/>
          <w:lang w:val="es-ES"/>
        </w:rPr>
        <w:t>https://www.gsma.com/spectrum/wp-content/uploads/2021/04/5G-Spectrum-Positions.pdf</w:t>
      </w:r>
    </w:p>
  </w:footnote>
  <w:footnote w:id="7">
    <w:p w14:paraId="5B127D25" w14:textId="72D9D7C6" w:rsidR="00BA4E7A" w:rsidRPr="001F0CA7" w:rsidRDefault="00BA4E7A" w:rsidP="001F0CA7">
      <w:pPr>
        <w:jc w:val="both"/>
        <w:rPr>
          <w:rFonts w:ascii="Calibri" w:hAnsi="Calibri" w:cs="Calibri"/>
          <w:sz w:val="20"/>
          <w:szCs w:val="20"/>
          <w:lang w:eastAsia="es-MX"/>
        </w:rPr>
      </w:pPr>
      <w:r w:rsidRPr="001F0CA7">
        <w:rPr>
          <w:rStyle w:val="Refdenotaalpie"/>
          <w:rFonts w:ascii="Calibri" w:hAnsi="Calibri" w:cs="Calibri"/>
          <w:sz w:val="20"/>
          <w:szCs w:val="20"/>
        </w:rPr>
        <w:footnoteRef/>
      </w:r>
      <w:r w:rsidRPr="001F0CA7">
        <w:rPr>
          <w:rFonts w:ascii="Calibri" w:hAnsi="Calibri" w:cs="Calibri"/>
          <w:sz w:val="20"/>
          <w:szCs w:val="20"/>
        </w:rPr>
        <w:t xml:space="preserve">   </w:t>
      </w:r>
      <w:r w:rsidR="005B6C88" w:rsidRPr="001F0CA7">
        <w:rPr>
          <w:rFonts w:ascii="Calibri" w:hAnsi="Calibri" w:cs="Calibri"/>
          <w:sz w:val="20"/>
          <w:szCs w:val="20"/>
          <w:lang w:val="es-ES"/>
        </w:rPr>
        <w:t>Se</w:t>
      </w:r>
      <w:r w:rsidRPr="001F0CA7">
        <w:rPr>
          <w:rFonts w:ascii="Calibri" w:hAnsi="Calibri" w:cs="Calibri"/>
          <w:sz w:val="20"/>
          <w:szCs w:val="20"/>
          <w:lang w:val="es-ES"/>
        </w:rPr>
        <w:t xml:space="preserve"> han asignado tareas a grupos de estudio para completar a tiempo para la CMR-23 estudios de compartición y compatibilidad con miras a garantizar la protección de los servicios a los que esté atribuida la banda de frecuencias a título primario, sin imponer limitaciones reglamentarias o técnicas adicionales a esos servicios, y también, según proceda, la protección de los servicios en las bandas adyacentes, para las bandas de frecuencias:  3 600-3 800 MHz y 3 300-3 400 MHz (Región 2); – 3 300-3 400 MHz (modificación del número existente para la Región 1); – 7 025-7 125 MHz (en todo el mundo); – 6 425-7 025 MHz (Región 1) – 10,0-10,5 GHz (Región 2). Actualmente se definen los criterios de protección para efectuar los estudios para la </w:t>
      </w:r>
      <w:proofErr w:type="spellStart"/>
      <w:r w:rsidRPr="001F0CA7">
        <w:rPr>
          <w:rFonts w:ascii="Calibri" w:hAnsi="Calibri" w:cs="Calibri"/>
          <w:sz w:val="20"/>
          <w:szCs w:val="20"/>
          <w:lang w:val="es-ES"/>
        </w:rPr>
        <w:t>identicación</w:t>
      </w:r>
      <w:proofErr w:type="spellEnd"/>
      <w:r w:rsidRPr="001F0CA7">
        <w:rPr>
          <w:rFonts w:ascii="Calibri" w:hAnsi="Calibri" w:cs="Calibri"/>
          <w:sz w:val="20"/>
          <w:szCs w:val="20"/>
          <w:lang w:val="es-ES"/>
        </w:rPr>
        <w:t xml:space="preserve"> de bandas de frecuencias para la componente terrenal de las Telecomunicaciones Móviles Internacionales en la Región 2 y como puede observarse se lograron acuerdos para llevarlos a cabo en dos segmentos de la banda 3 GHz,  no hubo acuerdo para llevar a cabo dichos estudios para la banda 6 GHz en la Región 2, si lo hubo para la Región 1Ver la Resolución 245 (CMR-19), página 457 de las Actas Finales de la Conferencia Mundial de Radiocomunicaciones 2019 disponible en https://www.itu.int/dms_pub/itu-r/opb/act/R-ACT-WRC.14-2019-PDF-S.pdf</w:t>
      </w:r>
    </w:p>
  </w:footnote>
  <w:footnote w:id="8">
    <w:p w14:paraId="4B8E0991" w14:textId="70A81000" w:rsidR="000D0121" w:rsidRPr="000D0121" w:rsidRDefault="000D0121" w:rsidP="001F0CA7">
      <w:pPr>
        <w:pStyle w:val="Textonotapie"/>
        <w:jc w:val="both"/>
        <w:rPr>
          <w:lang w:val="es-ES"/>
        </w:rPr>
      </w:pPr>
      <w:r w:rsidRPr="001F0CA7">
        <w:rPr>
          <w:rStyle w:val="Refdenotaalpie"/>
          <w:rFonts w:ascii="Calibri" w:hAnsi="Calibri" w:cs="Calibri"/>
        </w:rPr>
        <w:footnoteRef/>
      </w:r>
      <w:r w:rsidRPr="001F0CA7">
        <w:rPr>
          <w:rFonts w:ascii="Calibri" w:hAnsi="Calibri" w:cs="Calibri"/>
        </w:rPr>
        <w:t xml:space="preserve"> </w:t>
      </w:r>
      <w:r w:rsidRPr="001F0CA7">
        <w:rPr>
          <w:rFonts w:ascii="Calibri" w:hAnsi="Calibri" w:cs="Calibri"/>
          <w:lang w:val="es-ES"/>
        </w:rPr>
        <w:t>LFTR</w:t>
      </w:r>
      <w:r w:rsidR="00F46700" w:rsidRPr="001F0CA7">
        <w:rPr>
          <w:rFonts w:ascii="Calibri" w:hAnsi="Calibri" w:cs="Calibri"/>
          <w:lang w:val="es-ES"/>
        </w:rPr>
        <w:t>, 2017</w:t>
      </w:r>
    </w:p>
  </w:footnote>
  <w:footnote w:id="9">
    <w:p w14:paraId="5B75C9A6" w14:textId="5A8A5698" w:rsidR="000D0121" w:rsidRPr="001F0CA7" w:rsidRDefault="000D0121"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rPr>
        <w:t xml:space="preserve"> </w:t>
      </w:r>
      <w:proofErr w:type="spellStart"/>
      <w:r w:rsidRPr="001F0CA7">
        <w:rPr>
          <w:rFonts w:ascii="Calibri" w:hAnsi="Calibri" w:cs="Calibri"/>
          <w:lang w:val="es-ES"/>
        </w:rPr>
        <w:t>Idem</w:t>
      </w:r>
      <w:proofErr w:type="spellEnd"/>
    </w:p>
  </w:footnote>
  <w:footnote w:id="10">
    <w:p w14:paraId="3FB1AA7D" w14:textId="4401E137" w:rsidR="000D0121" w:rsidRPr="000D0121" w:rsidRDefault="000D0121" w:rsidP="001F0CA7">
      <w:pPr>
        <w:pStyle w:val="Textonotapie"/>
        <w:jc w:val="both"/>
        <w:rPr>
          <w:lang w:val="es-ES"/>
        </w:rPr>
      </w:pPr>
      <w:r w:rsidRPr="001F0CA7">
        <w:rPr>
          <w:rStyle w:val="Refdenotaalpie"/>
          <w:rFonts w:ascii="Calibri" w:hAnsi="Calibri" w:cs="Calibri"/>
        </w:rPr>
        <w:footnoteRef/>
      </w:r>
      <w:r w:rsidRPr="001F0CA7">
        <w:rPr>
          <w:rFonts w:ascii="Calibri" w:hAnsi="Calibri" w:cs="Calibri"/>
        </w:rPr>
        <w:t xml:space="preserve"> </w:t>
      </w:r>
      <w:proofErr w:type="spellStart"/>
      <w:r w:rsidRPr="001F0CA7">
        <w:rPr>
          <w:rFonts w:ascii="Calibri" w:hAnsi="Calibri" w:cs="Calibri"/>
          <w:lang w:val="es-ES"/>
        </w:rPr>
        <w:t>Idem</w:t>
      </w:r>
      <w:proofErr w:type="spellEnd"/>
    </w:p>
  </w:footnote>
  <w:footnote w:id="11">
    <w:p w14:paraId="56DADA92" w14:textId="6942D67B" w:rsidR="00F46700" w:rsidRPr="001F0CA7" w:rsidRDefault="00F46700"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lang w:val="es-ES"/>
        </w:rPr>
        <w:t xml:space="preserve"> v.g. Global </w:t>
      </w:r>
      <w:proofErr w:type="spellStart"/>
      <w:r w:rsidRPr="001F0CA7">
        <w:rPr>
          <w:rFonts w:ascii="Calibri" w:hAnsi="Calibri" w:cs="Calibri"/>
          <w:lang w:val="es-ES"/>
        </w:rPr>
        <w:t>VSat</w:t>
      </w:r>
      <w:proofErr w:type="spellEnd"/>
      <w:r w:rsidRPr="001F0CA7">
        <w:rPr>
          <w:rFonts w:ascii="Calibri" w:hAnsi="Calibri" w:cs="Calibri"/>
          <w:lang w:val="es-ES"/>
        </w:rPr>
        <w:t xml:space="preserve"> </w:t>
      </w:r>
      <w:proofErr w:type="spellStart"/>
      <w:r w:rsidRPr="001F0CA7">
        <w:rPr>
          <w:rFonts w:ascii="Calibri" w:hAnsi="Calibri" w:cs="Calibri"/>
          <w:lang w:val="es-ES"/>
        </w:rPr>
        <w:t>Forum</w:t>
      </w:r>
      <w:proofErr w:type="spellEnd"/>
      <w:r w:rsidRPr="001F0CA7">
        <w:rPr>
          <w:rFonts w:ascii="Calibri" w:hAnsi="Calibri" w:cs="Calibri"/>
          <w:lang w:val="es-ES"/>
        </w:rPr>
        <w:t xml:space="preserve">, Consulta Pública IFT, 2020. </w:t>
      </w:r>
    </w:p>
  </w:footnote>
  <w:footnote w:id="12">
    <w:p w14:paraId="62E14830" w14:textId="07AEC42D" w:rsidR="00F46700" w:rsidRPr="00F46700" w:rsidRDefault="00F46700" w:rsidP="001F0CA7">
      <w:pPr>
        <w:pStyle w:val="Textonotapie"/>
        <w:jc w:val="both"/>
      </w:pPr>
      <w:r w:rsidRPr="001F0CA7">
        <w:rPr>
          <w:rStyle w:val="Refdenotaalpie"/>
          <w:rFonts w:ascii="Calibri" w:hAnsi="Calibri" w:cs="Calibri"/>
        </w:rPr>
        <w:footnoteRef/>
      </w:r>
      <w:r w:rsidRPr="001F0CA7">
        <w:rPr>
          <w:rFonts w:ascii="Calibri" w:hAnsi="Calibri" w:cs="Calibri"/>
        </w:rPr>
        <w:t xml:space="preserve"> </w:t>
      </w:r>
      <w:proofErr w:type="spellStart"/>
      <w:r w:rsidRPr="001F0CA7">
        <w:rPr>
          <w:rFonts w:ascii="Calibri" w:hAnsi="Calibri" w:cs="Calibri"/>
        </w:rPr>
        <w:t>n.b.</w:t>
      </w:r>
      <w:proofErr w:type="spellEnd"/>
      <w:r w:rsidRPr="001F0CA7">
        <w:rPr>
          <w:rFonts w:ascii="Calibri" w:hAnsi="Calibri" w:cs="Calibri"/>
        </w:rPr>
        <w:t xml:space="preserve"> Lanzado en 2012 con un tiempo de vida estimado de 15 años (i.e. 2027).</w:t>
      </w:r>
      <w:r>
        <w:t xml:space="preserve"> </w:t>
      </w:r>
    </w:p>
  </w:footnote>
  <w:footnote w:id="13">
    <w:p w14:paraId="62BAAD52" w14:textId="361927D9" w:rsidR="00F219F2" w:rsidRPr="001F0CA7" w:rsidRDefault="00F219F2"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rPr>
        <w:t xml:space="preserve"> </w:t>
      </w:r>
      <w:r w:rsidRPr="001F0CA7">
        <w:rPr>
          <w:rFonts w:ascii="Calibri" w:hAnsi="Calibri" w:cs="Calibri"/>
          <w:lang w:val="es-ES"/>
        </w:rPr>
        <w:t>De acuerdo con el estudio “Las Redes de Acceso Inalámbrico a Internet en Comunidades con alto índice de Marginación Digital” del Centro Mexicano para el Desarrollo de Comunicaciones Comunitarias (2021), el número de poblaciones que han reducido dich</w:t>
      </w:r>
      <w:r w:rsidR="009156DC" w:rsidRPr="001F0CA7">
        <w:rPr>
          <w:rFonts w:ascii="Calibri" w:hAnsi="Calibri" w:cs="Calibri"/>
          <w:lang w:val="es-ES"/>
        </w:rPr>
        <w:t>o</w:t>
      </w:r>
      <w:r w:rsidRPr="001F0CA7">
        <w:rPr>
          <w:rFonts w:ascii="Calibri" w:hAnsi="Calibri" w:cs="Calibri"/>
          <w:lang w:val="es-ES"/>
        </w:rPr>
        <w:t xml:space="preserve"> índice de marginación </w:t>
      </w:r>
      <w:r w:rsidR="002C0D85" w:rsidRPr="001F0CA7">
        <w:rPr>
          <w:rFonts w:ascii="Calibri" w:hAnsi="Calibri" w:cs="Calibri"/>
          <w:lang w:val="es-ES"/>
        </w:rPr>
        <w:t xml:space="preserve">es de más de 11,500 localidades pequeñas en el país. </w:t>
      </w:r>
    </w:p>
    <w:p w14:paraId="238B41A9" w14:textId="77777777" w:rsidR="002C0D85" w:rsidRPr="00F219F2" w:rsidRDefault="002C0D85">
      <w:pPr>
        <w:pStyle w:val="Textonotapie"/>
        <w:rPr>
          <w:lang w:val="es-ES"/>
        </w:rPr>
      </w:pPr>
    </w:p>
  </w:footnote>
  <w:footnote w:id="14">
    <w:p w14:paraId="6208FB26" w14:textId="77777777" w:rsidR="00C233DF" w:rsidRPr="001F0CA7" w:rsidRDefault="00C233DF" w:rsidP="001F0CA7">
      <w:pPr>
        <w:pStyle w:val="Textonotapie"/>
        <w:jc w:val="both"/>
        <w:rPr>
          <w:rFonts w:ascii="Calibri" w:hAnsi="Calibri" w:cs="Calibri"/>
          <w:lang w:val="es-ES"/>
        </w:rPr>
      </w:pPr>
      <w:r w:rsidRPr="001F0CA7">
        <w:rPr>
          <w:rStyle w:val="Refdenotaalpie"/>
          <w:rFonts w:ascii="Calibri" w:hAnsi="Calibri" w:cs="Calibri"/>
        </w:rPr>
        <w:footnoteRef/>
      </w:r>
      <w:r w:rsidRPr="001F0CA7">
        <w:rPr>
          <w:rFonts w:ascii="Calibri" w:hAnsi="Calibri" w:cs="Calibri"/>
        </w:rPr>
        <w:t xml:space="preserve"> El documento completo está disponible en http://www.ift.org.mx/industria/consultas-publicas/consulta-publica-relacionada-con-las-bandas-de-frecuencias-del-espectro-radioelectrico-para-sistemas?page=2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5D30" w14:textId="66E4B233" w:rsidR="00AB4775" w:rsidRDefault="009D0C52">
    <w:pPr>
      <w:pStyle w:val="Encabezado"/>
    </w:pPr>
    <w:r>
      <w:rPr>
        <w:noProof/>
      </w:rPr>
      <w:pict w14:anchorId="11260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506562" o:spid="_x0000_s2049" type="#_x0000_t75" alt="V CC logo (hoja)-01" style="position:absolute;margin-left:-57.55pt;margin-top:-79.9pt;width:609.6pt;height:793.9pt;z-index:-251658752;mso-wrap-style:square;mso-wrap-edited:f;mso-width-percent:0;mso-height-percent:0;mso-wrap-distance-left:9pt;mso-wrap-distance-top:0;mso-wrap-distance-right:9pt;mso-wrap-distance-bottom:0;mso-position-horizontal-relative:margin;mso-position-vertical-relative:margin;mso-width-percent:0;mso-height-percent:0;mso-width-relative:page;mso-height-relative:page;mso-position-horizontal-col-start:0;mso-width-col-span:0;v-text-anchor:top" o:allowincell="f">
          <v:imagedata r:id="rId1" o:title="V CC logo (hoja)-01"/>
          <w10:wrap anchorx="margin" anchory="margin"/>
        </v:shape>
      </w:pict>
    </w:r>
  </w:p>
  <w:p w14:paraId="334F7FE2" w14:textId="77777777" w:rsidR="00AB4775" w:rsidRDefault="00AB4775">
    <w:pPr>
      <w:pStyle w:val="Encabezado"/>
    </w:pPr>
  </w:p>
  <w:p w14:paraId="49A5F208" w14:textId="4CE7779D" w:rsidR="00AB4775" w:rsidRDefault="00AB47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6B5"/>
    <w:multiLevelType w:val="hybridMultilevel"/>
    <w:tmpl w:val="37087C82"/>
    <w:lvl w:ilvl="0" w:tplc="4D6A4F2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D19C9"/>
    <w:multiLevelType w:val="hybridMultilevel"/>
    <w:tmpl w:val="A878B4AE"/>
    <w:lvl w:ilvl="0" w:tplc="DF6CE01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B5C1D"/>
    <w:multiLevelType w:val="hybridMultilevel"/>
    <w:tmpl w:val="504E1216"/>
    <w:lvl w:ilvl="0" w:tplc="4EF8CE0C">
      <w:start w:val="1"/>
      <w:numFmt w:val="decimal"/>
      <w:lvlText w:val="%1."/>
      <w:lvlJc w:val="left"/>
      <w:pPr>
        <w:ind w:left="360" w:hanging="360"/>
      </w:pPr>
      <w:rPr>
        <w:rFonts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6302BE"/>
    <w:multiLevelType w:val="hybridMultilevel"/>
    <w:tmpl w:val="3D38E2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DE33369"/>
    <w:multiLevelType w:val="hybridMultilevel"/>
    <w:tmpl w:val="45CAAC52"/>
    <w:lvl w:ilvl="0" w:tplc="ABD23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FD32EE"/>
    <w:multiLevelType w:val="hybridMultilevel"/>
    <w:tmpl w:val="292E54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2474A"/>
    <w:multiLevelType w:val="hybridMultilevel"/>
    <w:tmpl w:val="6856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3266F"/>
    <w:multiLevelType w:val="hybridMultilevel"/>
    <w:tmpl w:val="39863068"/>
    <w:lvl w:ilvl="0" w:tplc="E8A481D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8"/>
    <w:rsid w:val="000454B8"/>
    <w:rsid w:val="00057EBA"/>
    <w:rsid w:val="00064234"/>
    <w:rsid w:val="00081804"/>
    <w:rsid w:val="000D0121"/>
    <w:rsid w:val="000F1614"/>
    <w:rsid w:val="001029E9"/>
    <w:rsid w:val="001415CB"/>
    <w:rsid w:val="00181125"/>
    <w:rsid w:val="0018235D"/>
    <w:rsid w:val="001932BC"/>
    <w:rsid w:val="00193DB1"/>
    <w:rsid w:val="001C78AB"/>
    <w:rsid w:val="001D08BC"/>
    <w:rsid w:val="001F0CA7"/>
    <w:rsid w:val="00204E4E"/>
    <w:rsid w:val="002222B2"/>
    <w:rsid w:val="002C0D85"/>
    <w:rsid w:val="002F42F9"/>
    <w:rsid w:val="003416C4"/>
    <w:rsid w:val="00373132"/>
    <w:rsid w:val="00375618"/>
    <w:rsid w:val="00383242"/>
    <w:rsid w:val="003836E2"/>
    <w:rsid w:val="00383CF8"/>
    <w:rsid w:val="003B4A5C"/>
    <w:rsid w:val="003C0F07"/>
    <w:rsid w:val="003D7565"/>
    <w:rsid w:val="003E0282"/>
    <w:rsid w:val="00405628"/>
    <w:rsid w:val="00421204"/>
    <w:rsid w:val="0044631A"/>
    <w:rsid w:val="00447F37"/>
    <w:rsid w:val="0046227E"/>
    <w:rsid w:val="004707E5"/>
    <w:rsid w:val="0047244D"/>
    <w:rsid w:val="00491550"/>
    <w:rsid w:val="004B2BCD"/>
    <w:rsid w:val="004B4126"/>
    <w:rsid w:val="004C20E1"/>
    <w:rsid w:val="004E45F0"/>
    <w:rsid w:val="004F1D13"/>
    <w:rsid w:val="00585C1D"/>
    <w:rsid w:val="005916EA"/>
    <w:rsid w:val="005948E0"/>
    <w:rsid w:val="005A25E5"/>
    <w:rsid w:val="005B63AD"/>
    <w:rsid w:val="005B6C88"/>
    <w:rsid w:val="005E39A5"/>
    <w:rsid w:val="00611D91"/>
    <w:rsid w:val="00665429"/>
    <w:rsid w:val="00713384"/>
    <w:rsid w:val="00740D87"/>
    <w:rsid w:val="00744AEE"/>
    <w:rsid w:val="007533B9"/>
    <w:rsid w:val="0076552D"/>
    <w:rsid w:val="0077396A"/>
    <w:rsid w:val="007A269D"/>
    <w:rsid w:val="007A5F21"/>
    <w:rsid w:val="007C4661"/>
    <w:rsid w:val="007D1D8C"/>
    <w:rsid w:val="007F0490"/>
    <w:rsid w:val="00834D04"/>
    <w:rsid w:val="00835EB3"/>
    <w:rsid w:val="008758A4"/>
    <w:rsid w:val="00896C5B"/>
    <w:rsid w:val="008F2CAD"/>
    <w:rsid w:val="009018D2"/>
    <w:rsid w:val="009156DC"/>
    <w:rsid w:val="009242E9"/>
    <w:rsid w:val="009828A9"/>
    <w:rsid w:val="00982DFE"/>
    <w:rsid w:val="00996D60"/>
    <w:rsid w:val="009B5232"/>
    <w:rsid w:val="009B7130"/>
    <w:rsid w:val="009D0C52"/>
    <w:rsid w:val="009D585B"/>
    <w:rsid w:val="009E25CC"/>
    <w:rsid w:val="009F23F5"/>
    <w:rsid w:val="009F64AF"/>
    <w:rsid w:val="00A030DB"/>
    <w:rsid w:val="00A345F7"/>
    <w:rsid w:val="00A37CD1"/>
    <w:rsid w:val="00A65860"/>
    <w:rsid w:val="00A9192F"/>
    <w:rsid w:val="00A93A7A"/>
    <w:rsid w:val="00AA3D2B"/>
    <w:rsid w:val="00AA40AE"/>
    <w:rsid w:val="00AA73A0"/>
    <w:rsid w:val="00AB4775"/>
    <w:rsid w:val="00AE250F"/>
    <w:rsid w:val="00AE4EBA"/>
    <w:rsid w:val="00B0238B"/>
    <w:rsid w:val="00B03590"/>
    <w:rsid w:val="00B07AC2"/>
    <w:rsid w:val="00B142DF"/>
    <w:rsid w:val="00B15717"/>
    <w:rsid w:val="00B26F32"/>
    <w:rsid w:val="00B4009B"/>
    <w:rsid w:val="00B454A9"/>
    <w:rsid w:val="00B77EB5"/>
    <w:rsid w:val="00B830AF"/>
    <w:rsid w:val="00BA4E7A"/>
    <w:rsid w:val="00BB4E7D"/>
    <w:rsid w:val="00BC4F43"/>
    <w:rsid w:val="00BC69A8"/>
    <w:rsid w:val="00BF0A98"/>
    <w:rsid w:val="00C20AD9"/>
    <w:rsid w:val="00C233DF"/>
    <w:rsid w:val="00C36228"/>
    <w:rsid w:val="00C62293"/>
    <w:rsid w:val="00C84548"/>
    <w:rsid w:val="00C84F1E"/>
    <w:rsid w:val="00C87418"/>
    <w:rsid w:val="00CA7F3D"/>
    <w:rsid w:val="00CB5EC0"/>
    <w:rsid w:val="00CF4AEF"/>
    <w:rsid w:val="00CF4FCF"/>
    <w:rsid w:val="00CF6418"/>
    <w:rsid w:val="00D01C03"/>
    <w:rsid w:val="00D05055"/>
    <w:rsid w:val="00D13FEE"/>
    <w:rsid w:val="00D14018"/>
    <w:rsid w:val="00D302D1"/>
    <w:rsid w:val="00D3328C"/>
    <w:rsid w:val="00D36F7B"/>
    <w:rsid w:val="00D74E74"/>
    <w:rsid w:val="00D8195E"/>
    <w:rsid w:val="00D93884"/>
    <w:rsid w:val="00D97503"/>
    <w:rsid w:val="00D97975"/>
    <w:rsid w:val="00DB7F8F"/>
    <w:rsid w:val="00DF75B9"/>
    <w:rsid w:val="00E51075"/>
    <w:rsid w:val="00E968BA"/>
    <w:rsid w:val="00EE259D"/>
    <w:rsid w:val="00EE3F7A"/>
    <w:rsid w:val="00F0510C"/>
    <w:rsid w:val="00F174F1"/>
    <w:rsid w:val="00F219F2"/>
    <w:rsid w:val="00F24836"/>
    <w:rsid w:val="00F35E98"/>
    <w:rsid w:val="00F46700"/>
    <w:rsid w:val="00FA09D4"/>
    <w:rsid w:val="00FA48F8"/>
    <w:rsid w:val="00FF2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66E58"/>
  <w15:chartTrackingRefBased/>
  <w15:docId w15:val="{645DA62E-0DC2-EB4D-AFE9-5117468C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43"/>
    <w:rPr>
      <w:rFonts w:ascii="Times New Roman" w:eastAsia="Times New Roman" w:hAnsi="Times New Roman" w:cs="Times New Roman"/>
    </w:rPr>
  </w:style>
  <w:style w:type="paragraph" w:styleId="Ttulo2">
    <w:name w:val="heading 2"/>
    <w:basedOn w:val="Normal"/>
    <w:link w:val="Ttulo2Car"/>
    <w:uiPriority w:val="9"/>
    <w:qFormat/>
    <w:rsid w:val="0076552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552D"/>
    <w:rPr>
      <w:rFonts w:ascii="Times New Roman" w:eastAsia="Times New Roman" w:hAnsi="Times New Roman" w:cs="Times New Roman"/>
      <w:b/>
      <w:bCs/>
      <w:sz w:val="36"/>
      <w:szCs w:val="36"/>
    </w:rPr>
  </w:style>
  <w:style w:type="table" w:styleId="Tablanormal3">
    <w:name w:val="Plain Table 3"/>
    <w:basedOn w:val="Tablanormal"/>
    <w:uiPriority w:val="43"/>
    <w:rsid w:val="009F64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9F64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8758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independiente">
    <w:name w:val="Body Text"/>
    <w:basedOn w:val="Normal"/>
    <w:link w:val="TextoindependienteCar"/>
    <w:uiPriority w:val="1"/>
    <w:qFormat/>
    <w:rsid w:val="00D74E74"/>
    <w:pPr>
      <w:widowControl w:val="0"/>
      <w:autoSpaceDE w:val="0"/>
      <w:autoSpaceDN w:val="0"/>
    </w:pPr>
    <w:rPr>
      <w:rFonts w:ascii="Arial" w:eastAsia="Arial" w:hAnsi="Arial" w:cs="Arial"/>
    </w:rPr>
  </w:style>
  <w:style w:type="character" w:customStyle="1" w:styleId="TextoindependienteCar">
    <w:name w:val="Texto independiente Car"/>
    <w:basedOn w:val="Fuentedeprrafopredeter"/>
    <w:link w:val="Textoindependiente"/>
    <w:uiPriority w:val="1"/>
    <w:rsid w:val="00D74E74"/>
    <w:rPr>
      <w:rFonts w:ascii="Arial" w:eastAsia="Arial" w:hAnsi="Arial" w:cs="Arial"/>
      <w:lang w:val="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nhideWhenUsed/>
    <w:qFormat/>
    <w:rsid w:val="00064234"/>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rsid w:val="00064234"/>
    <w:rPr>
      <w:rFonts w:ascii="Times New Roman" w:eastAsia="Times New Roman" w:hAnsi="Times New Roman"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064234"/>
    <w:rPr>
      <w:vertAlign w:val="superscript"/>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Párrafo de lista1,Bullet List,列出段落"/>
    <w:basedOn w:val="Normal"/>
    <w:link w:val="PrrafodelistaCar"/>
    <w:uiPriority w:val="34"/>
    <w:qFormat/>
    <w:rsid w:val="001415CB"/>
    <w:pPr>
      <w:ind w:left="720"/>
      <w:contextualSpacing/>
    </w:pPr>
  </w:style>
  <w:style w:type="paragraph" w:styleId="Piedepgina">
    <w:name w:val="footer"/>
    <w:basedOn w:val="Normal"/>
    <w:link w:val="PiedepginaCar"/>
    <w:uiPriority w:val="99"/>
    <w:unhideWhenUsed/>
    <w:rsid w:val="001932BC"/>
    <w:pPr>
      <w:tabs>
        <w:tab w:val="center" w:pos="4680"/>
        <w:tab w:val="right" w:pos="9360"/>
      </w:tabs>
    </w:pPr>
  </w:style>
  <w:style w:type="character" w:customStyle="1" w:styleId="PiedepginaCar">
    <w:name w:val="Pie de página Car"/>
    <w:basedOn w:val="Fuentedeprrafopredeter"/>
    <w:link w:val="Piedepgina"/>
    <w:uiPriority w:val="99"/>
    <w:rsid w:val="001932BC"/>
    <w:rPr>
      <w:rFonts w:ascii="Times New Roman" w:eastAsia="Times New Roman" w:hAnsi="Times New Roman" w:cs="Times New Roman"/>
    </w:rPr>
  </w:style>
  <w:style w:type="character" w:styleId="Nmerodepgina">
    <w:name w:val="page number"/>
    <w:basedOn w:val="Fuentedeprrafopredeter"/>
    <w:uiPriority w:val="99"/>
    <w:semiHidden/>
    <w:unhideWhenUsed/>
    <w:rsid w:val="001932BC"/>
  </w:style>
  <w:style w:type="character" w:styleId="Refdecomentario">
    <w:name w:val="annotation reference"/>
    <w:basedOn w:val="Fuentedeprrafopredeter"/>
    <w:uiPriority w:val="99"/>
    <w:semiHidden/>
    <w:unhideWhenUsed/>
    <w:rsid w:val="0077396A"/>
    <w:rPr>
      <w:sz w:val="16"/>
      <w:szCs w:val="16"/>
    </w:rPr>
  </w:style>
  <w:style w:type="paragraph" w:styleId="Textocomentario">
    <w:name w:val="annotation text"/>
    <w:basedOn w:val="Normal"/>
    <w:link w:val="TextocomentarioCar"/>
    <w:uiPriority w:val="99"/>
    <w:semiHidden/>
    <w:unhideWhenUsed/>
    <w:rsid w:val="0077396A"/>
    <w:rPr>
      <w:sz w:val="20"/>
      <w:szCs w:val="20"/>
    </w:rPr>
  </w:style>
  <w:style w:type="character" w:customStyle="1" w:styleId="TextocomentarioCar">
    <w:name w:val="Texto comentario Car"/>
    <w:basedOn w:val="Fuentedeprrafopredeter"/>
    <w:link w:val="Textocomentario"/>
    <w:uiPriority w:val="99"/>
    <w:semiHidden/>
    <w:rsid w:val="0077396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7396A"/>
    <w:rPr>
      <w:b/>
      <w:bCs/>
    </w:rPr>
  </w:style>
  <w:style w:type="character" w:customStyle="1" w:styleId="AsuntodelcomentarioCar">
    <w:name w:val="Asunto del comentario Car"/>
    <w:basedOn w:val="TextocomentarioCar"/>
    <w:link w:val="Asuntodelcomentario"/>
    <w:uiPriority w:val="99"/>
    <w:semiHidden/>
    <w:rsid w:val="0077396A"/>
    <w:rPr>
      <w:rFonts w:ascii="Times New Roman" w:eastAsia="Times New Roman" w:hAnsi="Times New Roman" w:cs="Times New Roman"/>
      <w:b/>
      <w:bCs/>
      <w:sz w:val="20"/>
      <w:szCs w:val="20"/>
    </w:rPr>
  </w:style>
  <w:style w:type="paragraph" w:styleId="Revisin">
    <w:name w:val="Revision"/>
    <w:hidden/>
    <w:uiPriority w:val="99"/>
    <w:semiHidden/>
    <w:rsid w:val="000F1614"/>
    <w:rPr>
      <w:rFonts w:ascii="Times New Roman" w:eastAsia="Times New Roman" w:hAnsi="Times New Roman" w:cs="Times New Roman"/>
    </w:rPr>
  </w:style>
  <w:style w:type="paragraph" w:styleId="NormalWeb">
    <w:name w:val="Normal (Web)"/>
    <w:basedOn w:val="Normal"/>
    <w:uiPriority w:val="99"/>
    <w:unhideWhenUsed/>
    <w:rsid w:val="00BC4F43"/>
    <w:pPr>
      <w:spacing w:before="100" w:beforeAutospacing="1" w:after="100" w:afterAutospacing="1"/>
    </w:p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26F32"/>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AB47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775"/>
    <w:rPr>
      <w:rFonts w:ascii="Segoe UI" w:eastAsia="Times New Roman" w:hAnsi="Segoe UI" w:cs="Segoe UI"/>
      <w:sz w:val="18"/>
      <w:szCs w:val="18"/>
    </w:rPr>
  </w:style>
  <w:style w:type="paragraph" w:styleId="Encabezado">
    <w:name w:val="header"/>
    <w:basedOn w:val="Normal"/>
    <w:link w:val="EncabezadoCar"/>
    <w:uiPriority w:val="99"/>
    <w:unhideWhenUsed/>
    <w:rsid w:val="00AB4775"/>
    <w:pPr>
      <w:tabs>
        <w:tab w:val="center" w:pos="4419"/>
        <w:tab w:val="right" w:pos="8838"/>
      </w:tabs>
    </w:pPr>
  </w:style>
  <w:style w:type="character" w:customStyle="1" w:styleId="EncabezadoCar">
    <w:name w:val="Encabezado Car"/>
    <w:basedOn w:val="Fuentedeprrafopredeter"/>
    <w:link w:val="Encabezado"/>
    <w:uiPriority w:val="99"/>
    <w:rsid w:val="00AB47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4451">
      <w:bodyDiv w:val="1"/>
      <w:marLeft w:val="0"/>
      <w:marRight w:val="0"/>
      <w:marTop w:val="0"/>
      <w:marBottom w:val="0"/>
      <w:divBdr>
        <w:top w:val="none" w:sz="0" w:space="0" w:color="auto"/>
        <w:left w:val="none" w:sz="0" w:space="0" w:color="auto"/>
        <w:bottom w:val="none" w:sz="0" w:space="0" w:color="auto"/>
        <w:right w:val="none" w:sz="0" w:space="0" w:color="auto"/>
      </w:divBdr>
      <w:divsChild>
        <w:div w:id="1413426182">
          <w:marLeft w:val="0"/>
          <w:marRight w:val="0"/>
          <w:marTop w:val="0"/>
          <w:marBottom w:val="0"/>
          <w:divBdr>
            <w:top w:val="none" w:sz="0" w:space="0" w:color="auto"/>
            <w:left w:val="none" w:sz="0" w:space="0" w:color="auto"/>
            <w:bottom w:val="none" w:sz="0" w:space="0" w:color="auto"/>
            <w:right w:val="none" w:sz="0" w:space="0" w:color="auto"/>
          </w:divBdr>
          <w:divsChild>
            <w:div w:id="498693000">
              <w:marLeft w:val="-225"/>
              <w:marRight w:val="-225"/>
              <w:marTop w:val="0"/>
              <w:marBottom w:val="0"/>
              <w:divBdr>
                <w:top w:val="none" w:sz="0" w:space="0" w:color="auto"/>
                <w:left w:val="none" w:sz="0" w:space="0" w:color="auto"/>
                <w:bottom w:val="none" w:sz="0" w:space="0" w:color="auto"/>
                <w:right w:val="none" w:sz="0" w:space="0" w:color="auto"/>
              </w:divBdr>
              <w:divsChild>
                <w:div w:id="357465191">
                  <w:marLeft w:val="0"/>
                  <w:marRight w:val="0"/>
                  <w:marTop w:val="0"/>
                  <w:marBottom w:val="0"/>
                  <w:divBdr>
                    <w:top w:val="none" w:sz="0" w:space="0" w:color="auto"/>
                    <w:left w:val="none" w:sz="0" w:space="0" w:color="auto"/>
                    <w:bottom w:val="none" w:sz="0" w:space="0" w:color="auto"/>
                    <w:right w:val="none" w:sz="0" w:space="0" w:color="auto"/>
                  </w:divBdr>
                  <w:divsChild>
                    <w:div w:id="2066754991">
                      <w:marLeft w:val="0"/>
                      <w:marRight w:val="0"/>
                      <w:marTop w:val="450"/>
                      <w:marBottom w:val="450"/>
                      <w:divBdr>
                        <w:top w:val="none" w:sz="0" w:space="0" w:color="auto"/>
                        <w:left w:val="none" w:sz="0" w:space="0" w:color="auto"/>
                        <w:bottom w:val="none" w:sz="0" w:space="0" w:color="auto"/>
                        <w:right w:val="none" w:sz="0" w:space="0" w:color="auto"/>
                      </w:divBdr>
                      <w:divsChild>
                        <w:div w:id="562446440">
                          <w:marLeft w:val="0"/>
                          <w:marRight w:val="0"/>
                          <w:marTop w:val="0"/>
                          <w:marBottom w:val="0"/>
                          <w:divBdr>
                            <w:top w:val="none" w:sz="0" w:space="0" w:color="auto"/>
                            <w:left w:val="none" w:sz="0" w:space="0" w:color="auto"/>
                            <w:bottom w:val="none" w:sz="0" w:space="0" w:color="auto"/>
                            <w:right w:val="none" w:sz="0" w:space="0" w:color="auto"/>
                          </w:divBdr>
                          <w:divsChild>
                            <w:div w:id="803352438">
                              <w:marLeft w:val="0"/>
                              <w:marRight w:val="0"/>
                              <w:marTop w:val="0"/>
                              <w:marBottom w:val="0"/>
                              <w:divBdr>
                                <w:top w:val="none" w:sz="0" w:space="0" w:color="auto"/>
                                <w:left w:val="none" w:sz="0" w:space="0" w:color="auto"/>
                                <w:bottom w:val="single" w:sz="6" w:space="11" w:color="E5E5E5"/>
                                <w:right w:val="none" w:sz="0" w:space="0" w:color="auto"/>
                              </w:divBdr>
                            </w:div>
                            <w:div w:id="158375316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5296535">
      <w:bodyDiv w:val="1"/>
      <w:marLeft w:val="0"/>
      <w:marRight w:val="0"/>
      <w:marTop w:val="0"/>
      <w:marBottom w:val="0"/>
      <w:divBdr>
        <w:top w:val="none" w:sz="0" w:space="0" w:color="auto"/>
        <w:left w:val="none" w:sz="0" w:space="0" w:color="auto"/>
        <w:bottom w:val="none" w:sz="0" w:space="0" w:color="auto"/>
        <w:right w:val="none" w:sz="0" w:space="0" w:color="auto"/>
      </w:divBdr>
      <w:divsChild>
        <w:div w:id="1945074216">
          <w:marLeft w:val="0"/>
          <w:marRight w:val="0"/>
          <w:marTop w:val="0"/>
          <w:marBottom w:val="0"/>
          <w:divBdr>
            <w:top w:val="none" w:sz="0" w:space="0" w:color="auto"/>
            <w:left w:val="none" w:sz="0" w:space="0" w:color="auto"/>
            <w:bottom w:val="single" w:sz="6" w:space="11" w:color="E5E5E5"/>
            <w:right w:val="none" w:sz="0" w:space="0" w:color="auto"/>
          </w:divBdr>
        </w:div>
      </w:divsChild>
    </w:div>
    <w:div w:id="190269213">
      <w:bodyDiv w:val="1"/>
      <w:marLeft w:val="0"/>
      <w:marRight w:val="0"/>
      <w:marTop w:val="0"/>
      <w:marBottom w:val="0"/>
      <w:divBdr>
        <w:top w:val="none" w:sz="0" w:space="0" w:color="auto"/>
        <w:left w:val="none" w:sz="0" w:space="0" w:color="auto"/>
        <w:bottom w:val="none" w:sz="0" w:space="0" w:color="auto"/>
        <w:right w:val="none" w:sz="0" w:space="0" w:color="auto"/>
      </w:divBdr>
      <w:divsChild>
        <w:div w:id="373505038">
          <w:marLeft w:val="0"/>
          <w:marRight w:val="0"/>
          <w:marTop w:val="0"/>
          <w:marBottom w:val="0"/>
          <w:divBdr>
            <w:top w:val="none" w:sz="0" w:space="0" w:color="auto"/>
            <w:left w:val="none" w:sz="0" w:space="0" w:color="auto"/>
            <w:bottom w:val="none" w:sz="0" w:space="0" w:color="auto"/>
            <w:right w:val="none" w:sz="0" w:space="0" w:color="auto"/>
          </w:divBdr>
          <w:divsChild>
            <w:div w:id="874270072">
              <w:marLeft w:val="-225"/>
              <w:marRight w:val="-225"/>
              <w:marTop w:val="0"/>
              <w:marBottom w:val="0"/>
              <w:divBdr>
                <w:top w:val="none" w:sz="0" w:space="0" w:color="auto"/>
                <w:left w:val="none" w:sz="0" w:space="0" w:color="auto"/>
                <w:bottom w:val="none" w:sz="0" w:space="0" w:color="auto"/>
                <w:right w:val="none" w:sz="0" w:space="0" w:color="auto"/>
              </w:divBdr>
              <w:divsChild>
                <w:div w:id="102501748">
                  <w:marLeft w:val="0"/>
                  <w:marRight w:val="0"/>
                  <w:marTop w:val="0"/>
                  <w:marBottom w:val="0"/>
                  <w:divBdr>
                    <w:top w:val="none" w:sz="0" w:space="0" w:color="auto"/>
                    <w:left w:val="none" w:sz="0" w:space="0" w:color="auto"/>
                    <w:bottom w:val="none" w:sz="0" w:space="0" w:color="auto"/>
                    <w:right w:val="none" w:sz="0" w:space="0" w:color="auto"/>
                  </w:divBdr>
                  <w:divsChild>
                    <w:div w:id="105925164">
                      <w:marLeft w:val="0"/>
                      <w:marRight w:val="0"/>
                      <w:marTop w:val="450"/>
                      <w:marBottom w:val="450"/>
                      <w:divBdr>
                        <w:top w:val="none" w:sz="0" w:space="0" w:color="auto"/>
                        <w:left w:val="none" w:sz="0" w:space="0" w:color="auto"/>
                        <w:bottom w:val="none" w:sz="0" w:space="0" w:color="auto"/>
                        <w:right w:val="none" w:sz="0" w:space="0" w:color="auto"/>
                      </w:divBdr>
                      <w:divsChild>
                        <w:div w:id="375545753">
                          <w:marLeft w:val="0"/>
                          <w:marRight w:val="0"/>
                          <w:marTop w:val="0"/>
                          <w:marBottom w:val="0"/>
                          <w:divBdr>
                            <w:top w:val="none" w:sz="0" w:space="0" w:color="auto"/>
                            <w:left w:val="none" w:sz="0" w:space="0" w:color="auto"/>
                            <w:bottom w:val="none" w:sz="0" w:space="0" w:color="auto"/>
                            <w:right w:val="none" w:sz="0" w:space="0" w:color="auto"/>
                          </w:divBdr>
                          <w:divsChild>
                            <w:div w:id="936789814">
                              <w:marLeft w:val="0"/>
                              <w:marRight w:val="0"/>
                              <w:marTop w:val="0"/>
                              <w:marBottom w:val="0"/>
                              <w:divBdr>
                                <w:top w:val="none" w:sz="0" w:space="0" w:color="auto"/>
                                <w:left w:val="none" w:sz="0" w:space="0" w:color="auto"/>
                                <w:bottom w:val="single" w:sz="6" w:space="11" w:color="E5E5E5"/>
                                <w:right w:val="none" w:sz="0" w:space="0" w:color="auto"/>
                              </w:divBdr>
                            </w:div>
                            <w:div w:id="3639896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96967357">
      <w:bodyDiv w:val="1"/>
      <w:marLeft w:val="0"/>
      <w:marRight w:val="0"/>
      <w:marTop w:val="0"/>
      <w:marBottom w:val="0"/>
      <w:divBdr>
        <w:top w:val="none" w:sz="0" w:space="0" w:color="auto"/>
        <w:left w:val="none" w:sz="0" w:space="0" w:color="auto"/>
        <w:bottom w:val="none" w:sz="0" w:space="0" w:color="auto"/>
        <w:right w:val="none" w:sz="0" w:space="0" w:color="auto"/>
      </w:divBdr>
    </w:div>
    <w:div w:id="528295258">
      <w:bodyDiv w:val="1"/>
      <w:marLeft w:val="0"/>
      <w:marRight w:val="0"/>
      <w:marTop w:val="0"/>
      <w:marBottom w:val="0"/>
      <w:divBdr>
        <w:top w:val="none" w:sz="0" w:space="0" w:color="auto"/>
        <w:left w:val="none" w:sz="0" w:space="0" w:color="auto"/>
        <w:bottom w:val="none" w:sz="0" w:space="0" w:color="auto"/>
        <w:right w:val="none" w:sz="0" w:space="0" w:color="auto"/>
      </w:divBdr>
      <w:divsChild>
        <w:div w:id="7611152">
          <w:marLeft w:val="0"/>
          <w:marRight w:val="0"/>
          <w:marTop w:val="0"/>
          <w:marBottom w:val="0"/>
          <w:divBdr>
            <w:top w:val="none" w:sz="0" w:space="0" w:color="auto"/>
            <w:left w:val="none" w:sz="0" w:space="0" w:color="auto"/>
            <w:bottom w:val="none" w:sz="0" w:space="0" w:color="auto"/>
            <w:right w:val="none" w:sz="0" w:space="0" w:color="auto"/>
          </w:divBdr>
          <w:divsChild>
            <w:div w:id="385959874">
              <w:marLeft w:val="-225"/>
              <w:marRight w:val="-225"/>
              <w:marTop w:val="0"/>
              <w:marBottom w:val="0"/>
              <w:divBdr>
                <w:top w:val="none" w:sz="0" w:space="0" w:color="auto"/>
                <w:left w:val="none" w:sz="0" w:space="0" w:color="auto"/>
                <w:bottom w:val="none" w:sz="0" w:space="0" w:color="auto"/>
                <w:right w:val="none" w:sz="0" w:space="0" w:color="auto"/>
              </w:divBdr>
              <w:divsChild>
                <w:div w:id="413358470">
                  <w:marLeft w:val="0"/>
                  <w:marRight w:val="0"/>
                  <w:marTop w:val="0"/>
                  <w:marBottom w:val="0"/>
                  <w:divBdr>
                    <w:top w:val="none" w:sz="0" w:space="0" w:color="auto"/>
                    <w:left w:val="none" w:sz="0" w:space="0" w:color="auto"/>
                    <w:bottom w:val="none" w:sz="0" w:space="0" w:color="auto"/>
                    <w:right w:val="none" w:sz="0" w:space="0" w:color="auto"/>
                  </w:divBdr>
                  <w:divsChild>
                    <w:div w:id="1097140122">
                      <w:marLeft w:val="0"/>
                      <w:marRight w:val="0"/>
                      <w:marTop w:val="450"/>
                      <w:marBottom w:val="450"/>
                      <w:divBdr>
                        <w:top w:val="none" w:sz="0" w:space="0" w:color="auto"/>
                        <w:left w:val="none" w:sz="0" w:space="0" w:color="auto"/>
                        <w:bottom w:val="none" w:sz="0" w:space="0" w:color="auto"/>
                        <w:right w:val="none" w:sz="0" w:space="0" w:color="auto"/>
                      </w:divBdr>
                      <w:divsChild>
                        <w:div w:id="330106889">
                          <w:marLeft w:val="0"/>
                          <w:marRight w:val="0"/>
                          <w:marTop w:val="0"/>
                          <w:marBottom w:val="0"/>
                          <w:divBdr>
                            <w:top w:val="none" w:sz="0" w:space="0" w:color="auto"/>
                            <w:left w:val="none" w:sz="0" w:space="0" w:color="auto"/>
                            <w:bottom w:val="none" w:sz="0" w:space="0" w:color="auto"/>
                            <w:right w:val="none" w:sz="0" w:space="0" w:color="auto"/>
                          </w:divBdr>
                          <w:divsChild>
                            <w:div w:id="579950112">
                              <w:marLeft w:val="0"/>
                              <w:marRight w:val="0"/>
                              <w:marTop w:val="0"/>
                              <w:marBottom w:val="0"/>
                              <w:divBdr>
                                <w:top w:val="none" w:sz="0" w:space="0" w:color="auto"/>
                                <w:left w:val="none" w:sz="0" w:space="0" w:color="auto"/>
                                <w:bottom w:val="single" w:sz="6" w:space="11" w:color="E5E5E5"/>
                                <w:right w:val="none" w:sz="0" w:space="0" w:color="auto"/>
                              </w:divBdr>
                            </w:div>
                            <w:div w:id="10729682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679084119">
      <w:bodyDiv w:val="1"/>
      <w:marLeft w:val="0"/>
      <w:marRight w:val="0"/>
      <w:marTop w:val="0"/>
      <w:marBottom w:val="0"/>
      <w:divBdr>
        <w:top w:val="none" w:sz="0" w:space="0" w:color="auto"/>
        <w:left w:val="none" w:sz="0" w:space="0" w:color="auto"/>
        <w:bottom w:val="none" w:sz="0" w:space="0" w:color="auto"/>
        <w:right w:val="none" w:sz="0" w:space="0" w:color="auto"/>
      </w:divBdr>
    </w:div>
    <w:div w:id="768965403">
      <w:bodyDiv w:val="1"/>
      <w:marLeft w:val="0"/>
      <w:marRight w:val="0"/>
      <w:marTop w:val="0"/>
      <w:marBottom w:val="0"/>
      <w:divBdr>
        <w:top w:val="none" w:sz="0" w:space="0" w:color="auto"/>
        <w:left w:val="none" w:sz="0" w:space="0" w:color="auto"/>
        <w:bottom w:val="none" w:sz="0" w:space="0" w:color="auto"/>
        <w:right w:val="none" w:sz="0" w:space="0" w:color="auto"/>
      </w:divBdr>
    </w:div>
    <w:div w:id="936137572">
      <w:bodyDiv w:val="1"/>
      <w:marLeft w:val="0"/>
      <w:marRight w:val="0"/>
      <w:marTop w:val="0"/>
      <w:marBottom w:val="0"/>
      <w:divBdr>
        <w:top w:val="none" w:sz="0" w:space="0" w:color="auto"/>
        <w:left w:val="none" w:sz="0" w:space="0" w:color="auto"/>
        <w:bottom w:val="none" w:sz="0" w:space="0" w:color="auto"/>
        <w:right w:val="none" w:sz="0" w:space="0" w:color="auto"/>
      </w:divBdr>
      <w:divsChild>
        <w:div w:id="1701472197">
          <w:marLeft w:val="0"/>
          <w:marRight w:val="0"/>
          <w:marTop w:val="0"/>
          <w:marBottom w:val="0"/>
          <w:divBdr>
            <w:top w:val="none" w:sz="0" w:space="0" w:color="auto"/>
            <w:left w:val="none" w:sz="0" w:space="0" w:color="auto"/>
            <w:bottom w:val="single" w:sz="6" w:space="11" w:color="E5E5E5"/>
            <w:right w:val="none" w:sz="0" w:space="0" w:color="auto"/>
          </w:divBdr>
        </w:div>
      </w:divsChild>
    </w:div>
    <w:div w:id="1179392532">
      <w:bodyDiv w:val="1"/>
      <w:marLeft w:val="0"/>
      <w:marRight w:val="0"/>
      <w:marTop w:val="0"/>
      <w:marBottom w:val="0"/>
      <w:divBdr>
        <w:top w:val="none" w:sz="0" w:space="0" w:color="auto"/>
        <w:left w:val="none" w:sz="0" w:space="0" w:color="auto"/>
        <w:bottom w:val="none" w:sz="0" w:space="0" w:color="auto"/>
        <w:right w:val="none" w:sz="0" w:space="0" w:color="auto"/>
      </w:divBdr>
      <w:divsChild>
        <w:div w:id="1000111698">
          <w:marLeft w:val="0"/>
          <w:marRight w:val="0"/>
          <w:marTop w:val="0"/>
          <w:marBottom w:val="0"/>
          <w:divBdr>
            <w:top w:val="none" w:sz="0" w:space="0" w:color="auto"/>
            <w:left w:val="none" w:sz="0" w:space="0" w:color="auto"/>
            <w:bottom w:val="single" w:sz="6" w:space="11" w:color="E5E5E5"/>
            <w:right w:val="none" w:sz="0" w:space="0" w:color="auto"/>
          </w:divBdr>
        </w:div>
      </w:divsChild>
    </w:div>
    <w:div w:id="1211185799">
      <w:bodyDiv w:val="1"/>
      <w:marLeft w:val="0"/>
      <w:marRight w:val="0"/>
      <w:marTop w:val="0"/>
      <w:marBottom w:val="0"/>
      <w:divBdr>
        <w:top w:val="none" w:sz="0" w:space="0" w:color="auto"/>
        <w:left w:val="none" w:sz="0" w:space="0" w:color="auto"/>
        <w:bottom w:val="none" w:sz="0" w:space="0" w:color="auto"/>
        <w:right w:val="none" w:sz="0" w:space="0" w:color="auto"/>
      </w:divBdr>
      <w:divsChild>
        <w:div w:id="798765680">
          <w:marLeft w:val="0"/>
          <w:marRight w:val="0"/>
          <w:marTop w:val="0"/>
          <w:marBottom w:val="0"/>
          <w:divBdr>
            <w:top w:val="none" w:sz="0" w:space="0" w:color="auto"/>
            <w:left w:val="none" w:sz="0" w:space="0" w:color="auto"/>
            <w:bottom w:val="single" w:sz="6" w:space="11" w:color="E5E5E5"/>
            <w:right w:val="none" w:sz="0" w:space="0" w:color="auto"/>
          </w:divBdr>
        </w:div>
      </w:divsChild>
    </w:div>
    <w:div w:id="1260093170">
      <w:bodyDiv w:val="1"/>
      <w:marLeft w:val="0"/>
      <w:marRight w:val="0"/>
      <w:marTop w:val="0"/>
      <w:marBottom w:val="0"/>
      <w:divBdr>
        <w:top w:val="none" w:sz="0" w:space="0" w:color="auto"/>
        <w:left w:val="none" w:sz="0" w:space="0" w:color="auto"/>
        <w:bottom w:val="none" w:sz="0" w:space="0" w:color="auto"/>
        <w:right w:val="none" w:sz="0" w:space="0" w:color="auto"/>
      </w:divBdr>
    </w:div>
    <w:div w:id="126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84802060">
          <w:marLeft w:val="0"/>
          <w:marRight w:val="0"/>
          <w:marTop w:val="0"/>
          <w:marBottom w:val="0"/>
          <w:divBdr>
            <w:top w:val="none" w:sz="0" w:space="0" w:color="auto"/>
            <w:left w:val="none" w:sz="0" w:space="0" w:color="auto"/>
            <w:bottom w:val="single" w:sz="6" w:space="11" w:color="E5E5E5"/>
            <w:right w:val="none" w:sz="0" w:space="0" w:color="auto"/>
          </w:divBdr>
        </w:div>
      </w:divsChild>
    </w:div>
    <w:div w:id="1343974575">
      <w:bodyDiv w:val="1"/>
      <w:marLeft w:val="0"/>
      <w:marRight w:val="0"/>
      <w:marTop w:val="0"/>
      <w:marBottom w:val="0"/>
      <w:divBdr>
        <w:top w:val="none" w:sz="0" w:space="0" w:color="auto"/>
        <w:left w:val="none" w:sz="0" w:space="0" w:color="auto"/>
        <w:bottom w:val="none" w:sz="0" w:space="0" w:color="auto"/>
        <w:right w:val="none" w:sz="0" w:space="0" w:color="auto"/>
      </w:divBdr>
      <w:divsChild>
        <w:div w:id="1064841408">
          <w:marLeft w:val="0"/>
          <w:marRight w:val="0"/>
          <w:marTop w:val="0"/>
          <w:marBottom w:val="0"/>
          <w:divBdr>
            <w:top w:val="none" w:sz="0" w:space="0" w:color="auto"/>
            <w:left w:val="none" w:sz="0" w:space="0" w:color="auto"/>
            <w:bottom w:val="single" w:sz="6" w:space="11" w:color="E5E5E5"/>
            <w:right w:val="none" w:sz="0" w:space="0" w:color="auto"/>
          </w:divBdr>
        </w:div>
      </w:divsChild>
    </w:div>
    <w:div w:id="1358653419">
      <w:bodyDiv w:val="1"/>
      <w:marLeft w:val="0"/>
      <w:marRight w:val="0"/>
      <w:marTop w:val="0"/>
      <w:marBottom w:val="0"/>
      <w:divBdr>
        <w:top w:val="none" w:sz="0" w:space="0" w:color="auto"/>
        <w:left w:val="none" w:sz="0" w:space="0" w:color="auto"/>
        <w:bottom w:val="none" w:sz="0" w:space="0" w:color="auto"/>
        <w:right w:val="none" w:sz="0" w:space="0" w:color="auto"/>
      </w:divBdr>
    </w:div>
    <w:div w:id="1375887377">
      <w:bodyDiv w:val="1"/>
      <w:marLeft w:val="0"/>
      <w:marRight w:val="0"/>
      <w:marTop w:val="0"/>
      <w:marBottom w:val="0"/>
      <w:divBdr>
        <w:top w:val="none" w:sz="0" w:space="0" w:color="auto"/>
        <w:left w:val="none" w:sz="0" w:space="0" w:color="auto"/>
        <w:bottom w:val="none" w:sz="0" w:space="0" w:color="auto"/>
        <w:right w:val="none" w:sz="0" w:space="0" w:color="auto"/>
      </w:divBdr>
    </w:div>
    <w:div w:id="1404450649">
      <w:bodyDiv w:val="1"/>
      <w:marLeft w:val="0"/>
      <w:marRight w:val="0"/>
      <w:marTop w:val="0"/>
      <w:marBottom w:val="0"/>
      <w:divBdr>
        <w:top w:val="none" w:sz="0" w:space="0" w:color="auto"/>
        <w:left w:val="none" w:sz="0" w:space="0" w:color="auto"/>
        <w:bottom w:val="none" w:sz="0" w:space="0" w:color="auto"/>
        <w:right w:val="none" w:sz="0" w:space="0" w:color="auto"/>
      </w:divBdr>
      <w:divsChild>
        <w:div w:id="1095201045">
          <w:marLeft w:val="0"/>
          <w:marRight w:val="0"/>
          <w:marTop w:val="0"/>
          <w:marBottom w:val="0"/>
          <w:divBdr>
            <w:top w:val="none" w:sz="0" w:space="0" w:color="auto"/>
            <w:left w:val="none" w:sz="0" w:space="0" w:color="auto"/>
            <w:bottom w:val="single" w:sz="6" w:space="11" w:color="E5E5E5"/>
            <w:right w:val="none" w:sz="0" w:space="0" w:color="auto"/>
          </w:divBdr>
        </w:div>
      </w:divsChild>
    </w:div>
    <w:div w:id="1538010611">
      <w:bodyDiv w:val="1"/>
      <w:marLeft w:val="0"/>
      <w:marRight w:val="0"/>
      <w:marTop w:val="0"/>
      <w:marBottom w:val="0"/>
      <w:divBdr>
        <w:top w:val="none" w:sz="0" w:space="0" w:color="auto"/>
        <w:left w:val="none" w:sz="0" w:space="0" w:color="auto"/>
        <w:bottom w:val="none" w:sz="0" w:space="0" w:color="auto"/>
        <w:right w:val="none" w:sz="0" w:space="0" w:color="auto"/>
      </w:divBdr>
    </w:div>
    <w:div w:id="1565682825">
      <w:bodyDiv w:val="1"/>
      <w:marLeft w:val="0"/>
      <w:marRight w:val="0"/>
      <w:marTop w:val="0"/>
      <w:marBottom w:val="0"/>
      <w:divBdr>
        <w:top w:val="none" w:sz="0" w:space="0" w:color="auto"/>
        <w:left w:val="none" w:sz="0" w:space="0" w:color="auto"/>
        <w:bottom w:val="none" w:sz="0" w:space="0" w:color="auto"/>
        <w:right w:val="none" w:sz="0" w:space="0" w:color="auto"/>
      </w:divBdr>
      <w:divsChild>
        <w:div w:id="878011161">
          <w:marLeft w:val="0"/>
          <w:marRight w:val="0"/>
          <w:marTop w:val="0"/>
          <w:marBottom w:val="0"/>
          <w:divBdr>
            <w:top w:val="none" w:sz="0" w:space="0" w:color="auto"/>
            <w:left w:val="none" w:sz="0" w:space="0" w:color="auto"/>
            <w:bottom w:val="none" w:sz="0" w:space="0" w:color="auto"/>
            <w:right w:val="none" w:sz="0" w:space="0" w:color="auto"/>
          </w:divBdr>
          <w:divsChild>
            <w:div w:id="1804275154">
              <w:marLeft w:val="-225"/>
              <w:marRight w:val="-225"/>
              <w:marTop w:val="0"/>
              <w:marBottom w:val="0"/>
              <w:divBdr>
                <w:top w:val="none" w:sz="0" w:space="0" w:color="auto"/>
                <w:left w:val="none" w:sz="0" w:space="0" w:color="auto"/>
                <w:bottom w:val="none" w:sz="0" w:space="0" w:color="auto"/>
                <w:right w:val="none" w:sz="0" w:space="0" w:color="auto"/>
              </w:divBdr>
              <w:divsChild>
                <w:div w:id="1415518686">
                  <w:marLeft w:val="0"/>
                  <w:marRight w:val="0"/>
                  <w:marTop w:val="0"/>
                  <w:marBottom w:val="0"/>
                  <w:divBdr>
                    <w:top w:val="none" w:sz="0" w:space="0" w:color="auto"/>
                    <w:left w:val="none" w:sz="0" w:space="0" w:color="auto"/>
                    <w:bottom w:val="none" w:sz="0" w:space="0" w:color="auto"/>
                    <w:right w:val="none" w:sz="0" w:space="0" w:color="auto"/>
                  </w:divBdr>
                  <w:divsChild>
                    <w:div w:id="1153059163">
                      <w:marLeft w:val="0"/>
                      <w:marRight w:val="0"/>
                      <w:marTop w:val="450"/>
                      <w:marBottom w:val="450"/>
                      <w:divBdr>
                        <w:top w:val="none" w:sz="0" w:space="0" w:color="auto"/>
                        <w:left w:val="none" w:sz="0" w:space="0" w:color="auto"/>
                        <w:bottom w:val="none" w:sz="0" w:space="0" w:color="auto"/>
                        <w:right w:val="none" w:sz="0" w:space="0" w:color="auto"/>
                      </w:divBdr>
                      <w:divsChild>
                        <w:div w:id="1385173652">
                          <w:marLeft w:val="0"/>
                          <w:marRight w:val="0"/>
                          <w:marTop w:val="0"/>
                          <w:marBottom w:val="0"/>
                          <w:divBdr>
                            <w:top w:val="none" w:sz="0" w:space="0" w:color="auto"/>
                            <w:left w:val="none" w:sz="0" w:space="0" w:color="auto"/>
                            <w:bottom w:val="none" w:sz="0" w:space="0" w:color="auto"/>
                            <w:right w:val="none" w:sz="0" w:space="0" w:color="auto"/>
                          </w:divBdr>
                          <w:divsChild>
                            <w:div w:id="578488758">
                              <w:marLeft w:val="0"/>
                              <w:marRight w:val="0"/>
                              <w:marTop w:val="0"/>
                              <w:marBottom w:val="0"/>
                              <w:divBdr>
                                <w:top w:val="none" w:sz="0" w:space="0" w:color="auto"/>
                                <w:left w:val="none" w:sz="0" w:space="0" w:color="auto"/>
                                <w:bottom w:val="single" w:sz="6" w:space="11" w:color="E5E5E5"/>
                                <w:right w:val="none" w:sz="0" w:space="0" w:color="auto"/>
                              </w:divBdr>
                            </w:div>
                            <w:div w:id="24322660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632322921">
      <w:bodyDiv w:val="1"/>
      <w:marLeft w:val="0"/>
      <w:marRight w:val="0"/>
      <w:marTop w:val="0"/>
      <w:marBottom w:val="0"/>
      <w:divBdr>
        <w:top w:val="none" w:sz="0" w:space="0" w:color="auto"/>
        <w:left w:val="none" w:sz="0" w:space="0" w:color="auto"/>
        <w:bottom w:val="none" w:sz="0" w:space="0" w:color="auto"/>
        <w:right w:val="none" w:sz="0" w:space="0" w:color="auto"/>
      </w:divBdr>
      <w:divsChild>
        <w:div w:id="1769736071">
          <w:marLeft w:val="0"/>
          <w:marRight w:val="0"/>
          <w:marTop w:val="0"/>
          <w:marBottom w:val="0"/>
          <w:divBdr>
            <w:top w:val="none" w:sz="0" w:space="0" w:color="auto"/>
            <w:left w:val="none" w:sz="0" w:space="0" w:color="auto"/>
            <w:bottom w:val="single" w:sz="6" w:space="11" w:color="E5E5E5"/>
            <w:right w:val="none" w:sz="0" w:space="0" w:color="auto"/>
          </w:divBdr>
        </w:div>
      </w:divsChild>
    </w:div>
    <w:div w:id="1841770355">
      <w:bodyDiv w:val="1"/>
      <w:marLeft w:val="0"/>
      <w:marRight w:val="0"/>
      <w:marTop w:val="0"/>
      <w:marBottom w:val="0"/>
      <w:divBdr>
        <w:top w:val="none" w:sz="0" w:space="0" w:color="auto"/>
        <w:left w:val="none" w:sz="0" w:space="0" w:color="auto"/>
        <w:bottom w:val="none" w:sz="0" w:space="0" w:color="auto"/>
        <w:right w:val="none" w:sz="0" w:space="0" w:color="auto"/>
      </w:divBdr>
      <w:divsChild>
        <w:div w:id="1860848761">
          <w:marLeft w:val="0"/>
          <w:marRight w:val="0"/>
          <w:marTop w:val="0"/>
          <w:marBottom w:val="0"/>
          <w:divBdr>
            <w:top w:val="none" w:sz="0" w:space="0" w:color="auto"/>
            <w:left w:val="none" w:sz="0" w:space="0" w:color="auto"/>
            <w:bottom w:val="single" w:sz="6" w:space="11" w:color="E5E5E5"/>
            <w:right w:val="none" w:sz="0" w:space="0" w:color="auto"/>
          </w:divBdr>
        </w:div>
      </w:divsChild>
    </w:div>
    <w:div w:id="1853642533">
      <w:bodyDiv w:val="1"/>
      <w:marLeft w:val="0"/>
      <w:marRight w:val="0"/>
      <w:marTop w:val="0"/>
      <w:marBottom w:val="0"/>
      <w:divBdr>
        <w:top w:val="none" w:sz="0" w:space="0" w:color="auto"/>
        <w:left w:val="none" w:sz="0" w:space="0" w:color="auto"/>
        <w:bottom w:val="none" w:sz="0" w:space="0" w:color="auto"/>
        <w:right w:val="none" w:sz="0" w:space="0" w:color="auto"/>
      </w:divBdr>
    </w:div>
    <w:div w:id="2066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1803-AD8B-499D-A270-5087FA8E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3295</Words>
  <Characters>18128</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Cervantes Luis Miguel</dc:creator>
  <cp:keywords/>
  <dc:description/>
  <cp:lastModifiedBy>Eunice Rosales </cp:lastModifiedBy>
  <cp:revision>9</cp:revision>
  <dcterms:created xsi:type="dcterms:W3CDTF">2021-06-01T23:31:00Z</dcterms:created>
  <dcterms:modified xsi:type="dcterms:W3CDTF">2021-06-07T16:51:00Z</dcterms:modified>
</cp:coreProperties>
</file>