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14CBB" w14:textId="77777777" w:rsidR="00C96C64" w:rsidRDefault="00C96C64" w:rsidP="00407257">
      <w:pPr>
        <w:jc w:val="right"/>
        <w:rPr>
          <w:rFonts w:ascii="Calibri" w:hAnsi="Calibri" w:cs="Times New Roman"/>
          <w:sz w:val="24"/>
          <w:szCs w:val="24"/>
        </w:rPr>
      </w:pPr>
    </w:p>
    <w:p w14:paraId="218ADC0B" w14:textId="69188849" w:rsidR="00407257" w:rsidRDefault="00C96C64" w:rsidP="00407257">
      <w:pPr>
        <w:jc w:val="right"/>
        <w:rPr>
          <w:rFonts w:ascii="Calibri" w:hAnsi="Calibri" w:cs="Times New Roman"/>
          <w:sz w:val="24"/>
          <w:szCs w:val="24"/>
        </w:rPr>
      </w:pPr>
      <w:r>
        <w:rPr>
          <w:rFonts w:ascii="Calibri" w:hAnsi="Calibri" w:cs="Times New Roman"/>
          <w:sz w:val="24"/>
          <w:szCs w:val="24"/>
        </w:rPr>
        <w:t>Ciudad de México, a 11 de noviembre de 2021.</w:t>
      </w:r>
    </w:p>
    <w:p w14:paraId="5F530F95" w14:textId="77777777" w:rsidR="00C96C64" w:rsidRPr="000F2550" w:rsidRDefault="00C96C64" w:rsidP="00C96C64">
      <w:pPr>
        <w:pStyle w:val="Sinespaciado"/>
        <w:spacing w:line="276" w:lineRule="auto"/>
        <w:jc w:val="right"/>
        <w:rPr>
          <w:rFonts w:ascii="Calibri" w:hAnsi="Calibri"/>
          <w:b/>
          <w:bCs/>
        </w:rPr>
      </w:pPr>
      <w:r w:rsidRPr="000F2550">
        <w:rPr>
          <w:rFonts w:ascii="Calibri" w:hAnsi="Calibri"/>
          <w:b/>
          <w:bCs/>
        </w:rPr>
        <w:t>CC/IFT/P/04/2021</w:t>
      </w:r>
    </w:p>
    <w:p w14:paraId="1286FAE0" w14:textId="77777777" w:rsidR="00C96C64" w:rsidRPr="000F2550" w:rsidRDefault="00C96C64" w:rsidP="00407257">
      <w:pPr>
        <w:jc w:val="right"/>
        <w:rPr>
          <w:rFonts w:ascii="Calibri" w:hAnsi="Calibri" w:cs="Times New Roman"/>
          <w:sz w:val="24"/>
          <w:szCs w:val="24"/>
        </w:rPr>
      </w:pPr>
    </w:p>
    <w:p w14:paraId="75FA847B" w14:textId="77777777" w:rsidR="00C96C64" w:rsidRDefault="00C96C64" w:rsidP="00407257">
      <w:pPr>
        <w:spacing w:after="0"/>
        <w:rPr>
          <w:rFonts w:ascii="Calibri" w:hAnsi="Calibri" w:cs="Times New Roman"/>
          <w:sz w:val="24"/>
          <w:szCs w:val="24"/>
        </w:rPr>
      </w:pPr>
    </w:p>
    <w:p w14:paraId="22E131FF" w14:textId="77777777" w:rsidR="00336221" w:rsidRPr="000F2550" w:rsidRDefault="00336221" w:rsidP="000F2550">
      <w:pPr>
        <w:spacing w:after="0" w:line="276" w:lineRule="auto"/>
        <w:rPr>
          <w:rFonts w:ascii="Calibri" w:hAnsi="Calibri" w:cs="Times New Roman"/>
          <w:sz w:val="24"/>
          <w:szCs w:val="24"/>
        </w:rPr>
      </w:pPr>
    </w:p>
    <w:p w14:paraId="67285E32" w14:textId="54EE39E6" w:rsidR="00407257" w:rsidRPr="000F2550" w:rsidRDefault="00C96C64" w:rsidP="000F2550">
      <w:pPr>
        <w:spacing w:after="0" w:line="276" w:lineRule="auto"/>
        <w:rPr>
          <w:rFonts w:ascii="Calibri" w:hAnsi="Calibri" w:cs="Times New Roman"/>
          <w:b/>
          <w:bCs/>
          <w:sz w:val="24"/>
          <w:szCs w:val="24"/>
        </w:rPr>
      </w:pPr>
      <w:r w:rsidRPr="000F2550">
        <w:rPr>
          <w:rFonts w:ascii="Calibri" w:hAnsi="Calibri" w:cs="Times New Roman"/>
          <w:b/>
          <w:bCs/>
          <w:sz w:val="24"/>
          <w:szCs w:val="24"/>
        </w:rPr>
        <w:t xml:space="preserve">H. </w:t>
      </w:r>
      <w:r w:rsidR="00407257" w:rsidRPr="000F2550">
        <w:rPr>
          <w:rFonts w:ascii="Calibri" w:hAnsi="Calibri" w:cs="Times New Roman"/>
          <w:b/>
          <w:bCs/>
          <w:sz w:val="24"/>
          <w:szCs w:val="24"/>
        </w:rPr>
        <w:t>Senado de la República</w:t>
      </w:r>
    </w:p>
    <w:p w14:paraId="12B299F4" w14:textId="77777777" w:rsidR="00407257" w:rsidRPr="000F2550" w:rsidRDefault="00407257" w:rsidP="000F2550">
      <w:pPr>
        <w:spacing w:after="0" w:line="276" w:lineRule="auto"/>
        <w:rPr>
          <w:rFonts w:ascii="Calibri" w:hAnsi="Calibri" w:cs="Times New Roman"/>
          <w:b/>
          <w:bCs/>
          <w:sz w:val="24"/>
          <w:szCs w:val="24"/>
        </w:rPr>
      </w:pPr>
      <w:r w:rsidRPr="000F2550">
        <w:rPr>
          <w:rFonts w:ascii="Calibri" w:hAnsi="Calibri" w:cs="Times New Roman"/>
          <w:b/>
          <w:bCs/>
          <w:sz w:val="24"/>
          <w:szCs w:val="24"/>
        </w:rPr>
        <w:t>Senador Ricardo Monreal Ávila</w:t>
      </w:r>
    </w:p>
    <w:p w14:paraId="5B1E5540" w14:textId="715A6CCC" w:rsidR="00407257" w:rsidRPr="000F2550" w:rsidRDefault="00407257" w:rsidP="000F2550">
      <w:pPr>
        <w:spacing w:after="160" w:line="276" w:lineRule="auto"/>
        <w:rPr>
          <w:rFonts w:ascii="Calibri" w:hAnsi="Calibri" w:cs="Times New Roman"/>
          <w:sz w:val="24"/>
          <w:szCs w:val="24"/>
        </w:rPr>
      </w:pPr>
      <w:r w:rsidRPr="000F2550">
        <w:rPr>
          <w:rFonts w:ascii="Calibri" w:hAnsi="Calibri" w:cs="Times New Roman"/>
          <w:sz w:val="24"/>
          <w:szCs w:val="24"/>
        </w:rPr>
        <w:t>Presidente de la Junta de Coordinación Política de la Cámara de Senadores</w:t>
      </w:r>
    </w:p>
    <w:p w14:paraId="35B9613A" w14:textId="77777777" w:rsidR="00407257" w:rsidRPr="000F2550" w:rsidRDefault="00407257" w:rsidP="000F2550">
      <w:pPr>
        <w:spacing w:after="0" w:line="276" w:lineRule="auto"/>
        <w:rPr>
          <w:rFonts w:ascii="Calibri" w:hAnsi="Calibri" w:cs="Times New Roman"/>
          <w:b/>
          <w:bCs/>
          <w:color w:val="000000"/>
          <w:sz w:val="24"/>
          <w:szCs w:val="24"/>
          <w:shd w:val="clear" w:color="auto" w:fill="FFFFFF"/>
        </w:rPr>
      </w:pPr>
      <w:r w:rsidRPr="000F2550">
        <w:rPr>
          <w:rFonts w:ascii="Calibri" w:hAnsi="Calibri" w:cs="Times New Roman"/>
          <w:b/>
          <w:bCs/>
          <w:color w:val="000000"/>
          <w:sz w:val="24"/>
          <w:szCs w:val="24"/>
          <w:shd w:val="clear" w:color="auto" w:fill="FFFFFF"/>
        </w:rPr>
        <w:t>Senador Alejandro Armenta Mier</w:t>
      </w:r>
    </w:p>
    <w:p w14:paraId="021A1703" w14:textId="213469D3" w:rsidR="00407257" w:rsidRPr="000F2550" w:rsidRDefault="00407257" w:rsidP="000F2550">
      <w:pPr>
        <w:spacing w:after="160" w:line="276" w:lineRule="auto"/>
        <w:rPr>
          <w:rFonts w:ascii="Calibri" w:hAnsi="Calibri" w:cs="Times New Roman"/>
          <w:sz w:val="24"/>
          <w:szCs w:val="24"/>
        </w:rPr>
      </w:pPr>
      <w:r w:rsidRPr="000F2550">
        <w:rPr>
          <w:rFonts w:ascii="Calibri" w:hAnsi="Calibri" w:cs="Times New Roman"/>
          <w:sz w:val="24"/>
          <w:szCs w:val="24"/>
        </w:rPr>
        <w:t>Presidente de la Comisión de Hacienda y Crédito Público</w:t>
      </w:r>
    </w:p>
    <w:p w14:paraId="3DF18503" w14:textId="52302138" w:rsidR="00407257" w:rsidRPr="00690C5E" w:rsidRDefault="00407257" w:rsidP="000F2550">
      <w:pPr>
        <w:spacing w:after="0" w:line="276" w:lineRule="auto"/>
        <w:rPr>
          <w:rFonts w:ascii="Calibri" w:hAnsi="Calibri" w:cs="Times New Roman"/>
          <w:b/>
          <w:bCs/>
          <w:sz w:val="24"/>
          <w:szCs w:val="24"/>
        </w:rPr>
      </w:pPr>
      <w:r w:rsidRPr="000F2550">
        <w:rPr>
          <w:rFonts w:ascii="Calibri" w:hAnsi="Calibri" w:cs="Times New Roman"/>
          <w:b/>
          <w:bCs/>
          <w:sz w:val="24"/>
          <w:szCs w:val="24"/>
        </w:rPr>
        <w:t>Senadora Luc</w:t>
      </w:r>
      <w:r w:rsidR="00CC508E">
        <w:rPr>
          <w:rFonts w:ascii="Calibri" w:hAnsi="Calibri" w:cs="Times New Roman"/>
          <w:b/>
          <w:bCs/>
          <w:sz w:val="24"/>
          <w:szCs w:val="24"/>
        </w:rPr>
        <w:t>ía Virginia Meza Guzmán</w:t>
      </w:r>
    </w:p>
    <w:p w14:paraId="6AC9ED34" w14:textId="1B773411" w:rsidR="00407257" w:rsidRPr="000F2550" w:rsidRDefault="00CC508E" w:rsidP="000F2550">
      <w:pPr>
        <w:spacing w:after="160" w:line="276" w:lineRule="auto"/>
        <w:rPr>
          <w:rFonts w:ascii="Calibri" w:hAnsi="Calibri" w:cs="Times New Roman"/>
          <w:sz w:val="24"/>
          <w:szCs w:val="24"/>
        </w:rPr>
      </w:pPr>
      <w:r w:rsidRPr="000F2550">
        <w:rPr>
          <w:rFonts w:ascii="Calibri" w:hAnsi="Calibri" w:cs="Times New Roman"/>
          <w:sz w:val="24"/>
          <w:szCs w:val="24"/>
        </w:rPr>
        <w:t>President</w:t>
      </w:r>
      <w:r>
        <w:rPr>
          <w:rFonts w:ascii="Calibri" w:hAnsi="Calibri" w:cs="Times New Roman"/>
          <w:sz w:val="24"/>
          <w:szCs w:val="24"/>
        </w:rPr>
        <w:t>a</w:t>
      </w:r>
      <w:r w:rsidRPr="000F2550">
        <w:rPr>
          <w:rFonts w:ascii="Calibri" w:hAnsi="Calibri" w:cs="Times New Roman"/>
          <w:sz w:val="24"/>
          <w:szCs w:val="24"/>
        </w:rPr>
        <w:t xml:space="preserve"> </w:t>
      </w:r>
      <w:r w:rsidR="00407257" w:rsidRPr="000F2550">
        <w:rPr>
          <w:rFonts w:ascii="Calibri" w:hAnsi="Calibri" w:cs="Times New Roman"/>
          <w:sz w:val="24"/>
          <w:szCs w:val="24"/>
        </w:rPr>
        <w:t>de la Comisión de Comunicaciones y Transportes</w:t>
      </w:r>
    </w:p>
    <w:p w14:paraId="5F9DDC39" w14:textId="77777777" w:rsidR="00407257" w:rsidRPr="000F2550" w:rsidRDefault="00407257" w:rsidP="000F2550">
      <w:pPr>
        <w:spacing w:after="0" w:line="276" w:lineRule="auto"/>
        <w:rPr>
          <w:rFonts w:ascii="Calibri" w:hAnsi="Calibri" w:cs="Times New Roman"/>
          <w:b/>
          <w:bCs/>
          <w:color w:val="000000"/>
          <w:sz w:val="24"/>
          <w:szCs w:val="24"/>
          <w:shd w:val="clear" w:color="auto" w:fill="FFFFFF"/>
        </w:rPr>
      </w:pPr>
      <w:r w:rsidRPr="000F2550">
        <w:rPr>
          <w:rFonts w:ascii="Calibri" w:hAnsi="Calibri" w:cs="Times New Roman"/>
          <w:b/>
          <w:bCs/>
          <w:color w:val="000000"/>
          <w:sz w:val="24"/>
          <w:szCs w:val="24"/>
          <w:shd w:val="clear" w:color="auto" w:fill="FFFFFF"/>
        </w:rPr>
        <w:t>Senadora Claudia Ruiz Massieu Salinas</w:t>
      </w:r>
    </w:p>
    <w:p w14:paraId="307D5E90" w14:textId="47153808" w:rsidR="00407257" w:rsidRPr="000F2550" w:rsidRDefault="00CC508E" w:rsidP="000F2550">
      <w:pPr>
        <w:spacing w:after="160" w:line="276" w:lineRule="auto"/>
        <w:rPr>
          <w:rFonts w:ascii="Calibri" w:hAnsi="Calibri" w:cs="Times New Roman"/>
          <w:sz w:val="24"/>
          <w:szCs w:val="24"/>
        </w:rPr>
      </w:pPr>
      <w:r w:rsidRPr="000F2550">
        <w:rPr>
          <w:rFonts w:ascii="Calibri" w:hAnsi="Calibri" w:cs="Times New Roman"/>
          <w:sz w:val="24"/>
          <w:szCs w:val="24"/>
        </w:rPr>
        <w:t>President</w:t>
      </w:r>
      <w:r>
        <w:rPr>
          <w:rFonts w:ascii="Calibri" w:hAnsi="Calibri" w:cs="Times New Roman"/>
          <w:sz w:val="24"/>
          <w:szCs w:val="24"/>
        </w:rPr>
        <w:t>a</w:t>
      </w:r>
      <w:r w:rsidRPr="000F2550">
        <w:rPr>
          <w:rFonts w:ascii="Calibri" w:hAnsi="Calibri" w:cs="Times New Roman"/>
          <w:sz w:val="24"/>
          <w:szCs w:val="24"/>
        </w:rPr>
        <w:t xml:space="preserve"> </w:t>
      </w:r>
      <w:r w:rsidR="00407257" w:rsidRPr="000F2550">
        <w:rPr>
          <w:rFonts w:ascii="Calibri" w:hAnsi="Calibri" w:cs="Times New Roman"/>
          <w:sz w:val="24"/>
          <w:szCs w:val="24"/>
        </w:rPr>
        <w:t>de la Comisión Especial de Seguimiento a la Implementación del T-MEC</w:t>
      </w:r>
    </w:p>
    <w:p w14:paraId="54A178F4" w14:textId="77777777" w:rsidR="00407257" w:rsidRPr="000F2550" w:rsidRDefault="00407257" w:rsidP="000F2550">
      <w:pPr>
        <w:spacing w:after="0" w:line="276" w:lineRule="auto"/>
        <w:rPr>
          <w:rFonts w:ascii="Calibri" w:hAnsi="Calibri" w:cs="Times New Roman"/>
          <w:b/>
          <w:bCs/>
          <w:color w:val="000000"/>
          <w:sz w:val="24"/>
          <w:szCs w:val="24"/>
          <w:shd w:val="clear" w:color="auto" w:fill="FFFFFF"/>
        </w:rPr>
      </w:pPr>
      <w:r w:rsidRPr="000F2550">
        <w:rPr>
          <w:rFonts w:ascii="Calibri" w:hAnsi="Calibri" w:cs="Times New Roman"/>
          <w:b/>
          <w:bCs/>
          <w:color w:val="000000"/>
          <w:sz w:val="24"/>
          <w:szCs w:val="24"/>
          <w:shd w:val="clear" w:color="auto" w:fill="FFFFFF"/>
        </w:rPr>
        <w:t>Senadora Cora Cecilia Pinedo Alonso</w:t>
      </w:r>
    </w:p>
    <w:p w14:paraId="6D4D418F" w14:textId="14136C2B" w:rsidR="00407257" w:rsidRPr="000F2550" w:rsidRDefault="00CC508E" w:rsidP="000F2550">
      <w:pPr>
        <w:spacing w:after="160" w:line="276" w:lineRule="auto"/>
        <w:rPr>
          <w:rFonts w:ascii="Calibri" w:hAnsi="Calibri" w:cs="Times New Roman"/>
          <w:sz w:val="24"/>
          <w:szCs w:val="24"/>
        </w:rPr>
      </w:pPr>
      <w:r w:rsidRPr="000F2550">
        <w:rPr>
          <w:rFonts w:ascii="Calibri" w:hAnsi="Calibri" w:cs="Times New Roman"/>
          <w:sz w:val="24"/>
          <w:szCs w:val="24"/>
        </w:rPr>
        <w:t>President</w:t>
      </w:r>
      <w:r>
        <w:rPr>
          <w:rFonts w:ascii="Calibri" w:hAnsi="Calibri" w:cs="Times New Roman"/>
          <w:sz w:val="24"/>
          <w:szCs w:val="24"/>
        </w:rPr>
        <w:t>a</w:t>
      </w:r>
      <w:r w:rsidRPr="000F2550">
        <w:rPr>
          <w:rFonts w:ascii="Calibri" w:hAnsi="Calibri" w:cs="Times New Roman"/>
          <w:sz w:val="24"/>
          <w:szCs w:val="24"/>
        </w:rPr>
        <w:t xml:space="preserve"> </w:t>
      </w:r>
      <w:r w:rsidR="00407257" w:rsidRPr="000F2550">
        <w:rPr>
          <w:rFonts w:ascii="Calibri" w:hAnsi="Calibri" w:cs="Times New Roman"/>
          <w:sz w:val="24"/>
          <w:szCs w:val="24"/>
        </w:rPr>
        <w:t xml:space="preserve">de la Comisión de Relaciones Exteriores Asia </w:t>
      </w:r>
      <w:r w:rsidR="00C45993" w:rsidRPr="000F2550">
        <w:rPr>
          <w:rFonts w:ascii="Calibri" w:hAnsi="Calibri" w:cs="Times New Roman"/>
          <w:sz w:val="24"/>
          <w:szCs w:val="24"/>
        </w:rPr>
        <w:t>–</w:t>
      </w:r>
      <w:r w:rsidR="00407257" w:rsidRPr="000F2550">
        <w:rPr>
          <w:rFonts w:ascii="Calibri" w:hAnsi="Calibri" w:cs="Times New Roman"/>
          <w:sz w:val="24"/>
          <w:szCs w:val="24"/>
        </w:rPr>
        <w:t xml:space="preserve"> Pacífico – África</w:t>
      </w:r>
    </w:p>
    <w:p w14:paraId="18042831" w14:textId="77777777" w:rsidR="00655DA4" w:rsidRDefault="00655DA4" w:rsidP="000F2550">
      <w:pPr>
        <w:spacing w:after="0" w:line="276" w:lineRule="auto"/>
        <w:rPr>
          <w:rFonts w:ascii="Calibri" w:hAnsi="Calibri" w:cs="Times New Roman"/>
          <w:b/>
          <w:bCs/>
          <w:sz w:val="24"/>
          <w:szCs w:val="24"/>
        </w:rPr>
      </w:pPr>
    </w:p>
    <w:p w14:paraId="443C2595" w14:textId="59792819" w:rsidR="00407257" w:rsidRPr="000F2550" w:rsidRDefault="00407257" w:rsidP="000F2550">
      <w:pPr>
        <w:spacing w:after="0" w:line="276" w:lineRule="auto"/>
        <w:rPr>
          <w:rFonts w:ascii="Calibri" w:hAnsi="Calibri" w:cs="Times New Roman"/>
          <w:b/>
          <w:bCs/>
          <w:sz w:val="24"/>
          <w:szCs w:val="24"/>
        </w:rPr>
      </w:pPr>
      <w:r w:rsidRPr="000F2550">
        <w:rPr>
          <w:rFonts w:ascii="Calibri" w:hAnsi="Calibri" w:cs="Times New Roman"/>
          <w:b/>
          <w:bCs/>
          <w:sz w:val="24"/>
          <w:szCs w:val="24"/>
        </w:rPr>
        <w:t>P</w:t>
      </w:r>
      <w:r w:rsidR="00005E80" w:rsidRPr="000F2550">
        <w:rPr>
          <w:rFonts w:ascii="Calibri" w:hAnsi="Calibri" w:cs="Times New Roman"/>
          <w:b/>
          <w:bCs/>
          <w:sz w:val="24"/>
          <w:szCs w:val="24"/>
        </w:rPr>
        <w:t>RESENTES</w:t>
      </w:r>
      <w:r w:rsidRPr="000F2550">
        <w:rPr>
          <w:rFonts w:ascii="Calibri" w:hAnsi="Calibri" w:cs="Times New Roman"/>
          <w:b/>
          <w:bCs/>
          <w:sz w:val="24"/>
          <w:szCs w:val="24"/>
        </w:rPr>
        <w:t>.</w:t>
      </w:r>
    </w:p>
    <w:p w14:paraId="14B19A5E" w14:textId="74161FA1" w:rsidR="00336221" w:rsidRDefault="00336221" w:rsidP="00336221">
      <w:pPr>
        <w:spacing w:after="0"/>
        <w:rPr>
          <w:rFonts w:ascii="Calibri" w:hAnsi="Calibri" w:cs="Times New Roman"/>
          <w:sz w:val="24"/>
          <w:szCs w:val="24"/>
        </w:rPr>
      </w:pPr>
    </w:p>
    <w:p w14:paraId="0FC84785" w14:textId="116C7FAD" w:rsidR="00384A29" w:rsidRDefault="00384A29" w:rsidP="00336221">
      <w:pPr>
        <w:spacing w:after="0"/>
        <w:rPr>
          <w:rFonts w:ascii="Calibri" w:hAnsi="Calibri" w:cs="Times New Roman"/>
          <w:sz w:val="24"/>
          <w:szCs w:val="24"/>
        </w:rPr>
      </w:pPr>
    </w:p>
    <w:p w14:paraId="0A6AD8D5" w14:textId="4BDFCBB7" w:rsidR="00384A29" w:rsidRDefault="00384A29" w:rsidP="00655DA4">
      <w:pPr>
        <w:spacing w:after="0" w:line="360" w:lineRule="auto"/>
        <w:rPr>
          <w:rFonts w:ascii="Calibri" w:hAnsi="Calibri"/>
          <w:sz w:val="24"/>
          <w:szCs w:val="24"/>
        </w:rPr>
      </w:pPr>
      <w:r w:rsidRPr="000F2550">
        <w:rPr>
          <w:rFonts w:ascii="Calibri" w:hAnsi="Calibri"/>
          <w:sz w:val="24"/>
          <w:szCs w:val="24"/>
        </w:rPr>
        <w:t>El Instituto Federal de Telecomunicaciones (IFT) cuenta, por mandato de la Ley Federal de Te</w:t>
      </w:r>
      <w:r w:rsidRPr="00690C5E">
        <w:rPr>
          <w:rFonts w:ascii="Calibri" w:hAnsi="Calibri"/>
          <w:sz w:val="24"/>
          <w:szCs w:val="24"/>
        </w:rPr>
        <w:t xml:space="preserve">lecomunicaciones y Radiodifusión, con un Consejo Consultivo cuya función es ser un órgano </w:t>
      </w:r>
      <w:r w:rsidRPr="00384A29">
        <w:rPr>
          <w:rFonts w:ascii="Calibri" w:hAnsi="Calibri"/>
          <w:sz w:val="24"/>
          <w:szCs w:val="24"/>
        </w:rPr>
        <w:t>asesor</w:t>
      </w:r>
      <w:r w:rsidRPr="00690C5E">
        <w:rPr>
          <w:rFonts w:ascii="Calibri" w:hAnsi="Calibri"/>
          <w:sz w:val="24"/>
          <w:szCs w:val="24"/>
        </w:rPr>
        <w:t xml:space="preserve"> en la observancia de los principios establecidos en los artículos 2, 6 y 7 de la Constitución Política de los Estados Unidos Mexicanos</w:t>
      </w:r>
      <w:r w:rsidRPr="000F2550">
        <w:rPr>
          <w:vertAlign w:val="superscript"/>
        </w:rPr>
        <w:footnoteReference w:id="1"/>
      </w:r>
      <w:r>
        <w:rPr>
          <w:rFonts w:ascii="Calibri" w:hAnsi="Calibri"/>
          <w:sz w:val="24"/>
          <w:szCs w:val="24"/>
        </w:rPr>
        <w:t xml:space="preserve">, a través de la emisión de opiniones y recomendaciones de carácter no vinculante. </w:t>
      </w:r>
    </w:p>
    <w:p w14:paraId="1AC7EA12" w14:textId="7286A2DC" w:rsidR="00384A29" w:rsidRDefault="00384A29" w:rsidP="00655DA4">
      <w:pPr>
        <w:spacing w:after="0" w:line="360" w:lineRule="auto"/>
        <w:rPr>
          <w:rFonts w:ascii="Calibri" w:hAnsi="Calibri"/>
          <w:sz w:val="24"/>
          <w:szCs w:val="24"/>
        </w:rPr>
      </w:pPr>
    </w:p>
    <w:p w14:paraId="3222C191" w14:textId="7A68A406" w:rsidR="00655DA4" w:rsidRDefault="00655DA4" w:rsidP="00655DA4">
      <w:pPr>
        <w:spacing w:after="0" w:line="360" w:lineRule="auto"/>
        <w:rPr>
          <w:rFonts w:ascii="Calibri" w:hAnsi="Calibri"/>
          <w:sz w:val="24"/>
          <w:szCs w:val="24"/>
        </w:rPr>
      </w:pPr>
    </w:p>
    <w:p w14:paraId="1B697DE8" w14:textId="390FED58" w:rsidR="00655DA4" w:rsidRDefault="00655DA4" w:rsidP="00655DA4">
      <w:pPr>
        <w:spacing w:after="0" w:line="360" w:lineRule="auto"/>
        <w:rPr>
          <w:rFonts w:ascii="Calibri" w:hAnsi="Calibri"/>
          <w:sz w:val="24"/>
          <w:szCs w:val="24"/>
        </w:rPr>
      </w:pPr>
    </w:p>
    <w:p w14:paraId="33112E6C" w14:textId="77777777" w:rsidR="00655DA4" w:rsidRDefault="00655DA4" w:rsidP="00655DA4">
      <w:pPr>
        <w:spacing w:after="0" w:line="360" w:lineRule="auto"/>
        <w:rPr>
          <w:rFonts w:ascii="Calibri" w:hAnsi="Calibri"/>
          <w:sz w:val="24"/>
          <w:szCs w:val="24"/>
        </w:rPr>
      </w:pPr>
    </w:p>
    <w:p w14:paraId="0BAC2DF1" w14:textId="0DA538B3" w:rsidR="00407257" w:rsidRDefault="00384A29" w:rsidP="00655DA4">
      <w:pPr>
        <w:spacing w:after="0" w:line="360" w:lineRule="auto"/>
        <w:rPr>
          <w:rFonts w:ascii="Calibri" w:hAnsi="Calibri" w:cs="Calibri"/>
          <w:b/>
          <w:bCs/>
          <w:color w:val="000000"/>
          <w:sz w:val="24"/>
          <w:szCs w:val="24"/>
        </w:rPr>
      </w:pPr>
      <w:r>
        <w:rPr>
          <w:rFonts w:ascii="Calibri" w:hAnsi="Calibri"/>
          <w:sz w:val="24"/>
          <w:szCs w:val="24"/>
        </w:rPr>
        <w:lastRenderedPageBreak/>
        <w:t xml:space="preserve">En tenor de lo anterior, el VI Consejo Consultivo del IFT </w:t>
      </w:r>
      <w:r w:rsidR="00CC508E">
        <w:rPr>
          <w:rFonts w:ascii="Calibri" w:hAnsi="Calibri"/>
          <w:sz w:val="24"/>
          <w:szCs w:val="24"/>
        </w:rPr>
        <w:t>consideró relevante emitir</w:t>
      </w:r>
      <w:r w:rsidR="00C12548">
        <w:rPr>
          <w:rFonts w:ascii="Calibri" w:hAnsi="Calibri"/>
          <w:sz w:val="24"/>
          <w:szCs w:val="24"/>
        </w:rPr>
        <w:t xml:space="preserve"> una opinión en forma de un</w:t>
      </w:r>
      <w:r>
        <w:rPr>
          <w:rFonts w:ascii="Calibri" w:hAnsi="Calibri"/>
          <w:sz w:val="24"/>
          <w:szCs w:val="24"/>
        </w:rPr>
        <w:t xml:space="preserve"> </w:t>
      </w:r>
      <w:r>
        <w:rPr>
          <w:rFonts w:ascii="Calibri" w:hAnsi="Calibri" w:cs="Calibri"/>
          <w:b/>
          <w:bCs/>
          <w:color w:val="000000"/>
          <w:sz w:val="24"/>
          <w:szCs w:val="24"/>
        </w:rPr>
        <w:t>“</w:t>
      </w:r>
      <w:r w:rsidR="00407257" w:rsidRPr="000F2550">
        <w:rPr>
          <w:rFonts w:ascii="Calibri" w:hAnsi="Calibri" w:cs="Calibri"/>
          <w:b/>
          <w:bCs/>
          <w:color w:val="000000"/>
          <w:sz w:val="24"/>
          <w:szCs w:val="24"/>
        </w:rPr>
        <w:t>EXHORTO A REFORMULAR LA POLÍTICA DE COBRO DE DERECHOS POR EL USO DEL ESPECTRO RADIOELÉCTRICO ESTABLECIDA EN LA PROPUESTA DE LEY FEDERAL DE DERECHOS 2022</w:t>
      </w:r>
      <w:r>
        <w:rPr>
          <w:rFonts w:ascii="Calibri" w:hAnsi="Calibri" w:cs="Calibri"/>
          <w:b/>
          <w:bCs/>
          <w:color w:val="000000"/>
          <w:sz w:val="24"/>
          <w:szCs w:val="24"/>
        </w:rPr>
        <w:t>”</w:t>
      </w:r>
      <w:r w:rsidR="00CC508E">
        <w:rPr>
          <w:rFonts w:ascii="Calibri" w:hAnsi="Calibri" w:cs="Calibri"/>
          <w:b/>
          <w:bCs/>
          <w:color w:val="000000"/>
          <w:sz w:val="24"/>
          <w:szCs w:val="24"/>
        </w:rPr>
        <w:t>.</w:t>
      </w:r>
    </w:p>
    <w:p w14:paraId="20177F99" w14:textId="77777777" w:rsidR="00CC508E" w:rsidRPr="000F2550" w:rsidRDefault="00CC508E" w:rsidP="00655DA4">
      <w:pPr>
        <w:spacing w:after="0" w:line="360" w:lineRule="auto"/>
        <w:rPr>
          <w:rFonts w:ascii="Calibri" w:hAnsi="Calibri" w:cs="Calibri"/>
          <w:b/>
          <w:bCs/>
          <w:color w:val="000000"/>
          <w:sz w:val="24"/>
          <w:szCs w:val="24"/>
        </w:rPr>
      </w:pPr>
    </w:p>
    <w:p w14:paraId="2011D464" w14:textId="1117DB80" w:rsidR="00407257" w:rsidRPr="000F2550" w:rsidRDefault="00CC508E" w:rsidP="00655DA4">
      <w:pPr>
        <w:spacing w:after="160" w:line="360" w:lineRule="auto"/>
        <w:rPr>
          <w:rFonts w:ascii="Calibri" w:hAnsi="Calibri"/>
          <w:sz w:val="24"/>
          <w:szCs w:val="24"/>
        </w:rPr>
      </w:pPr>
      <w:r>
        <w:rPr>
          <w:rFonts w:ascii="Calibri" w:hAnsi="Calibri"/>
          <w:sz w:val="24"/>
          <w:szCs w:val="24"/>
        </w:rPr>
        <w:t>Al respecto, l</w:t>
      </w:r>
      <w:r w:rsidR="00407257" w:rsidRPr="00690C5E">
        <w:rPr>
          <w:rFonts w:ascii="Calibri" w:hAnsi="Calibri"/>
          <w:sz w:val="24"/>
          <w:szCs w:val="24"/>
        </w:rPr>
        <w:t xml:space="preserve">as telecomunicaciones móviles son una de las herramientas más poderosas para abatir la brecha digital, habilitar el ejercicio de los derechos fundamentales en </w:t>
      </w:r>
      <w:r w:rsidR="006F576F">
        <w:rPr>
          <w:rFonts w:ascii="Calibri" w:hAnsi="Calibri"/>
          <w:sz w:val="24"/>
          <w:szCs w:val="24"/>
        </w:rPr>
        <w:t xml:space="preserve">la </w:t>
      </w:r>
      <w:r w:rsidR="00D35134">
        <w:rPr>
          <w:rFonts w:ascii="Calibri" w:hAnsi="Calibri"/>
          <w:sz w:val="24"/>
          <w:szCs w:val="24"/>
        </w:rPr>
        <w:t>S</w:t>
      </w:r>
      <w:r w:rsidR="006F576F">
        <w:rPr>
          <w:rFonts w:ascii="Calibri" w:hAnsi="Calibri"/>
          <w:sz w:val="24"/>
          <w:szCs w:val="24"/>
        </w:rPr>
        <w:t>ociedad</w:t>
      </w:r>
      <w:r w:rsidR="00407257" w:rsidRPr="00690C5E">
        <w:rPr>
          <w:rFonts w:ascii="Calibri" w:hAnsi="Calibri"/>
          <w:sz w:val="24"/>
          <w:szCs w:val="24"/>
        </w:rPr>
        <w:t xml:space="preserve"> </w:t>
      </w:r>
      <w:r w:rsidR="00D35134">
        <w:rPr>
          <w:rFonts w:ascii="Calibri" w:hAnsi="Calibri"/>
          <w:sz w:val="24"/>
          <w:szCs w:val="24"/>
        </w:rPr>
        <w:t>D</w:t>
      </w:r>
      <w:r w:rsidR="00D35134" w:rsidRPr="00690C5E">
        <w:rPr>
          <w:rFonts w:ascii="Calibri" w:hAnsi="Calibri"/>
          <w:sz w:val="24"/>
          <w:szCs w:val="24"/>
        </w:rPr>
        <w:t>igital</w:t>
      </w:r>
      <w:r w:rsidR="00D35134">
        <w:rPr>
          <w:rFonts w:ascii="Calibri" w:hAnsi="Calibri"/>
          <w:sz w:val="24"/>
          <w:szCs w:val="24"/>
        </w:rPr>
        <w:t xml:space="preserve"> Inclusiva</w:t>
      </w:r>
      <w:r w:rsidR="00C12548">
        <w:rPr>
          <w:rStyle w:val="Refdenotaalpie"/>
          <w:rFonts w:ascii="Calibri" w:hAnsi="Calibri"/>
          <w:sz w:val="24"/>
          <w:szCs w:val="24"/>
        </w:rPr>
        <w:footnoteReference w:id="2"/>
      </w:r>
      <w:r w:rsidR="00D35134" w:rsidRPr="00690C5E">
        <w:rPr>
          <w:rFonts w:ascii="Calibri" w:hAnsi="Calibri"/>
          <w:sz w:val="24"/>
          <w:szCs w:val="24"/>
        </w:rPr>
        <w:t xml:space="preserve"> </w:t>
      </w:r>
      <w:r w:rsidR="00407257" w:rsidRPr="00690C5E">
        <w:rPr>
          <w:rFonts w:ascii="Calibri" w:hAnsi="Calibri"/>
          <w:sz w:val="24"/>
          <w:szCs w:val="24"/>
        </w:rPr>
        <w:t xml:space="preserve">y promover </w:t>
      </w:r>
      <w:r w:rsidR="00407257" w:rsidRPr="000F2550">
        <w:rPr>
          <w:rFonts w:ascii="Calibri" w:hAnsi="Calibri"/>
          <w:sz w:val="24"/>
          <w:szCs w:val="24"/>
        </w:rPr>
        <w:t xml:space="preserve">la innovación y competitividad, logrando en consecuencia una sociedad más justa y equitativa. El espectro radioeléctrico es el insumo más importante para su desarrollo. Altas barreras de acceso al espectro se traducen en mayor marginación digital, afectando a millones de mexicanas y mexicanos. </w:t>
      </w:r>
      <w:r w:rsidR="00005E80" w:rsidRPr="000F2550">
        <w:rPr>
          <w:rFonts w:ascii="Calibri" w:hAnsi="Calibri"/>
          <w:sz w:val="24"/>
          <w:szCs w:val="24"/>
        </w:rPr>
        <w:t>Por el contrario, m</w:t>
      </w:r>
      <w:r w:rsidR="00407257" w:rsidRPr="000F2550">
        <w:rPr>
          <w:rFonts w:ascii="Calibri" w:hAnsi="Calibri"/>
          <w:sz w:val="24"/>
          <w:szCs w:val="24"/>
        </w:rPr>
        <w:t xml:space="preserve">ás espectro licenciado se </w:t>
      </w:r>
      <w:r w:rsidR="00005E80" w:rsidRPr="000F2550">
        <w:rPr>
          <w:rFonts w:ascii="Calibri" w:hAnsi="Calibri"/>
          <w:sz w:val="24"/>
          <w:szCs w:val="24"/>
        </w:rPr>
        <w:t xml:space="preserve">refleja </w:t>
      </w:r>
      <w:r w:rsidR="00407257" w:rsidRPr="000F2550">
        <w:rPr>
          <w:rFonts w:ascii="Calibri" w:hAnsi="Calibri"/>
          <w:sz w:val="24"/>
          <w:szCs w:val="24"/>
        </w:rPr>
        <w:t xml:space="preserve">en mayor cobertura y mejor calidad de los servicios. </w:t>
      </w:r>
    </w:p>
    <w:p w14:paraId="670DB227" w14:textId="1B93F943" w:rsidR="00407257" w:rsidRPr="000F2550" w:rsidRDefault="00407257" w:rsidP="00655DA4">
      <w:pPr>
        <w:spacing w:after="160" w:line="360" w:lineRule="auto"/>
        <w:rPr>
          <w:rFonts w:ascii="Calibri" w:hAnsi="Calibri"/>
          <w:sz w:val="24"/>
          <w:szCs w:val="24"/>
        </w:rPr>
      </w:pPr>
      <w:r w:rsidRPr="000F2550">
        <w:rPr>
          <w:rFonts w:ascii="Calibri" w:hAnsi="Calibri"/>
          <w:sz w:val="24"/>
          <w:szCs w:val="24"/>
        </w:rPr>
        <w:t xml:space="preserve">La innovación tecnológica ha traído cambios sin precedentes en la prestación de los servicios móviles. La quinta generación de telecomunicaciones móviles – conocida como 5G – promete un nuevo paradigma, ya que permitirá la conectividad simultánea de miles de millones de puntos, comunicando no sólo personas sino </w:t>
      </w:r>
      <w:r w:rsidR="00920AFE" w:rsidRPr="000F2550">
        <w:rPr>
          <w:rFonts w:ascii="Calibri" w:hAnsi="Calibri"/>
          <w:sz w:val="24"/>
          <w:szCs w:val="24"/>
        </w:rPr>
        <w:t>máquinas, cosas, lugares y otros seres vivos</w:t>
      </w:r>
      <w:r w:rsidRPr="000F2550">
        <w:rPr>
          <w:rFonts w:ascii="Calibri" w:hAnsi="Calibri"/>
          <w:sz w:val="24"/>
          <w:szCs w:val="24"/>
        </w:rPr>
        <w:t xml:space="preserve">. Pero para </w:t>
      </w:r>
      <w:r w:rsidR="00920AFE" w:rsidRPr="000F2550">
        <w:rPr>
          <w:rFonts w:ascii="Calibri" w:hAnsi="Calibri"/>
          <w:sz w:val="24"/>
          <w:szCs w:val="24"/>
        </w:rPr>
        <w:t xml:space="preserve">que 5G sea una realidad en nuestro país, </w:t>
      </w:r>
      <w:r w:rsidRPr="000F2550">
        <w:rPr>
          <w:rFonts w:ascii="Calibri" w:hAnsi="Calibri"/>
          <w:sz w:val="24"/>
          <w:szCs w:val="24"/>
        </w:rPr>
        <w:t>será necesario contar con una alta disponibilidad de espectro, muy por arriba del que se ha requerido a la fecha. Varios países, entre ellos Estados Unidos</w:t>
      </w:r>
      <w:r w:rsidR="00005E80" w:rsidRPr="000F2550">
        <w:rPr>
          <w:rFonts w:ascii="Calibri" w:hAnsi="Calibri"/>
          <w:sz w:val="24"/>
          <w:szCs w:val="24"/>
        </w:rPr>
        <w:t>, los miembros de la Unión Europea y Brasil</w:t>
      </w:r>
      <w:r w:rsidRPr="000F2550">
        <w:rPr>
          <w:rFonts w:ascii="Calibri" w:hAnsi="Calibri"/>
          <w:sz w:val="24"/>
          <w:szCs w:val="24"/>
        </w:rPr>
        <w:t>, han licitado en fechas recientes enormes cantidades de espectro.</w:t>
      </w:r>
    </w:p>
    <w:p w14:paraId="13787A5B" w14:textId="5B4C6D27" w:rsidR="00407257" w:rsidRPr="000F2550" w:rsidRDefault="00407257" w:rsidP="00655DA4">
      <w:pPr>
        <w:spacing w:after="160" w:line="360" w:lineRule="auto"/>
        <w:rPr>
          <w:rFonts w:ascii="Calibri" w:hAnsi="Calibri"/>
          <w:sz w:val="24"/>
          <w:szCs w:val="24"/>
        </w:rPr>
      </w:pPr>
      <w:r w:rsidRPr="000F2550">
        <w:rPr>
          <w:rFonts w:ascii="Calibri" w:hAnsi="Calibri"/>
          <w:sz w:val="24"/>
          <w:szCs w:val="24"/>
        </w:rPr>
        <w:t>México no ha acompañado la tendencia internacional. Nuestro país tiene los precios de espectro radioeléctrico más caros de toda América Latina y, para algun</w:t>
      </w:r>
      <w:r w:rsidR="00920AFE" w:rsidRPr="000F2550">
        <w:rPr>
          <w:rFonts w:ascii="Calibri" w:hAnsi="Calibri"/>
          <w:sz w:val="24"/>
          <w:szCs w:val="24"/>
        </w:rPr>
        <w:t>a</w:t>
      </w:r>
      <w:r w:rsidRPr="000F2550">
        <w:rPr>
          <w:rFonts w:ascii="Calibri" w:hAnsi="Calibri"/>
          <w:sz w:val="24"/>
          <w:szCs w:val="24"/>
        </w:rPr>
        <w:t xml:space="preserve">s </w:t>
      </w:r>
      <w:r w:rsidR="00920AFE" w:rsidRPr="000F2550">
        <w:rPr>
          <w:rFonts w:ascii="Calibri" w:hAnsi="Calibri"/>
          <w:sz w:val="24"/>
          <w:szCs w:val="24"/>
        </w:rPr>
        <w:t>bandas de frecuencias</w:t>
      </w:r>
      <w:r w:rsidRPr="000F2550">
        <w:rPr>
          <w:rFonts w:ascii="Calibri" w:hAnsi="Calibri"/>
          <w:sz w:val="24"/>
          <w:szCs w:val="24"/>
        </w:rPr>
        <w:t xml:space="preserve">, los más caros del mundo. Esto inhibe el despliegue de infraestructura, la conectividad y la competencia. Tan sólo por citar un </w:t>
      </w:r>
      <w:r w:rsidR="00CC508E">
        <w:rPr>
          <w:rFonts w:ascii="Calibri" w:hAnsi="Calibri"/>
          <w:sz w:val="24"/>
          <w:szCs w:val="24"/>
        </w:rPr>
        <w:t>ejemplo</w:t>
      </w:r>
      <w:r w:rsidR="00CC508E" w:rsidRPr="000F2550">
        <w:rPr>
          <w:rFonts w:ascii="Calibri" w:hAnsi="Calibri"/>
          <w:sz w:val="24"/>
          <w:szCs w:val="24"/>
        </w:rPr>
        <w:t xml:space="preserve"> </w:t>
      </w:r>
      <w:r w:rsidR="00B728CA" w:rsidRPr="000F2550">
        <w:rPr>
          <w:rFonts w:ascii="Calibri" w:hAnsi="Calibri"/>
          <w:sz w:val="24"/>
          <w:szCs w:val="24"/>
        </w:rPr>
        <w:t xml:space="preserve">sobre las consecuencias de la política </w:t>
      </w:r>
      <w:r w:rsidR="00A4494F" w:rsidRPr="000F2550">
        <w:rPr>
          <w:rFonts w:ascii="Calibri" w:hAnsi="Calibri"/>
          <w:sz w:val="24"/>
          <w:szCs w:val="24"/>
        </w:rPr>
        <w:t>vigente</w:t>
      </w:r>
      <w:r w:rsidRPr="000F2550">
        <w:rPr>
          <w:rFonts w:ascii="Calibri" w:hAnsi="Calibri"/>
          <w:sz w:val="24"/>
          <w:szCs w:val="24"/>
        </w:rPr>
        <w:t>, la principal asociación de operadores de telecomunicaciones móviles en el mundo (GSMA) publicó un estudio en 2019 (Pau Castells</w:t>
      </w:r>
      <w:r w:rsidR="006F576F">
        <w:rPr>
          <w:rStyle w:val="Refdenotaalpie"/>
          <w:rFonts w:ascii="Calibri" w:hAnsi="Calibri"/>
          <w:sz w:val="24"/>
          <w:szCs w:val="24"/>
        </w:rPr>
        <w:footnoteReference w:id="3"/>
      </w:r>
      <w:r w:rsidRPr="000F2550">
        <w:rPr>
          <w:rFonts w:ascii="Calibri" w:hAnsi="Calibri"/>
          <w:sz w:val="24"/>
          <w:szCs w:val="24"/>
        </w:rPr>
        <w:t xml:space="preserve">) en </w:t>
      </w:r>
      <w:r w:rsidR="00CC508E">
        <w:rPr>
          <w:rFonts w:ascii="Calibri" w:hAnsi="Calibri"/>
          <w:sz w:val="24"/>
          <w:szCs w:val="24"/>
        </w:rPr>
        <w:t>el que</w:t>
      </w:r>
      <w:r w:rsidR="00CC508E" w:rsidRPr="000F2550">
        <w:rPr>
          <w:rFonts w:ascii="Calibri" w:hAnsi="Calibri"/>
          <w:sz w:val="24"/>
          <w:szCs w:val="24"/>
        </w:rPr>
        <w:t xml:space="preserve"> </w:t>
      </w:r>
      <w:r w:rsidRPr="000F2550">
        <w:rPr>
          <w:rFonts w:ascii="Calibri" w:hAnsi="Calibri"/>
          <w:sz w:val="24"/>
          <w:szCs w:val="24"/>
        </w:rPr>
        <w:t>estiman que</w:t>
      </w:r>
      <w:r w:rsidR="00A4494F" w:rsidRPr="000F2550">
        <w:rPr>
          <w:rFonts w:ascii="Calibri" w:hAnsi="Calibri"/>
          <w:sz w:val="24"/>
          <w:szCs w:val="24"/>
        </w:rPr>
        <w:t>,</w:t>
      </w:r>
      <w:r w:rsidRPr="000F2550">
        <w:rPr>
          <w:rFonts w:ascii="Calibri" w:hAnsi="Calibri"/>
          <w:sz w:val="24"/>
          <w:szCs w:val="24"/>
        </w:rPr>
        <w:t xml:space="preserve"> </w:t>
      </w:r>
      <w:r w:rsidR="00B728CA" w:rsidRPr="000F2550">
        <w:rPr>
          <w:rFonts w:ascii="Calibri" w:hAnsi="Calibri"/>
          <w:sz w:val="24"/>
          <w:szCs w:val="24"/>
        </w:rPr>
        <w:t xml:space="preserve">si en México los </w:t>
      </w:r>
      <w:r w:rsidRPr="000F2550">
        <w:rPr>
          <w:rFonts w:ascii="Calibri" w:hAnsi="Calibri"/>
          <w:sz w:val="24"/>
          <w:szCs w:val="24"/>
        </w:rPr>
        <w:t xml:space="preserve">precios del espectro </w:t>
      </w:r>
      <w:r w:rsidR="00B728CA" w:rsidRPr="000F2550">
        <w:rPr>
          <w:rFonts w:ascii="Calibri" w:hAnsi="Calibri"/>
          <w:sz w:val="24"/>
          <w:szCs w:val="24"/>
        </w:rPr>
        <w:t>hubieran sido equivalentes a</w:t>
      </w:r>
      <w:r w:rsidRPr="000F2550">
        <w:rPr>
          <w:rFonts w:ascii="Calibri" w:hAnsi="Calibri"/>
          <w:sz w:val="24"/>
          <w:szCs w:val="24"/>
        </w:rPr>
        <w:t xml:space="preserve"> </w:t>
      </w:r>
      <w:r w:rsidRPr="000F2550">
        <w:rPr>
          <w:rFonts w:ascii="Calibri" w:hAnsi="Calibri"/>
          <w:sz w:val="24"/>
          <w:szCs w:val="24"/>
        </w:rPr>
        <w:lastRenderedPageBreak/>
        <w:t>los niveles promedio de América Latina</w:t>
      </w:r>
      <w:r w:rsidR="00B728CA" w:rsidRPr="000F2550">
        <w:rPr>
          <w:rFonts w:ascii="Calibri" w:hAnsi="Calibri"/>
          <w:sz w:val="24"/>
          <w:szCs w:val="24"/>
        </w:rPr>
        <w:t>,</w:t>
      </w:r>
      <w:r w:rsidRPr="000F2550">
        <w:rPr>
          <w:rFonts w:ascii="Calibri" w:hAnsi="Calibri"/>
          <w:sz w:val="24"/>
          <w:szCs w:val="24"/>
        </w:rPr>
        <w:t xml:space="preserve"> 5.5 millones más de mexicanos </w:t>
      </w:r>
      <w:r w:rsidR="00B728CA" w:rsidRPr="000F2550">
        <w:rPr>
          <w:rFonts w:ascii="Calibri" w:hAnsi="Calibri"/>
          <w:sz w:val="24"/>
          <w:szCs w:val="24"/>
        </w:rPr>
        <w:t xml:space="preserve">tendrían actualmente </w:t>
      </w:r>
      <w:r w:rsidRPr="000F2550">
        <w:rPr>
          <w:rFonts w:ascii="Calibri" w:hAnsi="Calibri"/>
          <w:sz w:val="24"/>
          <w:szCs w:val="24"/>
        </w:rPr>
        <w:t>cobertura 4G.</w:t>
      </w:r>
    </w:p>
    <w:p w14:paraId="7F8A0F69" w14:textId="77777777" w:rsidR="000F2550" w:rsidRDefault="00407257" w:rsidP="00655DA4">
      <w:pPr>
        <w:spacing w:after="160" w:line="360" w:lineRule="auto"/>
        <w:rPr>
          <w:rFonts w:ascii="Calibri" w:hAnsi="Calibri"/>
          <w:sz w:val="24"/>
          <w:szCs w:val="24"/>
        </w:rPr>
      </w:pPr>
      <w:r w:rsidRPr="000F2550">
        <w:rPr>
          <w:rFonts w:ascii="Calibri" w:hAnsi="Calibri"/>
          <w:sz w:val="24"/>
          <w:szCs w:val="24"/>
        </w:rPr>
        <w:t>Los efectos de esta política</w:t>
      </w:r>
      <w:r w:rsidR="00B728CA" w:rsidRPr="000F2550">
        <w:rPr>
          <w:rFonts w:ascii="Calibri" w:hAnsi="Calibri"/>
          <w:sz w:val="24"/>
          <w:szCs w:val="24"/>
        </w:rPr>
        <w:t xml:space="preserve"> de cobro de derechos</w:t>
      </w:r>
      <w:r w:rsidRPr="000F2550">
        <w:rPr>
          <w:rFonts w:ascii="Calibri" w:hAnsi="Calibri"/>
          <w:sz w:val="24"/>
          <w:szCs w:val="24"/>
        </w:rPr>
        <w:t xml:space="preserve"> afectan tanto el espectro ya concesionado como el espectro por ser licitado. </w:t>
      </w:r>
      <w:r w:rsidR="00A4494F" w:rsidRPr="000F2550">
        <w:rPr>
          <w:rFonts w:ascii="Calibri" w:hAnsi="Calibri"/>
          <w:sz w:val="24"/>
          <w:szCs w:val="24"/>
        </w:rPr>
        <w:t>Esta visión recaudatoria, reflejada en un</w:t>
      </w:r>
      <w:r w:rsidRPr="000F2550">
        <w:rPr>
          <w:rFonts w:ascii="Calibri" w:hAnsi="Calibri"/>
          <w:sz w:val="24"/>
          <w:szCs w:val="24"/>
        </w:rPr>
        <w:t xml:space="preserve"> incremento de 6% al precio del espectro aplicado en la Ley Federal de Derechos de 2020</w:t>
      </w:r>
      <w:r w:rsidR="00A4494F" w:rsidRPr="000F2550">
        <w:rPr>
          <w:rFonts w:ascii="Calibri" w:hAnsi="Calibri"/>
          <w:sz w:val="24"/>
          <w:szCs w:val="24"/>
        </w:rPr>
        <w:t>,</w:t>
      </w:r>
      <w:r w:rsidRPr="000F2550">
        <w:rPr>
          <w:rFonts w:ascii="Calibri" w:hAnsi="Calibri"/>
          <w:sz w:val="24"/>
          <w:szCs w:val="24"/>
        </w:rPr>
        <w:t xml:space="preserve"> ya ha reclamado víctimas en el camino. </w:t>
      </w:r>
    </w:p>
    <w:p w14:paraId="05DD2EBB" w14:textId="04C8C625" w:rsidR="00381B49" w:rsidRPr="00381B49" w:rsidRDefault="00407257" w:rsidP="00655DA4">
      <w:pPr>
        <w:spacing w:after="160" w:line="360" w:lineRule="auto"/>
        <w:rPr>
          <w:rFonts w:ascii="Calibri" w:hAnsi="Calibri"/>
          <w:sz w:val="24"/>
          <w:szCs w:val="24"/>
        </w:rPr>
      </w:pPr>
      <w:r w:rsidRPr="000F2550">
        <w:rPr>
          <w:rFonts w:ascii="Calibri" w:hAnsi="Calibri"/>
          <w:sz w:val="24"/>
          <w:szCs w:val="24"/>
        </w:rPr>
        <w:t xml:space="preserve">Movistar México, uno de los cuatro operadores móviles en </w:t>
      </w:r>
      <w:r w:rsidR="00A4494F" w:rsidRPr="000F2550">
        <w:rPr>
          <w:rFonts w:ascii="Calibri" w:hAnsi="Calibri"/>
          <w:sz w:val="24"/>
          <w:szCs w:val="24"/>
        </w:rPr>
        <w:t>nuestro país</w:t>
      </w:r>
      <w:r w:rsidRPr="000F2550">
        <w:rPr>
          <w:rFonts w:ascii="Calibri" w:hAnsi="Calibri"/>
          <w:sz w:val="24"/>
          <w:szCs w:val="24"/>
        </w:rPr>
        <w:t xml:space="preserve">, ya ha devuelto cerca del 50% del espectro con el que </w:t>
      </w:r>
      <w:r w:rsidR="006F576F">
        <w:rPr>
          <w:rFonts w:ascii="Calibri" w:hAnsi="Calibri"/>
          <w:sz w:val="24"/>
          <w:szCs w:val="24"/>
        </w:rPr>
        <w:t>daba servicio</w:t>
      </w:r>
      <w:r w:rsidR="006F576F" w:rsidRPr="000F2550">
        <w:rPr>
          <w:rFonts w:ascii="Calibri" w:hAnsi="Calibri"/>
          <w:sz w:val="24"/>
          <w:szCs w:val="24"/>
        </w:rPr>
        <w:t xml:space="preserve"> </w:t>
      </w:r>
      <w:r w:rsidRPr="000F2550">
        <w:rPr>
          <w:rFonts w:ascii="Calibri" w:hAnsi="Calibri"/>
          <w:sz w:val="24"/>
          <w:szCs w:val="24"/>
        </w:rPr>
        <w:t xml:space="preserve">a </w:t>
      </w:r>
      <w:r w:rsidR="006F576F">
        <w:rPr>
          <w:rFonts w:ascii="Calibri" w:hAnsi="Calibri"/>
          <w:sz w:val="24"/>
          <w:szCs w:val="24"/>
        </w:rPr>
        <w:t xml:space="preserve">más </w:t>
      </w:r>
      <w:r w:rsidR="00A4494F" w:rsidRPr="000F2550">
        <w:rPr>
          <w:rFonts w:ascii="Calibri" w:hAnsi="Calibri"/>
          <w:sz w:val="24"/>
          <w:szCs w:val="24"/>
        </w:rPr>
        <w:t>de 20 millones de usuarios</w:t>
      </w:r>
      <w:r w:rsidRPr="000F2550">
        <w:rPr>
          <w:rFonts w:ascii="Calibri" w:hAnsi="Calibri"/>
          <w:sz w:val="24"/>
          <w:szCs w:val="24"/>
        </w:rPr>
        <w:t>. “Nos vimos en la necesidad de devolver el espectro por lo alto de los precios en México”</w:t>
      </w:r>
      <w:r w:rsidR="006F576F">
        <w:rPr>
          <w:rStyle w:val="Refdenotaalpie"/>
          <w:rFonts w:ascii="Calibri" w:hAnsi="Calibri"/>
          <w:sz w:val="24"/>
          <w:szCs w:val="24"/>
        </w:rPr>
        <w:footnoteReference w:id="4"/>
      </w:r>
      <w:r w:rsidRPr="000F2550">
        <w:rPr>
          <w:rFonts w:ascii="Calibri" w:hAnsi="Calibri"/>
          <w:sz w:val="24"/>
          <w:szCs w:val="24"/>
        </w:rPr>
        <w:t xml:space="preserve"> fueron los comentarios </w:t>
      </w:r>
      <w:r w:rsidR="00920AFE" w:rsidRPr="000F2550">
        <w:rPr>
          <w:rFonts w:ascii="Calibri" w:hAnsi="Calibri"/>
          <w:sz w:val="24"/>
          <w:szCs w:val="24"/>
        </w:rPr>
        <w:t xml:space="preserve">de </w:t>
      </w:r>
      <w:r w:rsidRPr="000F2550">
        <w:rPr>
          <w:rFonts w:ascii="Calibri" w:hAnsi="Calibri"/>
          <w:sz w:val="24"/>
          <w:szCs w:val="24"/>
        </w:rPr>
        <w:t>la empresa</w:t>
      </w:r>
      <w:r w:rsidR="00920AFE" w:rsidRPr="000F2550">
        <w:rPr>
          <w:rFonts w:ascii="Calibri" w:hAnsi="Calibri"/>
          <w:sz w:val="24"/>
          <w:szCs w:val="24"/>
        </w:rPr>
        <w:t xml:space="preserve"> </w:t>
      </w:r>
      <w:r w:rsidR="00B728CA" w:rsidRPr="000F2550">
        <w:rPr>
          <w:rFonts w:ascii="Calibri" w:hAnsi="Calibri"/>
          <w:sz w:val="24"/>
          <w:szCs w:val="24"/>
        </w:rPr>
        <w:t xml:space="preserve">al llevar a cabo tan difícil </w:t>
      </w:r>
      <w:r w:rsidR="00920AFE" w:rsidRPr="000F2550">
        <w:rPr>
          <w:rFonts w:ascii="Calibri" w:hAnsi="Calibri"/>
          <w:sz w:val="24"/>
          <w:szCs w:val="24"/>
        </w:rPr>
        <w:t>decisión</w:t>
      </w:r>
      <w:r w:rsidRPr="000F2550">
        <w:rPr>
          <w:rFonts w:ascii="Calibri" w:hAnsi="Calibri"/>
          <w:sz w:val="24"/>
          <w:szCs w:val="24"/>
        </w:rPr>
        <w:t xml:space="preserve">. </w:t>
      </w:r>
      <w:bookmarkStart w:id="0" w:name="_Hlk87461307"/>
      <w:r w:rsidR="00381B49" w:rsidRPr="00381B49">
        <w:rPr>
          <w:rFonts w:ascii="Calibri" w:hAnsi="Calibri"/>
          <w:sz w:val="24"/>
          <w:szCs w:val="24"/>
        </w:rPr>
        <w:t xml:space="preserve">En vez del proyectado aumento de 6% en la recaudación por los derechos de uso de espectro, la Tesorería de la Federación </w:t>
      </w:r>
      <w:bookmarkEnd w:id="0"/>
      <w:r w:rsidR="00381B49" w:rsidRPr="00381B49">
        <w:rPr>
          <w:rFonts w:ascii="Calibri" w:hAnsi="Calibri"/>
          <w:sz w:val="24"/>
          <w:szCs w:val="24"/>
        </w:rPr>
        <w:t xml:space="preserve">ha dejado de percibir ingresos por ese espectro radioeléctrico, además de haber disminuido de manera significativa la cantidad de espectro radioeléctrico asignado en México. </w:t>
      </w:r>
    </w:p>
    <w:p w14:paraId="2025CA2A" w14:textId="47C66B10" w:rsidR="00407257" w:rsidRPr="000F2550" w:rsidRDefault="00920AFE" w:rsidP="00655DA4">
      <w:pPr>
        <w:spacing w:after="160" w:line="360" w:lineRule="auto"/>
        <w:rPr>
          <w:rFonts w:ascii="Calibri" w:hAnsi="Calibri"/>
          <w:sz w:val="24"/>
          <w:szCs w:val="24"/>
        </w:rPr>
      </w:pPr>
      <w:r w:rsidRPr="000F2550">
        <w:rPr>
          <w:rFonts w:ascii="Calibri" w:hAnsi="Calibri"/>
          <w:sz w:val="24"/>
          <w:szCs w:val="24"/>
        </w:rPr>
        <w:t>Por otro lado, y</w:t>
      </w:r>
      <w:r w:rsidR="00407257" w:rsidRPr="000F2550">
        <w:rPr>
          <w:rFonts w:ascii="Calibri" w:hAnsi="Calibri"/>
          <w:sz w:val="24"/>
          <w:szCs w:val="24"/>
        </w:rPr>
        <w:t>a recientemente tuvimos una pincelada de la</w:t>
      </w:r>
      <w:r w:rsidR="00DB3B38" w:rsidRPr="000F2550">
        <w:rPr>
          <w:rFonts w:ascii="Calibri" w:hAnsi="Calibri"/>
          <w:sz w:val="24"/>
          <w:szCs w:val="24"/>
        </w:rPr>
        <w:t>s consecuencias de esta visión recaudatoria</w:t>
      </w:r>
      <w:r w:rsidR="00407257" w:rsidRPr="000F2550">
        <w:rPr>
          <w:rFonts w:ascii="Calibri" w:hAnsi="Calibri"/>
          <w:sz w:val="24"/>
          <w:szCs w:val="24"/>
        </w:rPr>
        <w:t xml:space="preserve"> hacia el futuro. Los días 30 de septiembre y 4 de octubre de 2021</w:t>
      </w:r>
      <w:r w:rsidRPr="000F2550">
        <w:rPr>
          <w:rFonts w:ascii="Calibri" w:hAnsi="Calibri"/>
          <w:sz w:val="24"/>
          <w:szCs w:val="24"/>
        </w:rPr>
        <w:t>,</w:t>
      </w:r>
      <w:r w:rsidR="00407257" w:rsidRPr="000F2550">
        <w:rPr>
          <w:rFonts w:ascii="Calibri" w:hAnsi="Calibri"/>
          <w:sz w:val="24"/>
          <w:szCs w:val="24"/>
        </w:rPr>
        <w:t xml:space="preserve"> el Instituto Federal de Telecomunicaciones llevó a cabo la licitaci</w:t>
      </w:r>
      <w:r w:rsidRPr="000F2550">
        <w:rPr>
          <w:rFonts w:ascii="Calibri" w:hAnsi="Calibri"/>
          <w:sz w:val="24"/>
          <w:szCs w:val="24"/>
        </w:rPr>
        <w:t>ón</w:t>
      </w:r>
      <w:r w:rsidR="00407257" w:rsidRPr="000F2550">
        <w:rPr>
          <w:rFonts w:ascii="Calibri" w:hAnsi="Calibri"/>
          <w:sz w:val="24"/>
          <w:szCs w:val="24"/>
        </w:rPr>
        <w:t xml:space="preserve"> de 41 bloques de espectro para servicios de telefonía e internet móvil en varias bandas (800 M</w:t>
      </w:r>
      <w:r w:rsidR="005477B8" w:rsidRPr="000F2550">
        <w:rPr>
          <w:rFonts w:ascii="Calibri" w:hAnsi="Calibri"/>
          <w:sz w:val="24"/>
          <w:szCs w:val="24"/>
        </w:rPr>
        <w:t>Hz</w:t>
      </w:r>
      <w:r w:rsidR="00407257" w:rsidRPr="000F2550">
        <w:rPr>
          <w:rFonts w:ascii="Calibri" w:hAnsi="Calibri"/>
          <w:sz w:val="24"/>
          <w:szCs w:val="24"/>
        </w:rPr>
        <w:t xml:space="preserve">, PCS, AWS y 2.5 GHz). De estos 41 bloques, sólo 3 recibieron ofertas. </w:t>
      </w:r>
      <w:r w:rsidRPr="000F2550">
        <w:rPr>
          <w:rFonts w:ascii="Calibri" w:hAnsi="Calibri"/>
          <w:sz w:val="24"/>
          <w:szCs w:val="24"/>
        </w:rPr>
        <w:t>Es evidente que, b</w:t>
      </w:r>
      <w:r w:rsidR="00407257" w:rsidRPr="000F2550">
        <w:rPr>
          <w:rFonts w:ascii="Calibri" w:hAnsi="Calibri"/>
          <w:sz w:val="24"/>
          <w:szCs w:val="24"/>
        </w:rPr>
        <w:t xml:space="preserve">ajo las condiciones de precio actuales, no existe </w:t>
      </w:r>
      <w:r w:rsidRPr="000F2550">
        <w:rPr>
          <w:rFonts w:ascii="Calibri" w:hAnsi="Calibri"/>
          <w:sz w:val="24"/>
          <w:szCs w:val="24"/>
        </w:rPr>
        <w:t xml:space="preserve">en el mercado </w:t>
      </w:r>
      <w:r w:rsidR="00407257" w:rsidRPr="000F2550">
        <w:rPr>
          <w:rFonts w:ascii="Calibri" w:hAnsi="Calibri"/>
          <w:sz w:val="24"/>
          <w:szCs w:val="24"/>
        </w:rPr>
        <w:t xml:space="preserve">apetito por espectro </w:t>
      </w:r>
      <w:r w:rsidR="00D07C57" w:rsidRPr="000F2550">
        <w:rPr>
          <w:rFonts w:ascii="Calibri" w:hAnsi="Calibri"/>
          <w:sz w:val="24"/>
          <w:szCs w:val="24"/>
        </w:rPr>
        <w:t xml:space="preserve">radioeléctrico </w:t>
      </w:r>
      <w:r w:rsidR="00407257" w:rsidRPr="000F2550">
        <w:rPr>
          <w:rFonts w:ascii="Calibri" w:hAnsi="Calibri"/>
          <w:sz w:val="24"/>
          <w:szCs w:val="24"/>
        </w:rPr>
        <w:t xml:space="preserve">en nuestro país. </w:t>
      </w:r>
    </w:p>
    <w:p w14:paraId="64C979C2" w14:textId="7078CCD8" w:rsidR="00407257" w:rsidRPr="000F2550" w:rsidRDefault="00407257" w:rsidP="00655DA4">
      <w:pPr>
        <w:spacing w:after="160" w:line="360" w:lineRule="auto"/>
        <w:rPr>
          <w:rFonts w:ascii="Calibri" w:hAnsi="Calibri"/>
          <w:sz w:val="24"/>
          <w:szCs w:val="24"/>
        </w:rPr>
      </w:pPr>
      <w:r w:rsidRPr="000F2550">
        <w:rPr>
          <w:rFonts w:ascii="Calibri" w:hAnsi="Calibri"/>
          <w:sz w:val="24"/>
          <w:szCs w:val="24"/>
        </w:rPr>
        <w:t>L</w:t>
      </w:r>
      <w:r w:rsidR="00DB3B38" w:rsidRPr="000F2550">
        <w:rPr>
          <w:rFonts w:ascii="Calibri" w:hAnsi="Calibri"/>
          <w:sz w:val="24"/>
          <w:szCs w:val="24"/>
        </w:rPr>
        <w:t>o</w:t>
      </w:r>
      <w:r w:rsidRPr="000F2550">
        <w:rPr>
          <w:rFonts w:ascii="Calibri" w:hAnsi="Calibri"/>
          <w:sz w:val="24"/>
          <w:szCs w:val="24"/>
        </w:rPr>
        <w:t xml:space="preserve">s </w:t>
      </w:r>
      <w:r w:rsidR="00DB3B38" w:rsidRPr="000F2550">
        <w:rPr>
          <w:rFonts w:ascii="Calibri" w:hAnsi="Calibri"/>
          <w:sz w:val="24"/>
          <w:szCs w:val="24"/>
        </w:rPr>
        <w:t>resultados</w:t>
      </w:r>
      <w:r w:rsidRPr="000F2550">
        <w:rPr>
          <w:rFonts w:ascii="Calibri" w:hAnsi="Calibri"/>
          <w:sz w:val="24"/>
          <w:szCs w:val="24"/>
        </w:rPr>
        <w:t xml:space="preserve"> de una mala decisión de política pública ya están a la vista de todos:</w:t>
      </w:r>
    </w:p>
    <w:p w14:paraId="2050F2C7" w14:textId="54DCB3E9" w:rsidR="00407257" w:rsidRPr="000F2550" w:rsidRDefault="00407257" w:rsidP="00655DA4">
      <w:pPr>
        <w:pStyle w:val="Prrafodelista"/>
        <w:numPr>
          <w:ilvl w:val="0"/>
          <w:numId w:val="13"/>
        </w:numPr>
        <w:spacing w:line="360" w:lineRule="auto"/>
        <w:rPr>
          <w:rFonts w:ascii="Calibri" w:hAnsi="Calibri"/>
          <w:sz w:val="24"/>
          <w:szCs w:val="24"/>
        </w:rPr>
      </w:pPr>
      <w:r w:rsidRPr="000F2550">
        <w:rPr>
          <w:rFonts w:ascii="Calibri" w:hAnsi="Calibri"/>
          <w:sz w:val="24"/>
          <w:szCs w:val="24"/>
        </w:rPr>
        <w:t>México ya perdió un operador de infraestructura en telecomunicaciones móviles</w:t>
      </w:r>
      <w:r w:rsidR="0076200B">
        <w:rPr>
          <w:rFonts w:ascii="Calibri" w:hAnsi="Calibri"/>
          <w:sz w:val="24"/>
          <w:szCs w:val="24"/>
        </w:rPr>
        <w:t>;</w:t>
      </w:r>
    </w:p>
    <w:p w14:paraId="5C7E73F7" w14:textId="31EECFE8" w:rsidR="00407257" w:rsidRPr="000F2550" w:rsidRDefault="00DB3B38" w:rsidP="00655DA4">
      <w:pPr>
        <w:pStyle w:val="Prrafodelista"/>
        <w:numPr>
          <w:ilvl w:val="0"/>
          <w:numId w:val="13"/>
        </w:numPr>
        <w:spacing w:line="360" w:lineRule="auto"/>
        <w:rPr>
          <w:rFonts w:ascii="Calibri" w:hAnsi="Calibri"/>
          <w:sz w:val="24"/>
          <w:szCs w:val="24"/>
        </w:rPr>
      </w:pPr>
      <w:r w:rsidRPr="000F2550">
        <w:rPr>
          <w:rFonts w:ascii="Calibri" w:hAnsi="Calibri"/>
          <w:sz w:val="24"/>
          <w:szCs w:val="24"/>
        </w:rPr>
        <w:t>La más reciente</w:t>
      </w:r>
      <w:r w:rsidR="00407257" w:rsidRPr="000F2550">
        <w:rPr>
          <w:rFonts w:ascii="Calibri" w:hAnsi="Calibri"/>
          <w:sz w:val="24"/>
          <w:szCs w:val="24"/>
        </w:rPr>
        <w:t xml:space="preserve"> licitación de espectro fue desestimada por el mercado, llevando a que las arcas del gobierno se qued</w:t>
      </w:r>
      <w:r w:rsidR="00920AFE" w:rsidRPr="000F2550">
        <w:rPr>
          <w:rFonts w:ascii="Calibri" w:hAnsi="Calibri"/>
          <w:sz w:val="24"/>
          <w:szCs w:val="24"/>
        </w:rPr>
        <w:t>e</w:t>
      </w:r>
      <w:r w:rsidR="00407257" w:rsidRPr="000F2550">
        <w:rPr>
          <w:rFonts w:ascii="Calibri" w:hAnsi="Calibri"/>
          <w:sz w:val="24"/>
          <w:szCs w:val="24"/>
        </w:rPr>
        <w:t>n sin ingresos estimados</w:t>
      </w:r>
      <w:r w:rsidR="0076200B">
        <w:rPr>
          <w:rFonts w:ascii="Calibri" w:hAnsi="Calibri"/>
          <w:sz w:val="24"/>
          <w:szCs w:val="24"/>
        </w:rPr>
        <w:t>, y</w:t>
      </w:r>
    </w:p>
    <w:p w14:paraId="7A33A2FE" w14:textId="083A0382" w:rsidR="00407257" w:rsidRPr="000F2550" w:rsidRDefault="00407257" w:rsidP="00655DA4">
      <w:pPr>
        <w:pStyle w:val="Prrafodelista"/>
        <w:numPr>
          <w:ilvl w:val="0"/>
          <w:numId w:val="13"/>
        </w:numPr>
        <w:spacing w:line="360" w:lineRule="auto"/>
        <w:rPr>
          <w:rFonts w:ascii="Calibri" w:hAnsi="Calibri"/>
          <w:sz w:val="24"/>
          <w:szCs w:val="24"/>
        </w:rPr>
      </w:pPr>
      <w:r w:rsidRPr="000F2550">
        <w:rPr>
          <w:rFonts w:ascii="Calibri" w:hAnsi="Calibri"/>
          <w:sz w:val="24"/>
          <w:szCs w:val="24"/>
        </w:rPr>
        <w:t xml:space="preserve">Grandes cantidades de espectro se han quedado ociosas, lo que se traduce en menos infraestructura, menor calidad </w:t>
      </w:r>
      <w:r w:rsidR="00B728CA" w:rsidRPr="000F2550">
        <w:rPr>
          <w:rFonts w:ascii="Calibri" w:hAnsi="Calibri"/>
          <w:sz w:val="24"/>
          <w:szCs w:val="24"/>
        </w:rPr>
        <w:t xml:space="preserve">en los servicios prestados </w:t>
      </w:r>
      <w:r w:rsidRPr="000F2550">
        <w:rPr>
          <w:rFonts w:ascii="Calibri" w:hAnsi="Calibri"/>
          <w:sz w:val="24"/>
          <w:szCs w:val="24"/>
        </w:rPr>
        <w:t xml:space="preserve">y, especialmente, </w:t>
      </w:r>
      <w:r w:rsidR="00B728CA" w:rsidRPr="000F2550">
        <w:rPr>
          <w:rFonts w:ascii="Calibri" w:hAnsi="Calibri"/>
          <w:sz w:val="24"/>
          <w:szCs w:val="24"/>
        </w:rPr>
        <w:t>un menor número de</w:t>
      </w:r>
      <w:r w:rsidRPr="000F2550">
        <w:rPr>
          <w:rFonts w:ascii="Calibri" w:hAnsi="Calibri"/>
          <w:sz w:val="24"/>
          <w:szCs w:val="24"/>
        </w:rPr>
        <w:t xml:space="preserve"> ciudadanos conectados.</w:t>
      </w:r>
    </w:p>
    <w:p w14:paraId="5D0ED174" w14:textId="77777777" w:rsidR="00655DA4" w:rsidRDefault="00655DA4" w:rsidP="00655DA4">
      <w:pPr>
        <w:spacing w:after="160" w:line="360" w:lineRule="auto"/>
        <w:rPr>
          <w:rFonts w:ascii="Calibri" w:hAnsi="Calibri"/>
          <w:b/>
          <w:bCs/>
          <w:sz w:val="24"/>
          <w:szCs w:val="24"/>
        </w:rPr>
      </w:pPr>
    </w:p>
    <w:p w14:paraId="2A00E96E" w14:textId="352EBCD4" w:rsidR="00407257" w:rsidRPr="000F2550" w:rsidRDefault="00407257" w:rsidP="00655DA4">
      <w:pPr>
        <w:spacing w:after="160" w:line="360" w:lineRule="auto"/>
        <w:rPr>
          <w:rFonts w:ascii="Calibri" w:hAnsi="Calibri"/>
          <w:b/>
          <w:bCs/>
          <w:sz w:val="24"/>
          <w:szCs w:val="24"/>
        </w:rPr>
      </w:pPr>
      <w:r w:rsidRPr="000F2550">
        <w:rPr>
          <w:rFonts w:ascii="Calibri" w:hAnsi="Calibri"/>
          <w:b/>
          <w:bCs/>
          <w:sz w:val="24"/>
          <w:szCs w:val="24"/>
        </w:rPr>
        <w:t xml:space="preserve">Sólo con más espectro siendo utilizado </w:t>
      </w:r>
      <w:r w:rsidR="00A4494F" w:rsidRPr="000F2550">
        <w:rPr>
          <w:rFonts w:ascii="Calibri" w:hAnsi="Calibri"/>
          <w:b/>
          <w:bCs/>
          <w:sz w:val="24"/>
          <w:szCs w:val="24"/>
        </w:rPr>
        <w:t>para la prestación de servicios a la población</w:t>
      </w:r>
      <w:r w:rsidRPr="000F2550">
        <w:rPr>
          <w:rFonts w:ascii="Calibri" w:hAnsi="Calibri"/>
          <w:b/>
          <w:bCs/>
          <w:sz w:val="24"/>
          <w:szCs w:val="24"/>
        </w:rPr>
        <w:t xml:space="preserve"> será posible abatir la brecha digital. La política pública de México establecida en su Ley Federal de Derechos cumple exactamente el objetivo contrario.</w:t>
      </w:r>
    </w:p>
    <w:p w14:paraId="0007DDE2" w14:textId="289A90FD" w:rsidR="00407257" w:rsidRPr="000F2550" w:rsidRDefault="00407257" w:rsidP="00655DA4">
      <w:pPr>
        <w:spacing w:after="160" w:line="360" w:lineRule="auto"/>
        <w:rPr>
          <w:rFonts w:ascii="Calibri" w:hAnsi="Calibri"/>
          <w:sz w:val="24"/>
          <w:szCs w:val="24"/>
        </w:rPr>
      </w:pPr>
      <w:r w:rsidRPr="000F2550">
        <w:rPr>
          <w:rFonts w:ascii="Calibri" w:hAnsi="Calibri"/>
          <w:sz w:val="24"/>
          <w:szCs w:val="24"/>
        </w:rPr>
        <w:t xml:space="preserve">Desde hace varios años, el </w:t>
      </w:r>
      <w:r w:rsidR="00D07C57" w:rsidRPr="000F2550">
        <w:rPr>
          <w:rFonts w:ascii="Calibri" w:hAnsi="Calibri"/>
          <w:sz w:val="24"/>
          <w:szCs w:val="24"/>
        </w:rPr>
        <w:t>Instituto Federal de Telecomunicaciones</w:t>
      </w:r>
      <w:r w:rsidRPr="000F2550">
        <w:rPr>
          <w:rFonts w:ascii="Calibri" w:hAnsi="Calibri"/>
          <w:sz w:val="24"/>
          <w:szCs w:val="24"/>
        </w:rPr>
        <w:t xml:space="preserve"> </w:t>
      </w:r>
      <w:r w:rsidR="00381B49" w:rsidRPr="00381B49">
        <w:rPr>
          <w:rFonts w:ascii="Calibri" w:hAnsi="Calibri"/>
          <w:sz w:val="24"/>
          <w:szCs w:val="24"/>
        </w:rPr>
        <w:t>(Instituto)</w:t>
      </w:r>
      <w:r w:rsidR="00381B49">
        <w:rPr>
          <w:rFonts w:ascii="ITC Avant Garde" w:hAnsi="ITC Avant Garde"/>
          <w:sz w:val="22"/>
          <w:szCs w:val="22"/>
        </w:rPr>
        <w:t xml:space="preserve"> </w:t>
      </w:r>
      <w:r w:rsidRPr="000F2550">
        <w:rPr>
          <w:rFonts w:ascii="Calibri" w:hAnsi="Calibri"/>
          <w:sz w:val="24"/>
          <w:szCs w:val="24"/>
        </w:rPr>
        <w:t xml:space="preserve">ha hecho varias </w:t>
      </w:r>
      <w:r w:rsidR="00920AFE" w:rsidRPr="000F2550">
        <w:rPr>
          <w:rFonts w:ascii="Calibri" w:hAnsi="Calibri"/>
          <w:sz w:val="24"/>
          <w:szCs w:val="24"/>
        </w:rPr>
        <w:t>sugerencias</w:t>
      </w:r>
      <w:r w:rsidRPr="000F2550">
        <w:rPr>
          <w:rFonts w:ascii="Calibri" w:hAnsi="Calibri"/>
          <w:sz w:val="24"/>
          <w:szCs w:val="24"/>
        </w:rPr>
        <w:t xml:space="preserve"> para solventar este problema</w:t>
      </w:r>
      <w:r w:rsidR="00920AFE" w:rsidRPr="000F2550">
        <w:rPr>
          <w:rFonts w:ascii="Calibri" w:hAnsi="Calibri"/>
          <w:sz w:val="24"/>
          <w:szCs w:val="24"/>
        </w:rPr>
        <w:t xml:space="preserve">, </w:t>
      </w:r>
      <w:r w:rsidR="0076200B">
        <w:rPr>
          <w:rFonts w:ascii="Calibri" w:hAnsi="Calibri"/>
          <w:sz w:val="24"/>
          <w:szCs w:val="24"/>
        </w:rPr>
        <w:t xml:space="preserve">muestra de ello, es que el </w:t>
      </w:r>
      <w:r w:rsidR="0076200B" w:rsidRPr="000F2550">
        <w:rPr>
          <w:rFonts w:ascii="Calibri" w:hAnsi="Calibri"/>
          <w:sz w:val="24"/>
          <w:szCs w:val="24"/>
        </w:rPr>
        <w:t xml:space="preserve">pasado 26 de octubre </w:t>
      </w:r>
      <w:r w:rsidR="0076200B">
        <w:rPr>
          <w:rFonts w:ascii="Calibri" w:hAnsi="Calibri"/>
          <w:sz w:val="24"/>
          <w:szCs w:val="24"/>
        </w:rPr>
        <w:t>envió</w:t>
      </w:r>
      <w:r w:rsidR="00920AFE" w:rsidRPr="000F2550">
        <w:rPr>
          <w:rFonts w:ascii="Calibri" w:hAnsi="Calibri"/>
          <w:sz w:val="24"/>
          <w:szCs w:val="24"/>
        </w:rPr>
        <w:t xml:space="preserve"> al Senado de la República </w:t>
      </w:r>
      <w:r w:rsidRPr="000F2550">
        <w:rPr>
          <w:rFonts w:ascii="Calibri" w:hAnsi="Calibri"/>
          <w:sz w:val="24"/>
          <w:szCs w:val="24"/>
        </w:rPr>
        <w:t>tres propuestas específicas dirigidas a promover mayor conectividad en el país y alentar la entrada de nuevos operadores regionales y locales</w:t>
      </w:r>
      <w:r w:rsidR="00DB3B38" w:rsidRPr="000F2550">
        <w:rPr>
          <w:rFonts w:ascii="Calibri" w:hAnsi="Calibri"/>
          <w:sz w:val="24"/>
          <w:szCs w:val="24"/>
        </w:rPr>
        <w:t>:</w:t>
      </w:r>
    </w:p>
    <w:p w14:paraId="48D7CE10" w14:textId="5DC063C9" w:rsidR="00407257" w:rsidRDefault="00D07C57" w:rsidP="00655DA4">
      <w:pPr>
        <w:pStyle w:val="Prrafodelista"/>
        <w:numPr>
          <w:ilvl w:val="0"/>
          <w:numId w:val="14"/>
        </w:numPr>
        <w:spacing w:line="360" w:lineRule="auto"/>
        <w:jc w:val="both"/>
        <w:rPr>
          <w:rFonts w:ascii="Calibri" w:hAnsi="Calibri"/>
          <w:sz w:val="24"/>
          <w:szCs w:val="24"/>
        </w:rPr>
      </w:pPr>
      <w:r w:rsidRPr="000F2550">
        <w:rPr>
          <w:rFonts w:ascii="Calibri" w:hAnsi="Calibri"/>
          <w:i/>
          <w:iCs/>
          <w:sz w:val="24"/>
          <w:szCs w:val="24"/>
        </w:rPr>
        <w:t>“</w:t>
      </w:r>
      <w:r w:rsidR="00407257" w:rsidRPr="000F2550">
        <w:rPr>
          <w:rFonts w:ascii="Calibri" w:hAnsi="Calibri"/>
          <w:i/>
          <w:iCs/>
          <w:sz w:val="24"/>
          <w:szCs w:val="24"/>
        </w:rPr>
        <w:t>Ajustar a la baja los derechos de las bandas para la prestación de servicios 5G</w:t>
      </w:r>
      <w:r w:rsidRPr="000F2550">
        <w:rPr>
          <w:rFonts w:ascii="Calibri" w:hAnsi="Calibri"/>
          <w:i/>
          <w:iCs/>
          <w:sz w:val="24"/>
          <w:szCs w:val="24"/>
        </w:rPr>
        <w:t>”</w:t>
      </w:r>
      <w:r w:rsidR="00407257" w:rsidRPr="000F2550">
        <w:rPr>
          <w:rFonts w:ascii="Calibri" w:hAnsi="Calibri"/>
          <w:sz w:val="24"/>
          <w:szCs w:val="24"/>
        </w:rPr>
        <w:t xml:space="preserve">. Es menester mencionar que este espectro </w:t>
      </w:r>
      <w:r w:rsidR="00407257" w:rsidRPr="000F2550">
        <w:rPr>
          <w:rFonts w:ascii="Calibri" w:hAnsi="Calibri"/>
          <w:b/>
          <w:bCs/>
          <w:sz w:val="24"/>
          <w:szCs w:val="24"/>
        </w:rPr>
        <w:t>no está licenciado</w:t>
      </w:r>
      <w:r w:rsidR="00407257" w:rsidRPr="000F2550">
        <w:rPr>
          <w:rFonts w:ascii="Calibri" w:hAnsi="Calibri"/>
          <w:sz w:val="24"/>
          <w:szCs w:val="24"/>
        </w:rPr>
        <w:t xml:space="preserve">, por lo que existe el riesgo inminente de que estas bandas no sean asignadas y el </w:t>
      </w:r>
      <w:r w:rsidR="00407257" w:rsidRPr="000F2550">
        <w:rPr>
          <w:rFonts w:ascii="Calibri" w:hAnsi="Calibri"/>
          <w:b/>
          <w:bCs/>
          <w:sz w:val="24"/>
          <w:szCs w:val="24"/>
        </w:rPr>
        <w:t xml:space="preserve">monto recaudado por los derechos de uso sea </w:t>
      </w:r>
      <w:r w:rsidR="00A4494F" w:rsidRPr="000F2550">
        <w:rPr>
          <w:rFonts w:ascii="Calibri" w:hAnsi="Calibri"/>
          <w:b/>
          <w:bCs/>
          <w:sz w:val="24"/>
          <w:szCs w:val="24"/>
        </w:rPr>
        <w:t xml:space="preserve">incluso </w:t>
      </w:r>
      <w:r w:rsidR="00407257" w:rsidRPr="000F2550">
        <w:rPr>
          <w:rFonts w:ascii="Calibri" w:hAnsi="Calibri"/>
          <w:b/>
          <w:bCs/>
          <w:sz w:val="24"/>
          <w:szCs w:val="24"/>
        </w:rPr>
        <w:t>cero</w:t>
      </w:r>
      <w:r w:rsidR="00407257" w:rsidRPr="000F2550">
        <w:rPr>
          <w:rFonts w:ascii="Calibri" w:hAnsi="Calibri"/>
          <w:sz w:val="24"/>
          <w:szCs w:val="24"/>
        </w:rPr>
        <w:t>.</w:t>
      </w:r>
    </w:p>
    <w:p w14:paraId="38C0F4E1" w14:textId="77777777" w:rsidR="000A29F9" w:rsidRPr="000F2550" w:rsidRDefault="000A29F9" w:rsidP="00655DA4">
      <w:pPr>
        <w:pStyle w:val="Prrafodelista"/>
        <w:spacing w:line="360" w:lineRule="auto"/>
        <w:jc w:val="both"/>
        <w:rPr>
          <w:rFonts w:ascii="Calibri" w:hAnsi="Calibri"/>
          <w:sz w:val="24"/>
          <w:szCs w:val="24"/>
        </w:rPr>
      </w:pPr>
    </w:p>
    <w:p w14:paraId="2A59D14A" w14:textId="31610971" w:rsidR="000A29F9" w:rsidRDefault="00D07C57" w:rsidP="00655DA4">
      <w:pPr>
        <w:pStyle w:val="Prrafodelista"/>
        <w:numPr>
          <w:ilvl w:val="0"/>
          <w:numId w:val="14"/>
        </w:numPr>
        <w:spacing w:line="360" w:lineRule="auto"/>
        <w:jc w:val="both"/>
        <w:rPr>
          <w:rFonts w:ascii="Calibri" w:hAnsi="Calibri"/>
          <w:sz w:val="24"/>
          <w:szCs w:val="24"/>
        </w:rPr>
      </w:pPr>
      <w:r w:rsidRPr="000F2550">
        <w:rPr>
          <w:rFonts w:ascii="Calibri" w:hAnsi="Calibri"/>
          <w:i/>
          <w:iCs/>
          <w:sz w:val="24"/>
          <w:szCs w:val="24"/>
        </w:rPr>
        <w:t>“</w:t>
      </w:r>
      <w:r w:rsidR="00407257" w:rsidRPr="000F2550">
        <w:rPr>
          <w:rFonts w:ascii="Calibri" w:hAnsi="Calibri"/>
          <w:i/>
          <w:iCs/>
          <w:sz w:val="24"/>
          <w:szCs w:val="24"/>
        </w:rPr>
        <w:t>Modificar la estructura de cobro de derechos de las bandas de 800/850 MHz por Área Básica de Servicio</w:t>
      </w:r>
      <w:r w:rsidR="00407257" w:rsidRPr="000F2550">
        <w:rPr>
          <w:rFonts w:ascii="Calibri" w:hAnsi="Calibri"/>
          <w:sz w:val="24"/>
          <w:szCs w:val="24"/>
        </w:rPr>
        <w:t xml:space="preserve"> </w:t>
      </w:r>
      <w:r w:rsidRPr="000F2550">
        <w:rPr>
          <w:rFonts w:ascii="Calibri" w:hAnsi="Calibri"/>
          <w:sz w:val="24"/>
          <w:szCs w:val="24"/>
        </w:rPr>
        <w:t xml:space="preserve">(65 </w:t>
      </w:r>
      <w:r w:rsidR="00407257" w:rsidRPr="000F2550">
        <w:rPr>
          <w:rFonts w:ascii="Calibri" w:hAnsi="Calibri"/>
          <w:sz w:val="24"/>
          <w:szCs w:val="24"/>
        </w:rPr>
        <w:t xml:space="preserve">áreas en el país) </w:t>
      </w:r>
      <w:r w:rsidR="00407257" w:rsidRPr="000F2550">
        <w:rPr>
          <w:rFonts w:ascii="Calibri" w:hAnsi="Calibri"/>
          <w:i/>
          <w:iCs/>
          <w:sz w:val="24"/>
          <w:szCs w:val="24"/>
        </w:rPr>
        <w:t xml:space="preserve">en lugar de hacerlo basado en regiones celulares </w:t>
      </w:r>
      <w:r w:rsidR="00407257" w:rsidRPr="000F2550">
        <w:rPr>
          <w:rFonts w:ascii="Calibri" w:hAnsi="Calibri"/>
          <w:sz w:val="24"/>
          <w:szCs w:val="24"/>
        </w:rPr>
        <w:t>(9 regiones)</w:t>
      </w:r>
      <w:r w:rsidRPr="000F2550">
        <w:rPr>
          <w:rFonts w:ascii="Calibri" w:hAnsi="Calibri"/>
          <w:sz w:val="24"/>
          <w:szCs w:val="24"/>
        </w:rPr>
        <w:t>”</w:t>
      </w:r>
      <w:r w:rsidR="00407257" w:rsidRPr="000F2550">
        <w:rPr>
          <w:rFonts w:ascii="Calibri" w:hAnsi="Calibri"/>
          <w:sz w:val="24"/>
          <w:szCs w:val="24"/>
        </w:rPr>
        <w:t>. Al utilizar áreas geográficas menores, los derechos reflejarán mejor las condiciones socioeconómicas de la población. Es importante enfatizar que</w:t>
      </w:r>
      <w:r w:rsidR="00920AFE" w:rsidRPr="000F2550">
        <w:rPr>
          <w:rFonts w:ascii="Calibri" w:hAnsi="Calibri"/>
          <w:sz w:val="24"/>
          <w:szCs w:val="24"/>
        </w:rPr>
        <w:t>, en este caso,</w:t>
      </w:r>
      <w:r w:rsidR="00407257" w:rsidRPr="000F2550">
        <w:rPr>
          <w:rFonts w:ascii="Calibri" w:hAnsi="Calibri"/>
          <w:sz w:val="24"/>
          <w:szCs w:val="24"/>
        </w:rPr>
        <w:t xml:space="preserve"> la utilización de promedios </w:t>
      </w:r>
      <w:r w:rsidR="00C0623F" w:rsidRPr="000F2550">
        <w:rPr>
          <w:rFonts w:ascii="Calibri" w:hAnsi="Calibri"/>
          <w:sz w:val="24"/>
          <w:szCs w:val="24"/>
        </w:rPr>
        <w:t xml:space="preserve">para la fijación de derechos por el uso del espectro </w:t>
      </w:r>
      <w:r w:rsidR="00407257" w:rsidRPr="000F2550">
        <w:rPr>
          <w:rFonts w:ascii="Calibri" w:hAnsi="Calibri"/>
          <w:sz w:val="24"/>
          <w:szCs w:val="24"/>
        </w:rPr>
        <w:t xml:space="preserve">es una </w:t>
      </w:r>
      <w:r w:rsidR="00407257" w:rsidRPr="000F2550">
        <w:rPr>
          <w:rFonts w:ascii="Calibri" w:hAnsi="Calibri"/>
          <w:b/>
          <w:bCs/>
          <w:sz w:val="24"/>
          <w:szCs w:val="24"/>
        </w:rPr>
        <w:t xml:space="preserve">medida </w:t>
      </w:r>
      <w:r w:rsidR="00B728CA" w:rsidRPr="000F2550">
        <w:rPr>
          <w:rFonts w:ascii="Calibri" w:hAnsi="Calibri"/>
          <w:b/>
          <w:bCs/>
          <w:sz w:val="24"/>
          <w:szCs w:val="24"/>
        </w:rPr>
        <w:t xml:space="preserve">altamente </w:t>
      </w:r>
      <w:r w:rsidR="00407257" w:rsidRPr="000F2550">
        <w:rPr>
          <w:rFonts w:ascii="Calibri" w:hAnsi="Calibri"/>
          <w:b/>
          <w:bCs/>
          <w:sz w:val="24"/>
          <w:szCs w:val="24"/>
        </w:rPr>
        <w:t>regresiva</w:t>
      </w:r>
      <w:r w:rsidR="00407257" w:rsidRPr="000F2550">
        <w:rPr>
          <w:rFonts w:ascii="Calibri" w:hAnsi="Calibri"/>
          <w:sz w:val="24"/>
          <w:szCs w:val="24"/>
        </w:rPr>
        <w:t>, ya que beneficia a las áreas de mayor desarrollo económico a costa de las áreas más pobres de nuestro país</w:t>
      </w:r>
      <w:r w:rsidR="0076200B">
        <w:rPr>
          <w:rFonts w:ascii="Calibri" w:hAnsi="Calibri"/>
          <w:sz w:val="24"/>
          <w:szCs w:val="24"/>
        </w:rPr>
        <w:t>, y</w:t>
      </w:r>
    </w:p>
    <w:p w14:paraId="72B3F2C3" w14:textId="77777777" w:rsidR="00655DA4" w:rsidRPr="00655DA4" w:rsidRDefault="00655DA4" w:rsidP="00655DA4">
      <w:pPr>
        <w:pStyle w:val="Prrafodelista"/>
        <w:spacing w:line="360" w:lineRule="auto"/>
        <w:jc w:val="both"/>
        <w:rPr>
          <w:rFonts w:ascii="Calibri" w:hAnsi="Calibri"/>
          <w:sz w:val="24"/>
          <w:szCs w:val="24"/>
        </w:rPr>
      </w:pPr>
    </w:p>
    <w:p w14:paraId="6C2B68F9" w14:textId="2F67038E" w:rsidR="00407257" w:rsidRPr="000F2550" w:rsidRDefault="00D07C57" w:rsidP="00655DA4">
      <w:pPr>
        <w:pStyle w:val="Prrafodelista"/>
        <w:numPr>
          <w:ilvl w:val="0"/>
          <w:numId w:val="14"/>
        </w:numPr>
        <w:spacing w:line="360" w:lineRule="auto"/>
        <w:jc w:val="both"/>
        <w:rPr>
          <w:rFonts w:ascii="Calibri" w:hAnsi="Calibri"/>
          <w:sz w:val="24"/>
          <w:szCs w:val="24"/>
        </w:rPr>
      </w:pPr>
      <w:r w:rsidRPr="000F2550">
        <w:rPr>
          <w:rFonts w:ascii="Calibri" w:hAnsi="Calibri"/>
          <w:i/>
          <w:iCs/>
          <w:sz w:val="24"/>
          <w:szCs w:val="24"/>
        </w:rPr>
        <w:t>“</w:t>
      </w:r>
      <w:r w:rsidR="00407257" w:rsidRPr="000F2550">
        <w:rPr>
          <w:rFonts w:ascii="Calibri" w:hAnsi="Calibri"/>
          <w:i/>
          <w:iCs/>
          <w:sz w:val="24"/>
          <w:szCs w:val="24"/>
        </w:rPr>
        <w:t>Incorporar un esquema de acreditamiento de erogaciones en materia de cobertura social contra el pago de derechos por uso del espectro radioeléctrico para llevar cobertura a localidades sin servicio móvil de acceso a internet</w:t>
      </w:r>
      <w:r w:rsidR="00407257" w:rsidRPr="000F2550">
        <w:rPr>
          <w:rFonts w:ascii="Calibri" w:hAnsi="Calibri"/>
          <w:sz w:val="24"/>
          <w:szCs w:val="24"/>
        </w:rPr>
        <w:t>.</w:t>
      </w:r>
      <w:r w:rsidRPr="000F2550">
        <w:rPr>
          <w:rFonts w:ascii="Calibri" w:hAnsi="Calibri"/>
          <w:sz w:val="24"/>
          <w:szCs w:val="24"/>
        </w:rPr>
        <w:t>”</w:t>
      </w:r>
    </w:p>
    <w:p w14:paraId="5866F717" w14:textId="7C859D9F" w:rsidR="00407257" w:rsidRPr="000F2550" w:rsidRDefault="00407257" w:rsidP="00655DA4">
      <w:pPr>
        <w:spacing w:after="160" w:line="360" w:lineRule="auto"/>
        <w:rPr>
          <w:rFonts w:ascii="Calibri" w:hAnsi="Calibri"/>
          <w:b/>
          <w:bCs/>
          <w:sz w:val="24"/>
          <w:szCs w:val="24"/>
        </w:rPr>
      </w:pPr>
      <w:r w:rsidRPr="000F2550">
        <w:rPr>
          <w:rFonts w:ascii="Calibri" w:hAnsi="Calibri"/>
          <w:b/>
          <w:bCs/>
          <w:sz w:val="24"/>
          <w:szCs w:val="24"/>
        </w:rPr>
        <w:t xml:space="preserve">El Consejo Consultivo del Instituto Federal de Telecomunicaciones, </w:t>
      </w:r>
      <w:r w:rsidR="00C0623F" w:rsidRPr="000F2550">
        <w:rPr>
          <w:rFonts w:ascii="Calibri" w:hAnsi="Calibri"/>
          <w:b/>
          <w:bCs/>
          <w:sz w:val="24"/>
          <w:szCs w:val="24"/>
        </w:rPr>
        <w:t>cuyo mandato de creación está establecido</w:t>
      </w:r>
      <w:r w:rsidRPr="000F2550">
        <w:rPr>
          <w:rFonts w:ascii="Calibri" w:hAnsi="Calibri"/>
          <w:b/>
          <w:bCs/>
          <w:sz w:val="24"/>
          <w:szCs w:val="24"/>
        </w:rPr>
        <w:t xml:space="preserve"> en nuestra Constitución, es el órgano asesor </w:t>
      </w:r>
      <w:r w:rsidR="00920AFE" w:rsidRPr="000F2550">
        <w:rPr>
          <w:rFonts w:ascii="Calibri" w:hAnsi="Calibri"/>
          <w:b/>
          <w:bCs/>
          <w:sz w:val="24"/>
          <w:szCs w:val="24"/>
        </w:rPr>
        <w:t xml:space="preserve">de este órgano constitucional autónomo </w:t>
      </w:r>
      <w:r w:rsidRPr="000F2550">
        <w:rPr>
          <w:rFonts w:ascii="Calibri" w:hAnsi="Calibri"/>
          <w:b/>
          <w:bCs/>
          <w:sz w:val="24"/>
          <w:szCs w:val="24"/>
        </w:rPr>
        <w:t xml:space="preserve">respecto de los principios establecidos en los artículos 2º, 6º y 7º de nuestra Carta Magna. Es con estas facultades y autoridad que exhortamos, de la </w:t>
      </w:r>
      <w:r w:rsidR="00920AFE" w:rsidRPr="000F2550">
        <w:rPr>
          <w:rFonts w:ascii="Calibri" w:hAnsi="Calibri"/>
          <w:b/>
          <w:bCs/>
          <w:sz w:val="24"/>
          <w:szCs w:val="24"/>
        </w:rPr>
        <w:t xml:space="preserve">manera </w:t>
      </w:r>
      <w:r w:rsidRPr="000F2550">
        <w:rPr>
          <w:rFonts w:ascii="Calibri" w:hAnsi="Calibri"/>
          <w:b/>
          <w:bCs/>
          <w:sz w:val="24"/>
          <w:szCs w:val="24"/>
        </w:rPr>
        <w:t xml:space="preserve">más atenta, </w:t>
      </w:r>
      <w:r w:rsidR="0076200B">
        <w:rPr>
          <w:rFonts w:ascii="Calibri" w:hAnsi="Calibri"/>
          <w:b/>
          <w:bCs/>
          <w:sz w:val="24"/>
          <w:szCs w:val="24"/>
        </w:rPr>
        <w:t xml:space="preserve">a </w:t>
      </w:r>
      <w:r w:rsidRPr="000F2550">
        <w:rPr>
          <w:rFonts w:ascii="Calibri" w:hAnsi="Calibri"/>
          <w:b/>
          <w:bCs/>
          <w:sz w:val="24"/>
          <w:szCs w:val="24"/>
        </w:rPr>
        <w:t xml:space="preserve">que el Senado de la </w:t>
      </w:r>
      <w:r w:rsidRPr="000F2550">
        <w:rPr>
          <w:rFonts w:ascii="Calibri" w:hAnsi="Calibri"/>
          <w:b/>
          <w:bCs/>
          <w:sz w:val="24"/>
          <w:szCs w:val="24"/>
        </w:rPr>
        <w:lastRenderedPageBreak/>
        <w:t xml:space="preserve">República haga suya la propuesta de modificación a la Ley Federal de Derechos presentada a esta soberanía por el </w:t>
      </w:r>
      <w:r w:rsidR="00B728CA" w:rsidRPr="000F2550">
        <w:rPr>
          <w:rFonts w:ascii="Calibri" w:hAnsi="Calibri"/>
          <w:b/>
          <w:bCs/>
          <w:sz w:val="24"/>
          <w:szCs w:val="24"/>
        </w:rPr>
        <w:t>Instituto</w:t>
      </w:r>
      <w:r w:rsidRPr="000F2550">
        <w:rPr>
          <w:rFonts w:ascii="Calibri" w:hAnsi="Calibri"/>
          <w:b/>
          <w:bCs/>
          <w:sz w:val="24"/>
          <w:szCs w:val="24"/>
        </w:rPr>
        <w:t xml:space="preserve"> con relación a los elevados cobros por el uso del espectro radioeléctrico en el país.</w:t>
      </w:r>
      <w:r w:rsidR="00C0623F" w:rsidRPr="000F2550">
        <w:rPr>
          <w:rFonts w:ascii="Calibri" w:hAnsi="Calibri"/>
          <w:b/>
          <w:bCs/>
          <w:sz w:val="24"/>
          <w:szCs w:val="24"/>
        </w:rPr>
        <w:t xml:space="preserve"> </w:t>
      </w:r>
    </w:p>
    <w:p w14:paraId="7C4C5E3A" w14:textId="37120AB9" w:rsidR="00C0623F" w:rsidRPr="000F2550" w:rsidRDefault="00381B49" w:rsidP="00655DA4">
      <w:pPr>
        <w:spacing w:after="160" w:line="360" w:lineRule="auto"/>
        <w:rPr>
          <w:rFonts w:ascii="Calibri" w:hAnsi="Calibri"/>
          <w:sz w:val="24"/>
          <w:szCs w:val="24"/>
        </w:rPr>
      </w:pPr>
      <w:r w:rsidRPr="00381B49">
        <w:rPr>
          <w:rFonts w:ascii="Calibri" w:hAnsi="Calibri"/>
          <w:sz w:val="24"/>
          <w:szCs w:val="24"/>
        </w:rPr>
        <w:t>Este Consejo Consultivo está consciente de que la Ley Federal de Derechos para 2022 ha sido turnada al Ejecutivo Federal, pero estamos convencidos de que nunca es tarde para corregir el rumbo. No existe impedimento alguno para que en este momento el Senado impulse las modificaciones propuestas por el Instituto, las cuales tendrían un impacto positivo para el desarrollo de México</w:t>
      </w:r>
      <w:r w:rsidR="00C0623F" w:rsidRPr="000F2550">
        <w:rPr>
          <w:rFonts w:ascii="Calibri" w:hAnsi="Calibri"/>
          <w:sz w:val="24"/>
          <w:szCs w:val="24"/>
        </w:rPr>
        <w:t>. La primera propuesta reduce la posibilidad de que futuras licitaciones sean declaradas desiertas</w:t>
      </w:r>
      <w:r w:rsidR="00336221" w:rsidRPr="000F2550">
        <w:rPr>
          <w:rFonts w:ascii="Calibri" w:hAnsi="Calibri"/>
          <w:sz w:val="24"/>
          <w:szCs w:val="24"/>
        </w:rPr>
        <w:t>; una licitación sin postores</w:t>
      </w:r>
      <w:r w:rsidR="00C0623F" w:rsidRPr="000F2550">
        <w:rPr>
          <w:rFonts w:ascii="Calibri" w:hAnsi="Calibri"/>
          <w:sz w:val="24"/>
          <w:szCs w:val="24"/>
        </w:rPr>
        <w:t xml:space="preserve"> </w:t>
      </w:r>
      <w:r w:rsidR="00336221" w:rsidRPr="000F2550">
        <w:rPr>
          <w:rFonts w:ascii="Calibri" w:hAnsi="Calibri"/>
          <w:sz w:val="24"/>
          <w:szCs w:val="24"/>
        </w:rPr>
        <w:t>l</w:t>
      </w:r>
      <w:r w:rsidR="00C0623F" w:rsidRPr="000F2550">
        <w:rPr>
          <w:rFonts w:ascii="Calibri" w:hAnsi="Calibri"/>
          <w:sz w:val="24"/>
          <w:szCs w:val="24"/>
        </w:rPr>
        <w:t>levaría necesariamente a una menor recaudación que la esperada</w:t>
      </w:r>
      <w:r w:rsidR="006912CA" w:rsidRPr="000F2550">
        <w:rPr>
          <w:rFonts w:ascii="Calibri" w:hAnsi="Calibri"/>
          <w:sz w:val="24"/>
          <w:szCs w:val="24"/>
        </w:rPr>
        <w:t>, pudiendo así comprometer la Ley de Egresos que está siendo discutida en este momento</w:t>
      </w:r>
      <w:r w:rsidR="00C0623F" w:rsidRPr="000F2550">
        <w:rPr>
          <w:rFonts w:ascii="Calibri" w:hAnsi="Calibri"/>
          <w:sz w:val="24"/>
          <w:szCs w:val="24"/>
        </w:rPr>
        <w:t xml:space="preserve">. La segunda propuesta </w:t>
      </w:r>
      <w:r w:rsidR="00336221" w:rsidRPr="000F2550">
        <w:rPr>
          <w:rFonts w:ascii="Calibri" w:hAnsi="Calibri"/>
          <w:sz w:val="24"/>
          <w:szCs w:val="24"/>
        </w:rPr>
        <w:t>debe</w:t>
      </w:r>
      <w:r w:rsidR="00C0623F" w:rsidRPr="000F2550">
        <w:rPr>
          <w:rFonts w:ascii="Calibri" w:hAnsi="Calibri"/>
          <w:sz w:val="24"/>
          <w:szCs w:val="24"/>
        </w:rPr>
        <w:t xml:space="preserve"> ser diseñada de manera que sea neutral con respecto a ingresos recaudados</w:t>
      </w:r>
      <w:r w:rsidR="00336221" w:rsidRPr="000F2550">
        <w:rPr>
          <w:rFonts w:ascii="Calibri" w:hAnsi="Calibri"/>
          <w:sz w:val="24"/>
          <w:szCs w:val="24"/>
        </w:rPr>
        <w:t>, pero disminuyendo</w:t>
      </w:r>
      <w:r w:rsidR="00C0623F" w:rsidRPr="000F2550">
        <w:rPr>
          <w:rFonts w:ascii="Calibri" w:hAnsi="Calibri"/>
          <w:sz w:val="24"/>
          <w:szCs w:val="24"/>
        </w:rPr>
        <w:t xml:space="preserve"> de manera importante l</w:t>
      </w:r>
      <w:r w:rsidR="006912CA" w:rsidRPr="000F2550">
        <w:rPr>
          <w:rFonts w:ascii="Calibri" w:hAnsi="Calibri"/>
          <w:sz w:val="24"/>
          <w:szCs w:val="24"/>
        </w:rPr>
        <w:t xml:space="preserve">os efectos regresivos </w:t>
      </w:r>
      <w:r w:rsidR="00C0623F" w:rsidRPr="000F2550">
        <w:rPr>
          <w:rFonts w:ascii="Calibri" w:hAnsi="Calibri"/>
          <w:sz w:val="24"/>
          <w:szCs w:val="24"/>
        </w:rPr>
        <w:t>de la medida actual</w:t>
      </w:r>
      <w:r w:rsidR="00336221" w:rsidRPr="000F2550">
        <w:rPr>
          <w:rFonts w:ascii="Calibri" w:hAnsi="Calibri"/>
          <w:sz w:val="24"/>
          <w:szCs w:val="24"/>
        </w:rPr>
        <w:t>. Esta medida busca</w:t>
      </w:r>
      <w:r w:rsidR="006912CA" w:rsidRPr="000F2550">
        <w:rPr>
          <w:rFonts w:ascii="Calibri" w:hAnsi="Calibri"/>
          <w:sz w:val="24"/>
          <w:szCs w:val="24"/>
        </w:rPr>
        <w:t xml:space="preserve"> incorporar en la ley un pago por el uso del especto que </w:t>
      </w:r>
      <w:r w:rsidR="00336221" w:rsidRPr="000F2550">
        <w:rPr>
          <w:rFonts w:ascii="Calibri" w:hAnsi="Calibri"/>
          <w:sz w:val="24"/>
          <w:szCs w:val="24"/>
        </w:rPr>
        <w:t>sea</w:t>
      </w:r>
      <w:r w:rsidR="00C0623F" w:rsidRPr="000F2550">
        <w:rPr>
          <w:rFonts w:ascii="Calibri" w:hAnsi="Calibri"/>
          <w:sz w:val="24"/>
          <w:szCs w:val="24"/>
        </w:rPr>
        <w:t xml:space="preserve"> más just</w:t>
      </w:r>
      <w:r w:rsidR="006912CA" w:rsidRPr="000F2550">
        <w:rPr>
          <w:rFonts w:ascii="Calibri" w:hAnsi="Calibri"/>
          <w:sz w:val="24"/>
          <w:szCs w:val="24"/>
        </w:rPr>
        <w:t>o</w:t>
      </w:r>
      <w:r w:rsidR="00C0623F" w:rsidRPr="000F2550">
        <w:rPr>
          <w:rFonts w:ascii="Calibri" w:hAnsi="Calibri"/>
          <w:sz w:val="24"/>
          <w:szCs w:val="24"/>
        </w:rPr>
        <w:t xml:space="preserve"> y equitativ</w:t>
      </w:r>
      <w:r w:rsidR="006912CA" w:rsidRPr="000F2550">
        <w:rPr>
          <w:rFonts w:ascii="Calibri" w:hAnsi="Calibri"/>
          <w:sz w:val="24"/>
          <w:szCs w:val="24"/>
        </w:rPr>
        <w:t xml:space="preserve">o, beneficiando a la población más carente de nuestro país. La tercera propuesta </w:t>
      </w:r>
      <w:r w:rsidR="00336221" w:rsidRPr="000F2550">
        <w:rPr>
          <w:rFonts w:ascii="Calibri" w:hAnsi="Calibri"/>
          <w:sz w:val="24"/>
          <w:szCs w:val="24"/>
        </w:rPr>
        <w:t>implica</w:t>
      </w:r>
      <w:r w:rsidR="006912CA" w:rsidRPr="000F2550">
        <w:rPr>
          <w:rFonts w:ascii="Calibri" w:hAnsi="Calibri"/>
          <w:sz w:val="24"/>
          <w:szCs w:val="24"/>
        </w:rPr>
        <w:t xml:space="preserve"> llevar a cabo despliegues de red con fondos del Estado en las áreas de mayor necesidad, lo que </w:t>
      </w:r>
      <w:r w:rsidR="00336221" w:rsidRPr="000F2550">
        <w:rPr>
          <w:rFonts w:ascii="Calibri" w:hAnsi="Calibri"/>
          <w:sz w:val="24"/>
          <w:szCs w:val="24"/>
        </w:rPr>
        <w:t>en el muy corto plazo</w:t>
      </w:r>
      <w:r w:rsidR="006912CA" w:rsidRPr="000F2550">
        <w:rPr>
          <w:rFonts w:ascii="Calibri" w:hAnsi="Calibri"/>
          <w:sz w:val="24"/>
          <w:szCs w:val="24"/>
        </w:rPr>
        <w:t xml:space="preserve"> </w:t>
      </w:r>
      <w:r w:rsidR="00336221" w:rsidRPr="000F2550">
        <w:rPr>
          <w:rFonts w:ascii="Calibri" w:hAnsi="Calibri"/>
          <w:sz w:val="24"/>
          <w:szCs w:val="24"/>
        </w:rPr>
        <w:t>se convertiría</w:t>
      </w:r>
      <w:r w:rsidR="006912CA" w:rsidRPr="000F2550">
        <w:rPr>
          <w:rFonts w:ascii="Calibri" w:hAnsi="Calibri"/>
          <w:sz w:val="24"/>
          <w:szCs w:val="24"/>
        </w:rPr>
        <w:t xml:space="preserve"> en nueva cobertura con tecnología de punta para la población que aún no goza de los beneficios de la economía digital</w:t>
      </w:r>
      <w:r w:rsidR="00336221" w:rsidRPr="000F2550">
        <w:rPr>
          <w:rFonts w:ascii="Calibri" w:hAnsi="Calibri"/>
          <w:sz w:val="24"/>
          <w:szCs w:val="24"/>
        </w:rPr>
        <w:t>.</w:t>
      </w:r>
      <w:r w:rsidR="006912CA" w:rsidRPr="000F2550">
        <w:rPr>
          <w:rFonts w:ascii="Calibri" w:hAnsi="Calibri"/>
          <w:sz w:val="24"/>
          <w:szCs w:val="24"/>
        </w:rPr>
        <w:t xml:space="preserve"> </w:t>
      </w:r>
    </w:p>
    <w:p w14:paraId="7016C4D3" w14:textId="7E518B70" w:rsidR="00B728CA" w:rsidRPr="000F2550" w:rsidRDefault="00407257" w:rsidP="00655DA4">
      <w:pPr>
        <w:spacing w:line="360" w:lineRule="auto"/>
        <w:rPr>
          <w:rFonts w:ascii="Calibri" w:hAnsi="Calibri"/>
          <w:sz w:val="24"/>
          <w:szCs w:val="24"/>
        </w:rPr>
      </w:pPr>
      <w:r w:rsidRPr="000F2550">
        <w:rPr>
          <w:rFonts w:ascii="Calibri" w:hAnsi="Calibri"/>
          <w:sz w:val="24"/>
          <w:szCs w:val="24"/>
        </w:rPr>
        <w:t xml:space="preserve">La brecha digital en nuestro país es imperante y, con la política de cobro actual por el uso del espectro, sólo aumentará. Es por el bien de millones de mexicanos en condiciones de desventaja que hacemos esta </w:t>
      </w:r>
      <w:r w:rsidR="00920AFE" w:rsidRPr="000F2550">
        <w:rPr>
          <w:rFonts w:ascii="Calibri" w:hAnsi="Calibri"/>
          <w:sz w:val="24"/>
          <w:szCs w:val="24"/>
        </w:rPr>
        <w:t xml:space="preserve">respetuosa </w:t>
      </w:r>
      <w:r w:rsidRPr="000F2550">
        <w:rPr>
          <w:rFonts w:ascii="Calibri" w:hAnsi="Calibri"/>
          <w:sz w:val="24"/>
          <w:szCs w:val="24"/>
        </w:rPr>
        <w:t>petición a nuestros legisladores.</w:t>
      </w:r>
    </w:p>
    <w:p w14:paraId="2E16152A" w14:textId="2036B8C3" w:rsidR="0076200B" w:rsidRDefault="0076200B" w:rsidP="00655DA4">
      <w:pPr>
        <w:spacing w:after="0" w:line="360" w:lineRule="auto"/>
        <w:jc w:val="center"/>
        <w:rPr>
          <w:rFonts w:ascii="Calibri" w:hAnsi="Calibri"/>
          <w:sz w:val="24"/>
          <w:szCs w:val="24"/>
        </w:rPr>
      </w:pPr>
    </w:p>
    <w:p w14:paraId="48CAD697" w14:textId="77777777" w:rsidR="0076200B" w:rsidRPr="000F2550" w:rsidRDefault="0076200B" w:rsidP="00655DA4">
      <w:pPr>
        <w:spacing w:after="0" w:line="360" w:lineRule="auto"/>
        <w:rPr>
          <w:rFonts w:ascii="Calibri" w:hAnsi="Calibri"/>
          <w:sz w:val="24"/>
          <w:szCs w:val="24"/>
        </w:rPr>
      </w:pPr>
    </w:p>
    <w:p w14:paraId="3A918895" w14:textId="7D614774" w:rsidR="00954E39" w:rsidRPr="000F2550" w:rsidRDefault="009250C1" w:rsidP="00954E39">
      <w:pPr>
        <w:spacing w:after="0" w:line="240" w:lineRule="auto"/>
        <w:jc w:val="center"/>
        <w:rPr>
          <w:rFonts w:ascii="Calibri" w:eastAsia="Times New Roman" w:hAnsi="Calibri" w:cs="Arial"/>
          <w:sz w:val="24"/>
          <w:szCs w:val="24"/>
        </w:rPr>
      </w:pPr>
      <w:r>
        <w:rPr>
          <w:rFonts w:ascii="Calibri" w:eastAsia="Times New Roman" w:hAnsi="Calibri" w:cs="Arial"/>
          <w:sz w:val="24"/>
          <w:szCs w:val="24"/>
        </w:rPr>
        <w:t xml:space="preserve">Dr. </w:t>
      </w:r>
      <w:r w:rsidR="00954E39" w:rsidRPr="000F2550">
        <w:rPr>
          <w:rFonts w:ascii="Calibri" w:eastAsia="Times New Roman" w:hAnsi="Calibri" w:cs="Arial"/>
          <w:sz w:val="24"/>
          <w:szCs w:val="24"/>
        </w:rPr>
        <w:t>Luis Miguel Martínez Cervantes</w:t>
      </w:r>
    </w:p>
    <w:p w14:paraId="7C3190B8" w14:textId="28974536" w:rsidR="00954E39" w:rsidRDefault="00954E39" w:rsidP="00954E39">
      <w:pPr>
        <w:spacing w:line="276" w:lineRule="auto"/>
        <w:jc w:val="center"/>
        <w:rPr>
          <w:rFonts w:ascii="Calibri" w:eastAsia="Times New Roman" w:hAnsi="Calibri" w:cs="Arial"/>
          <w:sz w:val="24"/>
          <w:szCs w:val="24"/>
        </w:rPr>
      </w:pPr>
      <w:r w:rsidRPr="000F2550">
        <w:rPr>
          <w:rFonts w:ascii="Calibri" w:eastAsia="Times New Roman" w:hAnsi="Calibri" w:cs="Arial"/>
          <w:sz w:val="24"/>
          <w:szCs w:val="24"/>
        </w:rPr>
        <w:t>Presidente</w:t>
      </w:r>
    </w:p>
    <w:p w14:paraId="4E46E0BD" w14:textId="10288E60" w:rsidR="0076200B" w:rsidRDefault="0076200B" w:rsidP="00655DA4">
      <w:pPr>
        <w:spacing w:before="240" w:line="276" w:lineRule="auto"/>
        <w:jc w:val="center"/>
        <w:rPr>
          <w:rFonts w:ascii="Calibri" w:eastAsia="Times New Roman" w:hAnsi="Calibri" w:cs="Arial"/>
          <w:sz w:val="24"/>
          <w:szCs w:val="24"/>
        </w:rPr>
      </w:pPr>
    </w:p>
    <w:p w14:paraId="1B80873D" w14:textId="40FA3280" w:rsidR="009250C1" w:rsidRPr="000A29F9" w:rsidRDefault="00BD010C" w:rsidP="009250C1">
      <w:pPr>
        <w:spacing w:line="240" w:lineRule="auto"/>
        <w:rPr>
          <w:rFonts w:ascii="Calibri" w:hAnsi="Calibri" w:cs="Calibri"/>
          <w:color w:val="000000"/>
          <w:sz w:val="14"/>
          <w:szCs w:val="14"/>
        </w:rPr>
      </w:pPr>
      <w:r w:rsidRPr="000A29F9">
        <w:rPr>
          <w:rFonts w:ascii="Calibri" w:hAnsi="Calibri" w:cs="Calibri"/>
          <w:color w:val="000000"/>
          <w:sz w:val="14"/>
          <w:szCs w:val="14"/>
        </w:rPr>
        <w:t>La opinión</w:t>
      </w:r>
      <w:r w:rsidR="00E26562" w:rsidRPr="000A29F9">
        <w:rPr>
          <w:rFonts w:ascii="Calibri" w:hAnsi="Calibri" w:cs="Calibri"/>
          <w:color w:val="000000"/>
          <w:sz w:val="14"/>
          <w:szCs w:val="14"/>
        </w:rPr>
        <w:t xml:space="preserve"> fue </w:t>
      </w:r>
      <w:r w:rsidR="009250C1" w:rsidRPr="000A29F9">
        <w:rPr>
          <w:rFonts w:ascii="Calibri" w:hAnsi="Calibri" w:cs="Calibri"/>
          <w:color w:val="000000"/>
          <w:sz w:val="14"/>
          <w:szCs w:val="14"/>
        </w:rPr>
        <w:t>aprobad</w:t>
      </w:r>
      <w:r w:rsidRPr="000A29F9">
        <w:rPr>
          <w:rFonts w:ascii="Calibri" w:hAnsi="Calibri" w:cs="Calibri"/>
          <w:color w:val="000000"/>
          <w:sz w:val="14"/>
          <w:szCs w:val="14"/>
        </w:rPr>
        <w:t>a</w:t>
      </w:r>
      <w:r w:rsidR="009250C1" w:rsidRPr="00655DA4">
        <w:rPr>
          <w:rFonts w:ascii="Calibri" w:hAnsi="Calibri" w:cs="Calibri"/>
          <w:color w:val="000000"/>
          <w:sz w:val="14"/>
          <w:szCs w:val="14"/>
        </w:rPr>
        <w:t xml:space="preserve"> </w:t>
      </w:r>
      <w:r w:rsidR="009250C1" w:rsidRPr="000A29F9">
        <w:rPr>
          <w:rFonts w:ascii="Calibri" w:hAnsi="Calibri" w:cs="Calibri"/>
          <w:color w:val="000000"/>
          <w:sz w:val="14"/>
          <w:szCs w:val="14"/>
        </w:rPr>
        <w:t xml:space="preserve">por el VI Consejo Consultivo del Instituto Federal de Telecomunicaciones por </w:t>
      </w:r>
      <w:r w:rsidR="00821E29" w:rsidRPr="000A29F9">
        <w:rPr>
          <w:rFonts w:ascii="Calibri" w:hAnsi="Calibri" w:cs="Calibri"/>
          <w:color w:val="000000"/>
          <w:sz w:val="14"/>
          <w:szCs w:val="14"/>
        </w:rPr>
        <w:t xml:space="preserve">mayoría </w:t>
      </w:r>
      <w:r w:rsidR="009250C1" w:rsidRPr="000A29F9">
        <w:rPr>
          <w:rFonts w:ascii="Calibri" w:hAnsi="Calibri" w:cs="Calibri"/>
          <w:color w:val="000000"/>
          <w:sz w:val="14"/>
          <w:szCs w:val="14"/>
        </w:rPr>
        <w:t>de votos de los Consejeros: Sara Gabriela Castellanos Pascacio, Ernesto M. Flores-Roux, Gerardo Francisco González Abarca</w:t>
      </w:r>
      <w:bookmarkStart w:id="1" w:name="_Hlk77260457"/>
      <w:r w:rsidR="009250C1" w:rsidRPr="000A29F9">
        <w:rPr>
          <w:rFonts w:ascii="Calibri" w:hAnsi="Calibri" w:cs="Calibri"/>
          <w:color w:val="000000"/>
          <w:sz w:val="14"/>
          <w:szCs w:val="14"/>
        </w:rPr>
        <w:t xml:space="preserve">, </w:t>
      </w:r>
      <w:bookmarkEnd w:id="1"/>
      <w:r w:rsidR="009250C1" w:rsidRPr="000A29F9">
        <w:rPr>
          <w:rFonts w:ascii="Calibri" w:hAnsi="Calibri" w:cs="Calibri"/>
          <w:color w:val="000000"/>
          <w:sz w:val="14"/>
          <w:szCs w:val="14"/>
        </w:rPr>
        <w:t xml:space="preserve"> Luis Miguel Martínez Cervantes, Jorge Fernando Negrete Pacheco, Lucia Ojeda Cárdenas,  Eurídice Palma Salas, José Luis Peralta Higuera </w:t>
      </w:r>
      <w:r w:rsidR="00821E29" w:rsidRPr="000A29F9">
        <w:rPr>
          <w:rFonts w:ascii="Calibri" w:hAnsi="Calibri" w:cs="Calibri"/>
          <w:color w:val="000000"/>
          <w:sz w:val="14"/>
          <w:szCs w:val="14"/>
        </w:rPr>
        <w:t xml:space="preserve"> y </w:t>
      </w:r>
      <w:r w:rsidR="009250C1" w:rsidRPr="000A29F9">
        <w:rPr>
          <w:rFonts w:ascii="Calibri" w:hAnsi="Calibri" w:cs="Calibri"/>
          <w:color w:val="000000"/>
          <w:sz w:val="14"/>
          <w:szCs w:val="14"/>
        </w:rPr>
        <w:t>Víctor Rangel Licea</w:t>
      </w:r>
      <w:r w:rsidR="000A29F9" w:rsidRPr="00655DA4">
        <w:rPr>
          <w:rFonts w:ascii="Calibri" w:hAnsi="Calibri" w:cs="Calibri"/>
          <w:color w:val="000000"/>
          <w:sz w:val="14"/>
          <w:szCs w:val="14"/>
        </w:rPr>
        <w:t>;</w:t>
      </w:r>
      <w:r w:rsidR="009250C1" w:rsidRPr="000A29F9">
        <w:rPr>
          <w:rFonts w:ascii="Calibri" w:hAnsi="Calibri" w:cs="Calibri"/>
          <w:color w:val="000000"/>
          <w:sz w:val="14"/>
          <w:szCs w:val="14"/>
        </w:rPr>
        <w:t xml:space="preserve"> </w:t>
      </w:r>
      <w:r w:rsidR="000A29F9" w:rsidRPr="00655DA4">
        <w:rPr>
          <w:rFonts w:ascii="Calibri" w:hAnsi="Calibri" w:cs="Calibri"/>
          <w:color w:val="000000"/>
          <w:sz w:val="14"/>
          <w:szCs w:val="14"/>
        </w:rPr>
        <w:t xml:space="preserve">y con el voto </w:t>
      </w:r>
      <w:r w:rsidR="000C0091">
        <w:rPr>
          <w:rFonts w:ascii="Calibri" w:hAnsi="Calibri" w:cs="Calibri"/>
          <w:color w:val="000000"/>
          <w:sz w:val="14"/>
          <w:szCs w:val="14"/>
        </w:rPr>
        <w:t>concurente</w:t>
      </w:r>
      <w:r w:rsidR="000A29F9" w:rsidRPr="00655DA4">
        <w:rPr>
          <w:rFonts w:ascii="Calibri" w:hAnsi="Calibri" w:cs="Calibri"/>
          <w:color w:val="000000"/>
          <w:sz w:val="14"/>
          <w:szCs w:val="14"/>
        </w:rPr>
        <w:t xml:space="preserve"> de la Consejera Sofía Trejo Abad; </w:t>
      </w:r>
      <w:r w:rsidR="009250C1" w:rsidRPr="000A29F9">
        <w:rPr>
          <w:rFonts w:ascii="Calibri" w:hAnsi="Calibri" w:cs="Calibri"/>
          <w:color w:val="000000"/>
          <w:sz w:val="14"/>
          <w:szCs w:val="14"/>
        </w:rPr>
        <w:t xml:space="preserve">y </w:t>
      </w:r>
      <w:r w:rsidRPr="000A29F9">
        <w:rPr>
          <w:rFonts w:ascii="Calibri" w:hAnsi="Calibri" w:cs="Calibri"/>
          <w:color w:val="000000"/>
          <w:sz w:val="14"/>
          <w:szCs w:val="14"/>
        </w:rPr>
        <w:t xml:space="preserve">con el voto </w:t>
      </w:r>
      <w:r w:rsidR="000A29F9" w:rsidRPr="00655DA4">
        <w:rPr>
          <w:rFonts w:ascii="Calibri" w:hAnsi="Calibri" w:cs="Calibri"/>
          <w:color w:val="000000"/>
          <w:sz w:val="14"/>
          <w:szCs w:val="14"/>
        </w:rPr>
        <w:t>en contra</w:t>
      </w:r>
      <w:r w:rsidR="000A29F9" w:rsidRPr="000A29F9">
        <w:rPr>
          <w:rFonts w:ascii="Calibri" w:hAnsi="Calibri" w:cs="Calibri"/>
          <w:color w:val="000000"/>
          <w:sz w:val="14"/>
          <w:szCs w:val="14"/>
        </w:rPr>
        <w:t xml:space="preserve"> </w:t>
      </w:r>
      <w:r w:rsidRPr="000A29F9">
        <w:rPr>
          <w:rFonts w:ascii="Calibri" w:hAnsi="Calibri" w:cs="Calibri"/>
          <w:color w:val="000000"/>
          <w:sz w:val="14"/>
          <w:szCs w:val="14"/>
        </w:rPr>
        <w:t>de</w:t>
      </w:r>
      <w:r w:rsidR="00F3213C" w:rsidRPr="000A29F9">
        <w:rPr>
          <w:rFonts w:ascii="Calibri" w:hAnsi="Calibri" w:cs="Calibri"/>
          <w:color w:val="000000"/>
          <w:sz w:val="14"/>
          <w:szCs w:val="14"/>
        </w:rPr>
        <w:t xml:space="preserve"> los consejeros</w:t>
      </w:r>
      <w:r w:rsidRPr="000A29F9">
        <w:rPr>
          <w:rFonts w:ascii="Calibri" w:hAnsi="Calibri" w:cs="Calibri"/>
          <w:color w:val="000000"/>
          <w:sz w:val="14"/>
          <w:szCs w:val="14"/>
        </w:rPr>
        <w:t xml:space="preserve"> </w:t>
      </w:r>
      <w:r w:rsidR="00F3213C" w:rsidRPr="000A29F9">
        <w:rPr>
          <w:rFonts w:ascii="Calibri" w:hAnsi="Calibri" w:cs="Calibri"/>
          <w:color w:val="000000"/>
          <w:sz w:val="14"/>
          <w:szCs w:val="14"/>
        </w:rPr>
        <w:t>Erik Huesca Morales, Salma Leticia Jalife Villaló</w:t>
      </w:r>
      <w:r w:rsidR="00821E29" w:rsidRPr="000A29F9">
        <w:rPr>
          <w:rFonts w:ascii="Calibri" w:hAnsi="Calibri" w:cs="Calibri"/>
          <w:color w:val="000000"/>
          <w:sz w:val="14"/>
          <w:szCs w:val="14"/>
        </w:rPr>
        <w:t>n</w:t>
      </w:r>
      <w:r w:rsidR="000A29F9" w:rsidRPr="00655DA4">
        <w:rPr>
          <w:rFonts w:ascii="Calibri" w:hAnsi="Calibri" w:cs="Calibri"/>
          <w:color w:val="000000"/>
          <w:sz w:val="14"/>
          <w:szCs w:val="14"/>
        </w:rPr>
        <w:t>,</w:t>
      </w:r>
      <w:r w:rsidR="00821E29" w:rsidRPr="000A29F9">
        <w:rPr>
          <w:rFonts w:ascii="Calibri" w:hAnsi="Calibri" w:cs="Calibri"/>
          <w:color w:val="000000"/>
          <w:sz w:val="14"/>
          <w:szCs w:val="14"/>
        </w:rPr>
        <w:t xml:space="preserve"> Martha Irene Soria Guzmán</w:t>
      </w:r>
      <w:r w:rsidR="000A29F9" w:rsidRPr="00655DA4">
        <w:rPr>
          <w:rFonts w:ascii="Calibri" w:hAnsi="Calibri" w:cs="Calibri"/>
          <w:color w:val="000000"/>
          <w:sz w:val="14"/>
          <w:szCs w:val="14"/>
        </w:rPr>
        <w:t xml:space="preserve">; </w:t>
      </w:r>
      <w:r w:rsidR="00F3213C" w:rsidRPr="000A29F9">
        <w:rPr>
          <w:rFonts w:ascii="Calibri" w:hAnsi="Calibri" w:cs="Calibri"/>
          <w:color w:val="000000"/>
          <w:sz w:val="14"/>
          <w:szCs w:val="14"/>
        </w:rPr>
        <w:t xml:space="preserve"> y</w:t>
      </w:r>
      <w:r w:rsidR="000A29F9" w:rsidRPr="00655DA4">
        <w:rPr>
          <w:rFonts w:ascii="Calibri" w:hAnsi="Calibri" w:cs="Calibri"/>
          <w:color w:val="000000"/>
          <w:sz w:val="14"/>
          <w:szCs w:val="14"/>
        </w:rPr>
        <w:t xml:space="preserve"> las abstenciones de los Consejeros Alejandro Idelfonso Castañeda Sabido y</w:t>
      </w:r>
      <w:r w:rsidR="00F3213C" w:rsidRPr="000A29F9">
        <w:rPr>
          <w:rFonts w:ascii="Calibri" w:hAnsi="Calibri" w:cs="Calibri"/>
          <w:color w:val="000000"/>
          <w:sz w:val="14"/>
          <w:szCs w:val="14"/>
        </w:rPr>
        <w:t xml:space="preserve"> Cynthia Gabriela Solís Arredondo, </w:t>
      </w:r>
      <w:r w:rsidR="009250C1" w:rsidRPr="000A29F9">
        <w:rPr>
          <w:rFonts w:ascii="Calibri" w:hAnsi="Calibri" w:cs="Calibri"/>
          <w:color w:val="000000"/>
          <w:sz w:val="14"/>
          <w:szCs w:val="14"/>
        </w:rPr>
        <w:t>el 10 de noviembre de 2021 y  en términos del artículo 17 último párrafo, mediante Acuerdo CC/IFT/Votación Electrónica/</w:t>
      </w:r>
      <w:r w:rsidR="00381B49" w:rsidRPr="000A29F9">
        <w:rPr>
          <w:rFonts w:ascii="Calibri" w:hAnsi="Calibri" w:cs="Calibri"/>
          <w:color w:val="000000"/>
          <w:sz w:val="14"/>
          <w:szCs w:val="14"/>
        </w:rPr>
        <w:t>3</w:t>
      </w:r>
      <w:r w:rsidR="009250C1" w:rsidRPr="000A29F9">
        <w:rPr>
          <w:rFonts w:ascii="Calibri" w:hAnsi="Calibri" w:cs="Calibri"/>
          <w:color w:val="000000"/>
          <w:sz w:val="14"/>
          <w:szCs w:val="14"/>
        </w:rPr>
        <w:t>.</w:t>
      </w:r>
      <w:r w:rsidR="000C0091">
        <w:rPr>
          <w:rFonts w:ascii="Calibri" w:hAnsi="Calibri" w:cs="Calibri"/>
          <w:color w:val="000000"/>
          <w:sz w:val="14"/>
          <w:szCs w:val="14"/>
        </w:rPr>
        <w:t xml:space="preserve"> También de conformidad con el artículo 18 de las Reglas de Operación de este Consejo Consultivo los votos en contra y las abstenciones se consideran votos particulares. </w:t>
      </w:r>
    </w:p>
    <w:p w14:paraId="017F39F5" w14:textId="09F75511" w:rsidR="00BD010C" w:rsidRPr="00655DA4" w:rsidRDefault="00BD010C" w:rsidP="009250C1">
      <w:pPr>
        <w:spacing w:line="240" w:lineRule="auto"/>
        <w:rPr>
          <w:rFonts w:ascii="Calibri" w:hAnsi="Calibri" w:cs="Calibri"/>
          <w:color w:val="000000"/>
          <w:sz w:val="24"/>
          <w:szCs w:val="24"/>
        </w:rPr>
      </w:pPr>
      <w:r w:rsidRPr="00655DA4">
        <w:rPr>
          <w:rFonts w:ascii="Calibri" w:hAnsi="Calibri" w:cs="Calibri"/>
          <w:color w:val="000000"/>
          <w:sz w:val="14"/>
          <w:szCs w:val="14"/>
        </w:rPr>
        <w:lastRenderedPageBreak/>
        <w:t>De acuerdo con el párrafo sexto del Artículo 17 y Artículo 18 de las Reglas de Operación de este Consejo Consultivo, el razonamiento de los votos en contra y la abstención, forman parte integral de la opinión.</w:t>
      </w:r>
    </w:p>
    <w:p w14:paraId="132E73FC" w14:textId="7BD6D3FB" w:rsidR="00F3213C" w:rsidRPr="002B3F18" w:rsidRDefault="00F3213C" w:rsidP="009250C1">
      <w:pPr>
        <w:spacing w:line="240" w:lineRule="auto"/>
        <w:rPr>
          <w:rFonts w:ascii="Calibri" w:hAnsi="Calibri" w:cs="Calibri"/>
          <w:color w:val="000000"/>
          <w:sz w:val="24"/>
          <w:szCs w:val="24"/>
        </w:rPr>
      </w:pPr>
      <w:r w:rsidRPr="002B3F18">
        <w:rPr>
          <w:rFonts w:ascii="Calibri" w:hAnsi="Calibri" w:cs="Calibri"/>
          <w:color w:val="000000"/>
          <w:sz w:val="24"/>
          <w:szCs w:val="24"/>
        </w:rPr>
        <w:t>Sofía Trejo Abad</w:t>
      </w:r>
    </w:p>
    <w:p w14:paraId="1D355A89" w14:textId="535FAC64" w:rsidR="00BD010C" w:rsidRPr="0047618D" w:rsidRDefault="00BD010C" w:rsidP="009250C1">
      <w:pPr>
        <w:spacing w:line="240" w:lineRule="auto"/>
        <w:rPr>
          <w:rFonts w:ascii="Calibri" w:hAnsi="Calibri" w:cs="Calibri"/>
          <w:color w:val="000000"/>
          <w:sz w:val="14"/>
          <w:szCs w:val="14"/>
        </w:rPr>
      </w:pPr>
      <w:r>
        <w:rPr>
          <w:rFonts w:ascii="Calibri" w:hAnsi="Calibri" w:cs="Calibri"/>
          <w:noProof/>
          <w:color w:val="000000"/>
          <w:sz w:val="14"/>
          <w:szCs w:val="14"/>
        </w:rPr>
        <w:drawing>
          <wp:inline distT="0" distB="0" distL="0" distR="0" wp14:anchorId="52F860AA" wp14:editId="47BF5ABD">
            <wp:extent cx="6736715" cy="2470245"/>
            <wp:effectExtent l="0" t="0" r="6985" b="6350"/>
            <wp:docPr id="1" name="Imagen 1" descr="Voto particular de la Consejera Sofía Trejo A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oto particular de la Consejera Sofía Trejo Ab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685" cy="2498102"/>
                    </a:xfrm>
                    <a:prstGeom prst="rect">
                      <a:avLst/>
                    </a:prstGeom>
                    <a:noFill/>
                    <a:ln>
                      <a:noFill/>
                    </a:ln>
                  </pic:spPr>
                </pic:pic>
              </a:graphicData>
            </a:graphic>
          </wp:inline>
        </w:drawing>
      </w:r>
    </w:p>
    <w:p w14:paraId="16231BC3" w14:textId="151120FA" w:rsidR="009250C1" w:rsidRDefault="00F3213C" w:rsidP="004026D8">
      <w:pPr>
        <w:spacing w:before="320" w:line="240" w:lineRule="auto"/>
        <w:rPr>
          <w:rFonts w:ascii="Calibri" w:hAnsi="Calibri" w:cs="Calibri"/>
          <w:color w:val="000000"/>
          <w:sz w:val="24"/>
          <w:szCs w:val="24"/>
        </w:rPr>
      </w:pPr>
      <w:r>
        <w:rPr>
          <w:rFonts w:ascii="Calibri" w:hAnsi="Calibri" w:cs="Calibri"/>
          <w:color w:val="000000"/>
          <w:sz w:val="24"/>
          <w:szCs w:val="24"/>
        </w:rPr>
        <w:t>Erik Huesca Morales</w:t>
      </w:r>
    </w:p>
    <w:p w14:paraId="29CC264E" w14:textId="7C752450" w:rsidR="00655DA4" w:rsidRDefault="00F51526" w:rsidP="00B20CB1">
      <w:pPr>
        <w:spacing w:before="320" w:line="240" w:lineRule="auto"/>
        <w:rPr>
          <w:rFonts w:ascii="Calibri" w:hAnsi="Calibri" w:cs="Calibri"/>
          <w:color w:val="000000"/>
          <w:sz w:val="24"/>
          <w:szCs w:val="24"/>
        </w:rPr>
      </w:pPr>
      <w:r>
        <w:rPr>
          <w:rFonts w:ascii="Calibri" w:hAnsi="Calibri" w:cs="Calibri"/>
          <w:noProof/>
          <w:color w:val="000000"/>
          <w:sz w:val="24"/>
          <w:szCs w:val="24"/>
        </w:rPr>
        <w:drawing>
          <wp:inline distT="0" distB="0" distL="0" distR="0" wp14:anchorId="42FDF3E3" wp14:editId="77482545">
            <wp:extent cx="6120765" cy="1390015"/>
            <wp:effectExtent l="0" t="0" r="0" b="635"/>
            <wp:docPr id="2" name="Imagen 2" descr="Voto en contra del Consejero Erik Huesca M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Voto en contra del Consejero Erik Huesca Mora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390015"/>
                    </a:xfrm>
                    <a:prstGeom prst="rect">
                      <a:avLst/>
                    </a:prstGeom>
                    <a:noFill/>
                    <a:ln>
                      <a:noFill/>
                    </a:ln>
                  </pic:spPr>
                </pic:pic>
              </a:graphicData>
            </a:graphic>
          </wp:inline>
        </w:drawing>
      </w:r>
    </w:p>
    <w:p w14:paraId="77229365" w14:textId="6B68AD45" w:rsidR="00F3213C" w:rsidRDefault="00F3213C" w:rsidP="00B20CB1">
      <w:pPr>
        <w:spacing w:before="320" w:line="240" w:lineRule="auto"/>
        <w:rPr>
          <w:rFonts w:ascii="Calibri" w:hAnsi="Calibri" w:cs="Calibri"/>
          <w:color w:val="000000"/>
          <w:sz w:val="24"/>
          <w:szCs w:val="24"/>
        </w:rPr>
      </w:pPr>
      <w:r w:rsidRPr="002B3F18">
        <w:rPr>
          <w:rFonts w:ascii="Calibri" w:hAnsi="Calibri" w:cs="Calibri"/>
          <w:color w:val="000000"/>
          <w:sz w:val="24"/>
          <w:szCs w:val="24"/>
        </w:rPr>
        <w:t xml:space="preserve">Salma Leticia Jalife Villalón </w:t>
      </w:r>
    </w:p>
    <w:p w14:paraId="5AFB37BC" w14:textId="0A6FBEE4" w:rsidR="00F3213C" w:rsidRDefault="00397B5F" w:rsidP="00B20CB1">
      <w:pPr>
        <w:spacing w:before="320" w:line="240" w:lineRule="auto"/>
        <w:rPr>
          <w:rFonts w:ascii="Calibri" w:hAnsi="Calibri" w:cs="Calibri"/>
          <w:color w:val="000000"/>
          <w:sz w:val="24"/>
          <w:szCs w:val="24"/>
        </w:rPr>
      </w:pPr>
      <w:r>
        <w:rPr>
          <w:rFonts w:ascii="Calibri" w:hAnsi="Calibri" w:cs="Calibri"/>
          <w:noProof/>
          <w:color w:val="000000"/>
          <w:sz w:val="24"/>
          <w:szCs w:val="24"/>
        </w:rPr>
        <w:drawing>
          <wp:inline distT="0" distB="0" distL="0" distR="0" wp14:anchorId="0DAA7253" wp14:editId="4E9B7A4D">
            <wp:extent cx="6115685" cy="1371600"/>
            <wp:effectExtent l="0" t="0" r="0" b="0"/>
            <wp:docPr id="4" name="Imagen 4" descr="Voto en contra de la Consejera Salma Leticia Jalife Villal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Voto en contra de la Consejera Salma Leticia Jalife Villaló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685" cy="1371600"/>
                    </a:xfrm>
                    <a:prstGeom prst="rect">
                      <a:avLst/>
                    </a:prstGeom>
                    <a:noFill/>
                    <a:ln>
                      <a:noFill/>
                    </a:ln>
                  </pic:spPr>
                </pic:pic>
              </a:graphicData>
            </a:graphic>
          </wp:inline>
        </w:drawing>
      </w:r>
    </w:p>
    <w:p w14:paraId="677CDD06" w14:textId="34FF0C78" w:rsidR="00821E29" w:rsidRDefault="00821E29" w:rsidP="00B20CB1">
      <w:pPr>
        <w:spacing w:before="320" w:line="240" w:lineRule="auto"/>
        <w:rPr>
          <w:rFonts w:ascii="Calibri" w:hAnsi="Calibri" w:cs="Calibri"/>
          <w:color w:val="000000"/>
          <w:sz w:val="24"/>
          <w:szCs w:val="24"/>
        </w:rPr>
      </w:pPr>
    </w:p>
    <w:p w14:paraId="378E37BA" w14:textId="77777777" w:rsidR="00655DA4" w:rsidRDefault="00655DA4" w:rsidP="00B20CB1">
      <w:pPr>
        <w:spacing w:before="320" w:line="240" w:lineRule="auto"/>
        <w:rPr>
          <w:rFonts w:ascii="Calibri" w:hAnsi="Calibri" w:cs="Calibri"/>
          <w:color w:val="000000"/>
          <w:sz w:val="24"/>
          <w:szCs w:val="24"/>
        </w:rPr>
      </w:pPr>
    </w:p>
    <w:p w14:paraId="5195BEC0" w14:textId="444F0992" w:rsidR="00821E29" w:rsidRDefault="00821E29" w:rsidP="00B20CB1">
      <w:pPr>
        <w:spacing w:before="320" w:line="240" w:lineRule="auto"/>
        <w:rPr>
          <w:rFonts w:ascii="Calibri" w:hAnsi="Calibri" w:cs="Calibri"/>
          <w:color w:val="000000"/>
          <w:sz w:val="24"/>
          <w:szCs w:val="24"/>
        </w:rPr>
      </w:pPr>
      <w:r>
        <w:rPr>
          <w:rFonts w:ascii="Calibri" w:hAnsi="Calibri" w:cs="Calibri"/>
          <w:color w:val="000000"/>
          <w:sz w:val="24"/>
          <w:szCs w:val="24"/>
        </w:rPr>
        <w:lastRenderedPageBreak/>
        <w:t>Martha Irene Soria Guzmán</w:t>
      </w:r>
    </w:p>
    <w:p w14:paraId="0E6F7F30" w14:textId="59703F90" w:rsidR="00821E29" w:rsidRDefault="00A325C7" w:rsidP="00B20CB1">
      <w:pPr>
        <w:spacing w:before="320" w:line="240" w:lineRule="auto"/>
        <w:rPr>
          <w:rFonts w:ascii="Calibri" w:hAnsi="Calibri" w:cs="Calibri"/>
          <w:color w:val="000000"/>
          <w:sz w:val="24"/>
          <w:szCs w:val="24"/>
        </w:rPr>
      </w:pPr>
      <w:r>
        <w:rPr>
          <w:rFonts w:ascii="Calibri" w:hAnsi="Calibri" w:cs="Calibri"/>
          <w:noProof/>
          <w:color w:val="000000"/>
          <w:sz w:val="24"/>
          <w:szCs w:val="24"/>
        </w:rPr>
        <w:drawing>
          <wp:inline distT="0" distB="0" distL="0" distR="0" wp14:anchorId="045393C1" wp14:editId="727883AC">
            <wp:extent cx="6106795" cy="1431290"/>
            <wp:effectExtent l="0" t="0" r="8255" b="0"/>
            <wp:docPr id="5" name="Imagen 5" descr="Voto en contra de la Consejera Martha Irene Soria Guzm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Voto en contra de la Consejera Martha Irene Soria Guzmá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6795" cy="1431290"/>
                    </a:xfrm>
                    <a:prstGeom prst="rect">
                      <a:avLst/>
                    </a:prstGeom>
                    <a:noFill/>
                    <a:ln>
                      <a:noFill/>
                    </a:ln>
                  </pic:spPr>
                </pic:pic>
              </a:graphicData>
            </a:graphic>
          </wp:inline>
        </w:drawing>
      </w:r>
    </w:p>
    <w:p w14:paraId="318E957B" w14:textId="199F46E5" w:rsidR="00D760CD" w:rsidRDefault="00F3213C" w:rsidP="00B20CB1">
      <w:pPr>
        <w:spacing w:before="320" w:line="240" w:lineRule="auto"/>
        <w:rPr>
          <w:rFonts w:ascii="Calibri" w:hAnsi="Calibri" w:cs="Calibri"/>
          <w:color w:val="000000"/>
          <w:sz w:val="24"/>
          <w:szCs w:val="24"/>
        </w:rPr>
      </w:pPr>
      <w:r w:rsidRPr="002B3F18">
        <w:rPr>
          <w:rFonts w:ascii="Calibri" w:hAnsi="Calibri" w:cs="Calibri"/>
          <w:color w:val="000000"/>
          <w:sz w:val="24"/>
          <w:szCs w:val="24"/>
        </w:rPr>
        <w:t>Cynthia Gabriela Solís Arredondo</w:t>
      </w:r>
    </w:p>
    <w:p w14:paraId="05C68ACD" w14:textId="0B033990" w:rsidR="00397B5F" w:rsidRPr="00690C5E" w:rsidRDefault="00397B5F" w:rsidP="00B20CB1">
      <w:pPr>
        <w:spacing w:before="320" w:line="240" w:lineRule="auto"/>
        <w:rPr>
          <w:rFonts w:ascii="Calibri" w:hAnsi="Calibri" w:cs="Calibri"/>
          <w:color w:val="000000"/>
          <w:sz w:val="24"/>
          <w:szCs w:val="24"/>
        </w:rPr>
      </w:pPr>
      <w:r>
        <w:rPr>
          <w:rFonts w:ascii="Calibri" w:hAnsi="Calibri" w:cs="Calibri"/>
          <w:noProof/>
          <w:color w:val="000000"/>
          <w:sz w:val="24"/>
          <w:szCs w:val="24"/>
        </w:rPr>
        <w:drawing>
          <wp:inline distT="0" distB="0" distL="0" distR="0" wp14:anchorId="658202DC" wp14:editId="6C3B2032">
            <wp:extent cx="6120765" cy="1553210"/>
            <wp:effectExtent l="0" t="0" r="0" b="8890"/>
            <wp:docPr id="3" name="Imagen 3" descr="Abstención de la Consejera Cynthia Gabriela Solís Arred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bstención de la Consejera Cynthia Gabriela Solís Arredond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1553210"/>
                    </a:xfrm>
                    <a:prstGeom prst="rect">
                      <a:avLst/>
                    </a:prstGeom>
                    <a:noFill/>
                    <a:ln>
                      <a:noFill/>
                    </a:ln>
                  </pic:spPr>
                </pic:pic>
              </a:graphicData>
            </a:graphic>
          </wp:inline>
        </w:drawing>
      </w:r>
    </w:p>
    <w:sectPr w:rsidR="00397B5F" w:rsidRPr="00690C5E" w:rsidSect="00F70CCF">
      <w:headerReference w:type="even" r:id="rId13"/>
      <w:headerReference w:type="default" r:id="rId14"/>
      <w:footerReference w:type="default" r:id="rId15"/>
      <w:headerReference w:type="first" r:id="rId16"/>
      <w:pgSz w:w="12240" w:h="15840" w:code="1"/>
      <w:pgMar w:top="1701" w:right="1325" w:bottom="1134" w:left="1276"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DFBC" w14:textId="77777777" w:rsidR="00AE139D" w:rsidRDefault="00AE139D" w:rsidP="0068060B">
      <w:pPr>
        <w:spacing w:after="0" w:line="240" w:lineRule="auto"/>
      </w:pPr>
      <w:r>
        <w:separator/>
      </w:r>
    </w:p>
  </w:endnote>
  <w:endnote w:type="continuationSeparator" w:id="0">
    <w:p w14:paraId="09228F71" w14:textId="77777777" w:rsidR="00AE139D" w:rsidRDefault="00AE139D"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943451"/>
      <w:docPartObj>
        <w:docPartGallery w:val="Page Numbers (Bottom of Page)"/>
        <w:docPartUnique/>
      </w:docPartObj>
    </w:sdtPr>
    <w:sdtEndPr>
      <w:rPr>
        <w:noProof/>
      </w:rPr>
    </w:sdtEndPr>
    <w:sdtContent>
      <w:p w14:paraId="06FF3C64" w14:textId="43450FBB" w:rsidR="00005E80" w:rsidRDefault="00005E80">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4E29571D" w14:textId="77777777" w:rsidR="00005E80" w:rsidRDefault="00005E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21932" w14:textId="77777777" w:rsidR="00AE139D" w:rsidRDefault="00AE139D" w:rsidP="0068060B">
      <w:pPr>
        <w:spacing w:after="0" w:line="240" w:lineRule="auto"/>
      </w:pPr>
      <w:r>
        <w:separator/>
      </w:r>
    </w:p>
  </w:footnote>
  <w:footnote w:type="continuationSeparator" w:id="0">
    <w:p w14:paraId="4DB37E5B" w14:textId="77777777" w:rsidR="00AE139D" w:rsidRDefault="00AE139D" w:rsidP="0068060B">
      <w:pPr>
        <w:spacing w:after="0" w:line="240" w:lineRule="auto"/>
      </w:pPr>
      <w:r>
        <w:continuationSeparator/>
      </w:r>
    </w:p>
  </w:footnote>
  <w:footnote w:id="1">
    <w:p w14:paraId="6396F941" w14:textId="4B09C475" w:rsidR="00384A29" w:rsidRPr="000F2550" w:rsidRDefault="00384A29" w:rsidP="000F2550">
      <w:pPr>
        <w:pStyle w:val="Textonotapie"/>
        <w:ind w:left="0" w:firstLine="0"/>
        <w:jc w:val="both"/>
        <w:rPr>
          <w:lang w:val="es-MX"/>
        </w:rPr>
      </w:pPr>
      <w:r>
        <w:rPr>
          <w:rStyle w:val="Refdenotaalpie"/>
        </w:rPr>
        <w:footnoteRef/>
      </w:r>
      <w:r>
        <w:t xml:space="preserve"> </w:t>
      </w:r>
      <w:r w:rsidRPr="000F2550">
        <w:rPr>
          <w:rFonts w:ascii="Calibri" w:hAnsi="Calibri"/>
          <w:sz w:val="18"/>
          <w:szCs w:val="18"/>
          <w:lang w:val="es-MX"/>
        </w:rPr>
        <w:t>Artículo Tercero, fracción IX transitorio del Decreto por el que se reforman y adicionan diversas disposiciones de los artículos 6,7, 27, 28, 73, 78, 94 y 105 de la Constitución Política de los Estados Unidos Mexicanos, en materia de telecomunicaciones; y artículo 34 de la Ley Federal de Telecomunicaciones y Radiodifusión.</w:t>
      </w:r>
      <w:r>
        <w:rPr>
          <w:lang w:val="es-MX"/>
        </w:rPr>
        <w:t xml:space="preserve"> </w:t>
      </w:r>
    </w:p>
  </w:footnote>
  <w:footnote w:id="2">
    <w:p w14:paraId="0A540A9E" w14:textId="12D19BC3" w:rsidR="00C12548" w:rsidRPr="00655DA4" w:rsidRDefault="00C12548" w:rsidP="00C12548">
      <w:pPr>
        <w:pStyle w:val="Textonotapie"/>
        <w:rPr>
          <w:rFonts w:ascii="Calibri" w:hAnsi="Calibri" w:cs="Calibri"/>
          <w:sz w:val="16"/>
          <w:szCs w:val="16"/>
          <w:lang w:val="es-MX"/>
        </w:rPr>
      </w:pPr>
      <w:r w:rsidRPr="00655DA4">
        <w:rPr>
          <w:rStyle w:val="Refdenotaalpie"/>
          <w:rFonts w:ascii="Calibri" w:hAnsi="Calibri" w:cs="Calibri"/>
          <w:sz w:val="16"/>
          <w:szCs w:val="16"/>
        </w:rPr>
        <w:footnoteRef/>
      </w:r>
      <w:r w:rsidRPr="00655DA4">
        <w:rPr>
          <w:rFonts w:ascii="Calibri" w:hAnsi="Calibri" w:cs="Calibri"/>
          <w:sz w:val="16"/>
          <w:szCs w:val="16"/>
          <w:lang w:val="en-US"/>
        </w:rPr>
        <w:t xml:space="preserve"> Cfr. Naciones Unidas. “Roadmap for Digital Cooperation”. Report of the Secretary-General. </w:t>
      </w:r>
      <w:r w:rsidRPr="00655DA4">
        <w:rPr>
          <w:rFonts w:ascii="Calibri" w:hAnsi="Calibri" w:cs="Calibri"/>
          <w:sz w:val="16"/>
          <w:szCs w:val="16"/>
          <w:lang w:val="es-MX"/>
        </w:rPr>
        <w:t>(2020).</w:t>
      </w:r>
    </w:p>
  </w:footnote>
  <w:footnote w:id="3">
    <w:p w14:paraId="320969F1" w14:textId="28D2A08C" w:rsidR="006F576F" w:rsidRPr="00655DA4" w:rsidRDefault="006F576F" w:rsidP="006F576F">
      <w:pPr>
        <w:pStyle w:val="Textonotapie"/>
        <w:rPr>
          <w:rFonts w:ascii="Calibri" w:hAnsi="Calibri" w:cs="Calibri"/>
          <w:sz w:val="16"/>
          <w:szCs w:val="16"/>
          <w:lang w:val="es-ES"/>
        </w:rPr>
      </w:pPr>
      <w:r w:rsidRPr="00655DA4">
        <w:rPr>
          <w:rStyle w:val="Refdenotaalpie"/>
          <w:rFonts w:ascii="Calibri" w:hAnsi="Calibri" w:cs="Calibri"/>
          <w:sz w:val="16"/>
          <w:szCs w:val="16"/>
        </w:rPr>
        <w:footnoteRef/>
      </w:r>
      <w:r w:rsidRPr="00655DA4">
        <w:rPr>
          <w:rFonts w:ascii="Calibri" w:hAnsi="Calibri" w:cs="Calibri"/>
          <w:sz w:val="16"/>
          <w:szCs w:val="16"/>
          <w:lang w:val="es-ES"/>
        </w:rPr>
        <w:t xml:space="preserve"> Cfr. Pau Castells. “Los impactos del alto costo del espectro en México”. </w:t>
      </w:r>
      <w:r w:rsidRPr="00655DA4">
        <w:rPr>
          <w:rFonts w:ascii="Calibri" w:hAnsi="Calibri" w:cs="Calibri"/>
          <w:sz w:val="16"/>
          <w:szCs w:val="16"/>
          <w:lang w:val="en-US"/>
        </w:rPr>
        <w:t xml:space="preserve">GSMA Intelligence. (2019); y Kalvin Bahia y Pau Castells. "The impact of spectrum prices on consumers." </w:t>
      </w:r>
      <w:proofErr w:type="spellStart"/>
      <w:r w:rsidRPr="00655DA4">
        <w:rPr>
          <w:rFonts w:ascii="Calibri" w:hAnsi="Calibri" w:cs="Calibri"/>
          <w:sz w:val="16"/>
          <w:szCs w:val="16"/>
          <w:lang w:val="es-ES"/>
        </w:rPr>
        <w:t>Available</w:t>
      </w:r>
      <w:proofErr w:type="spellEnd"/>
      <w:r w:rsidRPr="00655DA4">
        <w:rPr>
          <w:rFonts w:ascii="Calibri" w:hAnsi="Calibri" w:cs="Calibri"/>
          <w:sz w:val="16"/>
          <w:szCs w:val="16"/>
          <w:lang w:val="es-ES"/>
        </w:rPr>
        <w:t xml:space="preserve"> at SSRN 3427173 (2019).</w:t>
      </w:r>
    </w:p>
  </w:footnote>
  <w:footnote w:id="4">
    <w:p w14:paraId="0DA8A613" w14:textId="27D1DE19" w:rsidR="006F576F" w:rsidRPr="00655DA4" w:rsidRDefault="006F576F">
      <w:pPr>
        <w:pStyle w:val="Textonotapie"/>
        <w:rPr>
          <w:lang w:val="es-ES"/>
        </w:rPr>
      </w:pPr>
      <w:r w:rsidRPr="00655DA4">
        <w:rPr>
          <w:rStyle w:val="Refdenotaalpie"/>
          <w:rFonts w:ascii="Calibri" w:hAnsi="Calibri" w:cs="Calibri"/>
          <w:sz w:val="16"/>
          <w:szCs w:val="16"/>
        </w:rPr>
        <w:footnoteRef/>
      </w:r>
      <w:r w:rsidRPr="00655DA4">
        <w:rPr>
          <w:rFonts w:ascii="Calibri" w:hAnsi="Calibri" w:cs="Calibri"/>
          <w:sz w:val="16"/>
          <w:szCs w:val="16"/>
        </w:rPr>
        <w:t xml:space="preserve"> </w:t>
      </w:r>
      <w:r w:rsidRPr="00655DA4">
        <w:rPr>
          <w:rFonts w:ascii="Calibri" w:hAnsi="Calibri" w:cs="Calibri"/>
          <w:sz w:val="16"/>
          <w:szCs w:val="16"/>
          <w:lang w:val="es-ES"/>
        </w:rPr>
        <w:t>Jorge F. Negrete. “Senado, espectro y marginación digital”. Reforma. México. (3 de noviembre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E33B" w14:textId="77777777" w:rsidR="0068060B" w:rsidRDefault="00AE139D">
    <w:pPr>
      <w:pStyle w:val="Encabezado"/>
    </w:pPr>
    <w:r>
      <w:rPr>
        <w:noProof/>
        <w:lang w:eastAsia="es-MX"/>
      </w:rPr>
      <w:pict w14:anchorId="6350D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1" type="#_x0000_t75" alt="" style="position:absolute;left:0;text-align:left;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8446" w14:textId="77777777" w:rsidR="0068060B" w:rsidRDefault="00AE139D">
    <w:pPr>
      <w:pStyle w:val="Encabezado"/>
    </w:pPr>
    <w:r>
      <w:rPr>
        <w:noProof/>
        <w:lang w:eastAsia="es-MX"/>
      </w:rPr>
      <w:pict w14:anchorId="2ED98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0" type="#_x0000_t75" alt="" style="position:absolute;left:0;text-align:left;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D4A7" w14:textId="77777777" w:rsidR="00A77687" w:rsidRDefault="00AE139D">
    <w:pPr>
      <w:pStyle w:val="Encabezado"/>
    </w:pPr>
    <w:r>
      <w:rPr>
        <w:noProof/>
        <w:lang w:eastAsia="es-MX"/>
      </w:rPr>
      <w:pict w14:anchorId="6ADFA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49" type="#_x0000_t75" alt="" style="position:absolute;left:0;text-align:left;margin-left:-55.6pt;margin-top:-85.4pt;width:609.6pt;height:793.9pt;z-index:-251658240;mso-wrap-edited:f;mso-width-percent:0;mso-height-percent:0;mso-position-horizontal-relative:margin;mso-position-vertical-relative:margin;mso-width-percent:0;mso-height-percent:0"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4"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C54490"/>
    <w:multiLevelType w:val="multilevel"/>
    <w:tmpl w:val="1BDE6C2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AE4DC2"/>
    <w:multiLevelType w:val="hybridMultilevel"/>
    <w:tmpl w:val="88CCA258"/>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DD726A7"/>
    <w:multiLevelType w:val="multilevel"/>
    <w:tmpl w:val="680AA96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9A5C98"/>
    <w:multiLevelType w:val="hybridMultilevel"/>
    <w:tmpl w:val="8BB63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8"/>
  </w:num>
  <w:num w:numId="6">
    <w:abstractNumId w:val="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1"/>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05E80"/>
    <w:rsid w:val="0003759F"/>
    <w:rsid w:val="000A29F9"/>
    <w:rsid w:val="000B3CB5"/>
    <w:rsid w:val="000C0091"/>
    <w:rsid w:val="000F2550"/>
    <w:rsid w:val="000F6E0D"/>
    <w:rsid w:val="001A497F"/>
    <w:rsid w:val="001F0B5F"/>
    <w:rsid w:val="00276F02"/>
    <w:rsid w:val="00284A1A"/>
    <w:rsid w:val="002B3F18"/>
    <w:rsid w:val="003275CE"/>
    <w:rsid w:val="00333955"/>
    <w:rsid w:val="00336221"/>
    <w:rsid w:val="00375231"/>
    <w:rsid w:val="00381B49"/>
    <w:rsid w:val="00384A29"/>
    <w:rsid w:val="003945D0"/>
    <w:rsid w:val="00397B5F"/>
    <w:rsid w:val="003B48CB"/>
    <w:rsid w:val="004026D8"/>
    <w:rsid w:val="00407257"/>
    <w:rsid w:val="00491F54"/>
    <w:rsid w:val="0049457E"/>
    <w:rsid w:val="005072E2"/>
    <w:rsid w:val="00525CDB"/>
    <w:rsid w:val="00536DCF"/>
    <w:rsid w:val="005477B8"/>
    <w:rsid w:val="005B44D5"/>
    <w:rsid w:val="00607E52"/>
    <w:rsid w:val="00655DA4"/>
    <w:rsid w:val="0068060B"/>
    <w:rsid w:val="00690C5E"/>
    <w:rsid w:val="006912CA"/>
    <w:rsid w:val="00692FA4"/>
    <w:rsid w:val="006F16DA"/>
    <w:rsid w:val="006F576F"/>
    <w:rsid w:val="00726843"/>
    <w:rsid w:val="00731508"/>
    <w:rsid w:val="00741042"/>
    <w:rsid w:val="007439C6"/>
    <w:rsid w:val="0076200B"/>
    <w:rsid w:val="00773D6D"/>
    <w:rsid w:val="00821E29"/>
    <w:rsid w:val="008623A7"/>
    <w:rsid w:val="00865B34"/>
    <w:rsid w:val="00920AFE"/>
    <w:rsid w:val="009250C1"/>
    <w:rsid w:val="00954E39"/>
    <w:rsid w:val="00955049"/>
    <w:rsid w:val="00966550"/>
    <w:rsid w:val="00967BA9"/>
    <w:rsid w:val="00972B09"/>
    <w:rsid w:val="00A325C7"/>
    <w:rsid w:val="00A4494F"/>
    <w:rsid w:val="00A547B6"/>
    <w:rsid w:val="00A77687"/>
    <w:rsid w:val="00AE139D"/>
    <w:rsid w:val="00B115D1"/>
    <w:rsid w:val="00B20CB1"/>
    <w:rsid w:val="00B20F92"/>
    <w:rsid w:val="00B728CA"/>
    <w:rsid w:val="00BA1A01"/>
    <w:rsid w:val="00BA1DB6"/>
    <w:rsid w:val="00BD010C"/>
    <w:rsid w:val="00C0623F"/>
    <w:rsid w:val="00C12548"/>
    <w:rsid w:val="00C45993"/>
    <w:rsid w:val="00C67737"/>
    <w:rsid w:val="00C9668D"/>
    <w:rsid w:val="00C96C64"/>
    <w:rsid w:val="00CA5776"/>
    <w:rsid w:val="00CC0698"/>
    <w:rsid w:val="00CC508E"/>
    <w:rsid w:val="00CE468E"/>
    <w:rsid w:val="00D04E05"/>
    <w:rsid w:val="00D07C57"/>
    <w:rsid w:val="00D13876"/>
    <w:rsid w:val="00D35134"/>
    <w:rsid w:val="00D760CD"/>
    <w:rsid w:val="00DB3B38"/>
    <w:rsid w:val="00E02FCE"/>
    <w:rsid w:val="00E251CF"/>
    <w:rsid w:val="00E26562"/>
    <w:rsid w:val="00ED11E3"/>
    <w:rsid w:val="00F23DE7"/>
    <w:rsid w:val="00F3213C"/>
    <w:rsid w:val="00F51526"/>
    <w:rsid w:val="00F70CCF"/>
    <w:rsid w:val="00F7646A"/>
    <w:rsid w:val="00F807DF"/>
    <w:rsid w:val="00F82E79"/>
    <w:rsid w:val="00F837BC"/>
    <w:rsid w:val="00FA1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F28570"/>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Textodeglobo">
    <w:name w:val="Balloon Text"/>
    <w:basedOn w:val="Normal"/>
    <w:link w:val="TextodegloboCar"/>
    <w:uiPriority w:val="99"/>
    <w:semiHidden/>
    <w:unhideWhenUsed/>
    <w:rsid w:val="00276F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6F02"/>
    <w:rPr>
      <w:rFonts w:ascii="Segoe UI" w:hAnsi="Segoe UI" w:cs="Segoe UI"/>
      <w:sz w:val="18"/>
      <w:szCs w:val="18"/>
    </w:rPr>
  </w:style>
  <w:style w:type="paragraph" w:customStyle="1" w:styleId="Default">
    <w:name w:val="Default"/>
    <w:rsid w:val="001A497F"/>
    <w:pPr>
      <w:autoSpaceDE w:val="0"/>
      <w:autoSpaceDN w:val="0"/>
      <w:adjustRightInd w:val="0"/>
      <w:spacing w:after="0" w:line="240" w:lineRule="auto"/>
      <w:jc w:val="left"/>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1A497F"/>
    <w:rPr>
      <w:sz w:val="16"/>
      <w:szCs w:val="16"/>
    </w:rPr>
  </w:style>
  <w:style w:type="paragraph" w:styleId="Textocomentario">
    <w:name w:val="annotation text"/>
    <w:basedOn w:val="Normal"/>
    <w:link w:val="TextocomentarioCar"/>
    <w:uiPriority w:val="99"/>
    <w:semiHidden/>
    <w:unhideWhenUsed/>
    <w:rsid w:val="001A497F"/>
    <w:pPr>
      <w:spacing w:after="160" w:line="240" w:lineRule="auto"/>
      <w:jc w:val="left"/>
    </w:pPr>
    <w:rPr>
      <w:rFonts w:asciiTheme="minorHAnsi" w:hAnsiTheme="minorHAnsi"/>
    </w:rPr>
  </w:style>
  <w:style w:type="character" w:customStyle="1" w:styleId="TextocomentarioCar">
    <w:name w:val="Texto comentario Car"/>
    <w:basedOn w:val="Fuentedeprrafopredeter"/>
    <w:link w:val="Textocomentario"/>
    <w:uiPriority w:val="99"/>
    <w:semiHidden/>
    <w:rsid w:val="001A497F"/>
    <w:rPr>
      <w:rFonts w:asciiTheme="minorHAnsi" w:hAnsiTheme="minorHAnsi"/>
    </w:rPr>
  </w:style>
  <w:style w:type="paragraph" w:styleId="Sinespaciado">
    <w:name w:val="No Spacing"/>
    <w:uiPriority w:val="1"/>
    <w:qFormat/>
    <w:rsid w:val="001A497F"/>
    <w:pPr>
      <w:spacing w:after="0" w:line="240" w:lineRule="auto"/>
      <w:jc w:val="left"/>
    </w:pPr>
    <w:rPr>
      <w:rFonts w:asciiTheme="minorHAnsi" w:eastAsiaTheme="minorEastAsia" w:hAnsiTheme="minorHAnsi"/>
      <w:sz w:val="24"/>
      <w:szCs w:val="24"/>
    </w:rPr>
  </w:style>
  <w:style w:type="paragraph" w:styleId="Asuntodelcomentario">
    <w:name w:val="annotation subject"/>
    <w:basedOn w:val="Textocomentario"/>
    <w:next w:val="Textocomentario"/>
    <w:link w:val="AsuntodelcomentarioCar"/>
    <w:uiPriority w:val="99"/>
    <w:semiHidden/>
    <w:unhideWhenUsed/>
    <w:rsid w:val="00FA1717"/>
    <w:pPr>
      <w:spacing w:after="24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FA1717"/>
    <w:rPr>
      <w:rFonts w:asciiTheme="minorHAnsi" w:hAnsiTheme="minorHAnsi"/>
      <w:b/>
      <w:bCs/>
    </w:rPr>
  </w:style>
  <w:style w:type="character" w:customStyle="1" w:styleId="Caracteresdenotaalpie">
    <w:name w:val="Caracteres de nota al pie"/>
    <w:qFormat/>
    <w:rsid w:val="00D760CD"/>
  </w:style>
  <w:style w:type="character" w:customStyle="1" w:styleId="Ancladenotaalpie">
    <w:name w:val="Ancla de nota al pie"/>
    <w:rsid w:val="00D760CD"/>
    <w:rPr>
      <w:vertAlign w:val="superscript"/>
    </w:rPr>
  </w:style>
  <w:style w:type="paragraph" w:styleId="Textonotapie">
    <w:name w:val="footnote text"/>
    <w:basedOn w:val="Normal"/>
    <w:link w:val="TextonotapieCar"/>
    <w:rsid w:val="00D760CD"/>
    <w:pPr>
      <w:widowControl w:val="0"/>
      <w:suppressLineNumbers/>
      <w:spacing w:after="0" w:line="276" w:lineRule="auto"/>
      <w:ind w:left="339" w:hanging="339"/>
      <w:jc w:val="left"/>
    </w:pPr>
    <w:rPr>
      <w:rFonts w:eastAsia="Arial" w:cs="Arial"/>
      <w:lang w:val="es" w:eastAsia="zh-CN" w:bidi="hi-IN"/>
    </w:rPr>
  </w:style>
  <w:style w:type="character" w:customStyle="1" w:styleId="TextonotapieCar">
    <w:name w:val="Texto nota pie Car"/>
    <w:basedOn w:val="Fuentedeprrafopredeter"/>
    <w:link w:val="Textonotapie"/>
    <w:rsid w:val="00D760CD"/>
    <w:rPr>
      <w:rFonts w:eastAsia="Arial" w:cs="Arial"/>
      <w:lang w:val="es" w:eastAsia="zh-CN" w:bidi="hi-IN"/>
    </w:rPr>
  </w:style>
  <w:style w:type="paragraph" w:styleId="Prrafodelista">
    <w:name w:val="List Paragraph"/>
    <w:basedOn w:val="Normal"/>
    <w:uiPriority w:val="34"/>
    <w:qFormat/>
    <w:rsid w:val="00407257"/>
    <w:pPr>
      <w:spacing w:after="160" w:line="259" w:lineRule="auto"/>
      <w:ind w:left="720"/>
      <w:contextualSpacing/>
      <w:jc w:val="left"/>
    </w:pPr>
    <w:rPr>
      <w:rFonts w:asciiTheme="minorHAnsi" w:hAnsiTheme="minorHAnsi"/>
      <w:sz w:val="22"/>
      <w:szCs w:val="22"/>
    </w:rPr>
  </w:style>
  <w:style w:type="character" w:styleId="Refdenotaalpie">
    <w:name w:val="footnote reference"/>
    <w:basedOn w:val="Fuentedeprrafopredeter"/>
    <w:uiPriority w:val="99"/>
    <w:semiHidden/>
    <w:unhideWhenUsed/>
    <w:rsid w:val="00384A29"/>
    <w:rPr>
      <w:vertAlign w:val="superscript"/>
    </w:rPr>
  </w:style>
  <w:style w:type="paragraph" w:styleId="Revisin">
    <w:name w:val="Revision"/>
    <w:hidden/>
    <w:uiPriority w:val="99"/>
    <w:semiHidden/>
    <w:rsid w:val="006F576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B9C4-EB0A-4414-BAD8-5C823D16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1609</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IFT</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Jesus Abihu Rodriguez Avila</cp:lastModifiedBy>
  <cp:revision>4</cp:revision>
  <dcterms:created xsi:type="dcterms:W3CDTF">2021-11-11T17:47:00Z</dcterms:created>
  <dcterms:modified xsi:type="dcterms:W3CDTF">2021-11-12T17:20:00Z</dcterms:modified>
</cp:coreProperties>
</file>