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4044C" w14:textId="355B170F" w:rsidR="00B82050" w:rsidRDefault="00B82050" w:rsidP="0099419D">
      <w:pPr>
        <w:jc w:val="both"/>
        <w:rPr>
          <w:rFonts w:ascii="Calibri" w:eastAsia="Calibri" w:hAnsi="Calibri" w:cs="Calibri"/>
          <w:b/>
          <w:sz w:val="24"/>
          <w:szCs w:val="24"/>
        </w:rPr>
      </w:pPr>
    </w:p>
    <w:p w14:paraId="00000001" w14:textId="0C03FE6B" w:rsidR="009A79A8" w:rsidRDefault="003F31FA" w:rsidP="0099419D">
      <w:pPr>
        <w:jc w:val="both"/>
        <w:rPr>
          <w:rFonts w:ascii="Calibri" w:eastAsia="Calibri" w:hAnsi="Calibri" w:cs="Calibri"/>
          <w:b/>
          <w:sz w:val="24"/>
          <w:szCs w:val="24"/>
        </w:rPr>
      </w:pPr>
      <w:r w:rsidRPr="003F31FA">
        <w:rPr>
          <w:rFonts w:ascii="Calibri" w:eastAsia="Calibri" w:hAnsi="Calibri" w:cs="Calibri"/>
          <w:b/>
          <w:sz w:val="24"/>
          <w:szCs w:val="24"/>
        </w:rPr>
        <w:t>RECOMENDACIÓN QUE EMITE EL CONSEJO CONSULTIVO DEL INSTITUT</w:t>
      </w:r>
      <w:r>
        <w:rPr>
          <w:rFonts w:ascii="Calibri" w:eastAsia="Calibri" w:hAnsi="Calibri" w:cs="Calibri"/>
          <w:b/>
          <w:sz w:val="24"/>
          <w:szCs w:val="24"/>
        </w:rPr>
        <w:t xml:space="preserve">O FEDERAL DE TELECOMUNICACIONES </w:t>
      </w:r>
      <w:r w:rsidRPr="003F31FA">
        <w:rPr>
          <w:rFonts w:ascii="Calibri" w:eastAsia="Calibri" w:hAnsi="Calibri" w:cs="Calibri"/>
          <w:b/>
          <w:sz w:val="24"/>
          <w:szCs w:val="24"/>
        </w:rPr>
        <w:t>(INSTITUTO)</w:t>
      </w:r>
      <w:r>
        <w:rPr>
          <w:rFonts w:ascii="Calibri" w:eastAsia="Calibri" w:hAnsi="Calibri" w:cs="Calibri"/>
          <w:b/>
          <w:sz w:val="24"/>
          <w:szCs w:val="24"/>
        </w:rPr>
        <w:t xml:space="preserve"> SOBRE </w:t>
      </w:r>
      <w:r w:rsidR="0099419D" w:rsidRPr="003F31FA">
        <w:rPr>
          <w:rFonts w:ascii="Calibri" w:eastAsia="Calibri" w:hAnsi="Calibri" w:cs="Calibri"/>
          <w:b/>
          <w:sz w:val="24"/>
          <w:szCs w:val="24"/>
        </w:rPr>
        <w:t xml:space="preserve">FLEXIBILIDAD </w:t>
      </w:r>
      <w:r w:rsidR="0017125E">
        <w:rPr>
          <w:rFonts w:ascii="Calibri" w:eastAsia="Calibri" w:hAnsi="Calibri" w:cs="Calibri"/>
          <w:b/>
          <w:sz w:val="24"/>
          <w:szCs w:val="24"/>
        </w:rPr>
        <w:t>ADMINISTRATIVA</w:t>
      </w:r>
      <w:r w:rsidR="0099419D" w:rsidRPr="003F31FA">
        <w:rPr>
          <w:rFonts w:ascii="Calibri" w:eastAsia="Calibri" w:hAnsi="Calibri" w:cs="Calibri"/>
          <w:b/>
          <w:sz w:val="24"/>
          <w:szCs w:val="24"/>
        </w:rPr>
        <w:t xml:space="preserve"> PARA LAS COMUNICACIONES DE EMERGENCIA</w:t>
      </w:r>
      <w:r w:rsidR="008E132B">
        <w:rPr>
          <w:rFonts w:ascii="Calibri" w:eastAsia="Calibri" w:hAnsi="Calibri" w:cs="Calibri"/>
          <w:b/>
          <w:sz w:val="24"/>
          <w:szCs w:val="24"/>
        </w:rPr>
        <w:t>.</w:t>
      </w:r>
    </w:p>
    <w:p w14:paraId="2698FA85" w14:textId="7B4F68AB" w:rsidR="003F31FA" w:rsidRDefault="003F31FA" w:rsidP="0099419D">
      <w:pPr>
        <w:jc w:val="both"/>
        <w:rPr>
          <w:rFonts w:ascii="Calibri" w:eastAsia="Calibri" w:hAnsi="Calibri" w:cs="Calibri"/>
          <w:b/>
          <w:sz w:val="24"/>
          <w:szCs w:val="24"/>
          <w:u w:val="single"/>
        </w:rPr>
      </w:pPr>
    </w:p>
    <w:p w14:paraId="306F58E4" w14:textId="77777777" w:rsidR="007261C6" w:rsidRPr="003F31FA" w:rsidRDefault="007261C6" w:rsidP="0099419D">
      <w:pPr>
        <w:jc w:val="both"/>
        <w:rPr>
          <w:rFonts w:ascii="Calibri" w:eastAsia="Calibri" w:hAnsi="Calibri" w:cs="Calibri"/>
          <w:b/>
          <w:sz w:val="24"/>
          <w:szCs w:val="24"/>
          <w:u w:val="single"/>
        </w:rPr>
      </w:pPr>
    </w:p>
    <w:p w14:paraId="177C6C2A" w14:textId="50A47996" w:rsidR="003F31FA" w:rsidRDefault="003F31FA" w:rsidP="00306341">
      <w:pPr>
        <w:jc w:val="both"/>
        <w:rPr>
          <w:rFonts w:ascii="Calibri" w:eastAsia="Calibri" w:hAnsi="Calibri" w:cs="Calibri"/>
          <w:b/>
          <w:sz w:val="24"/>
          <w:szCs w:val="24"/>
          <w:u w:val="single"/>
        </w:rPr>
      </w:pPr>
      <w:r w:rsidRPr="003F31FA">
        <w:rPr>
          <w:rFonts w:ascii="Calibri" w:eastAsia="Calibri" w:hAnsi="Calibri" w:cs="Calibri"/>
          <w:b/>
          <w:sz w:val="24"/>
          <w:szCs w:val="24"/>
          <w:u w:val="single"/>
        </w:rPr>
        <w:t>Índice</w:t>
      </w:r>
    </w:p>
    <w:p w14:paraId="50D9485B" w14:textId="2AB8618C" w:rsidR="004841BB" w:rsidRDefault="004841BB" w:rsidP="00306341">
      <w:pPr>
        <w:jc w:val="both"/>
        <w:rPr>
          <w:rFonts w:ascii="Calibri" w:eastAsia="Calibri" w:hAnsi="Calibri" w:cs="Calibri"/>
          <w:b/>
          <w:sz w:val="24"/>
          <w:szCs w:val="24"/>
          <w:u w:val="single"/>
        </w:rPr>
      </w:pPr>
    </w:p>
    <w:p w14:paraId="7E82F67F" w14:textId="71D549A8" w:rsidR="004841BB" w:rsidRPr="004841BB" w:rsidRDefault="004841BB" w:rsidP="00306341">
      <w:pPr>
        <w:pStyle w:val="Prrafodelista"/>
        <w:numPr>
          <w:ilvl w:val="0"/>
          <w:numId w:val="3"/>
        </w:numPr>
        <w:jc w:val="both"/>
        <w:rPr>
          <w:rFonts w:ascii="Calibri" w:eastAsia="Calibri" w:hAnsi="Calibri" w:cs="Calibri"/>
          <w:b/>
          <w:sz w:val="24"/>
          <w:szCs w:val="24"/>
        </w:rPr>
      </w:pPr>
      <w:r w:rsidRPr="004841BB">
        <w:rPr>
          <w:rFonts w:ascii="Calibri" w:eastAsia="Calibri" w:hAnsi="Calibri" w:cs="Calibri"/>
          <w:b/>
          <w:sz w:val="24"/>
          <w:szCs w:val="24"/>
        </w:rPr>
        <w:t>Contexto</w:t>
      </w:r>
      <w:r w:rsidR="008E132B">
        <w:rPr>
          <w:rFonts w:ascii="Calibri" w:eastAsia="Calibri" w:hAnsi="Calibri" w:cs="Calibri"/>
          <w:b/>
          <w:sz w:val="24"/>
          <w:szCs w:val="24"/>
        </w:rPr>
        <w:t>……………………………………………………………………………………………… 1</w:t>
      </w:r>
    </w:p>
    <w:p w14:paraId="26EFD11E" w14:textId="5FD39151" w:rsidR="003F31FA" w:rsidRPr="004841BB" w:rsidRDefault="004841BB" w:rsidP="00306341">
      <w:pPr>
        <w:pStyle w:val="Prrafodelista"/>
        <w:numPr>
          <w:ilvl w:val="0"/>
          <w:numId w:val="3"/>
        </w:numPr>
        <w:jc w:val="both"/>
        <w:rPr>
          <w:rFonts w:ascii="Calibri" w:eastAsia="Calibri" w:hAnsi="Calibri" w:cs="Calibri"/>
          <w:b/>
          <w:sz w:val="24"/>
          <w:szCs w:val="24"/>
        </w:rPr>
      </w:pPr>
      <w:r w:rsidRPr="004841BB">
        <w:rPr>
          <w:rFonts w:ascii="Calibri" w:eastAsia="Calibri" w:hAnsi="Calibri" w:cs="Calibri"/>
          <w:b/>
          <w:sz w:val="24"/>
          <w:szCs w:val="24"/>
        </w:rPr>
        <w:t>Recomendaciones</w:t>
      </w:r>
      <w:r w:rsidR="008E132B">
        <w:rPr>
          <w:rFonts w:ascii="Calibri" w:eastAsia="Calibri" w:hAnsi="Calibri" w:cs="Calibri"/>
          <w:b/>
          <w:sz w:val="24"/>
          <w:szCs w:val="24"/>
        </w:rPr>
        <w:t>…………………………………………………………………………</w:t>
      </w:r>
      <w:proofErr w:type="gramStart"/>
      <w:r w:rsidR="008E132B">
        <w:rPr>
          <w:rFonts w:ascii="Calibri" w:eastAsia="Calibri" w:hAnsi="Calibri" w:cs="Calibri"/>
          <w:b/>
          <w:sz w:val="24"/>
          <w:szCs w:val="24"/>
        </w:rPr>
        <w:t>…….</w:t>
      </w:r>
      <w:proofErr w:type="gramEnd"/>
      <w:r w:rsidR="008E132B">
        <w:rPr>
          <w:rFonts w:ascii="Calibri" w:eastAsia="Calibri" w:hAnsi="Calibri" w:cs="Calibri"/>
          <w:b/>
          <w:sz w:val="24"/>
          <w:szCs w:val="24"/>
        </w:rPr>
        <w:t>. 6</w:t>
      </w:r>
    </w:p>
    <w:p w14:paraId="349FD99A" w14:textId="177A66AC" w:rsidR="003F31FA" w:rsidRDefault="003F31FA" w:rsidP="0099419D">
      <w:pPr>
        <w:jc w:val="both"/>
        <w:rPr>
          <w:rFonts w:ascii="Calibri" w:eastAsia="Calibri" w:hAnsi="Calibri" w:cs="Calibri"/>
          <w:b/>
          <w:sz w:val="24"/>
          <w:szCs w:val="24"/>
          <w:u w:val="single"/>
        </w:rPr>
      </w:pPr>
    </w:p>
    <w:p w14:paraId="7F41FCF9" w14:textId="3911CE39" w:rsidR="007261C6" w:rsidRDefault="007261C6" w:rsidP="0099419D">
      <w:pPr>
        <w:jc w:val="both"/>
        <w:rPr>
          <w:rFonts w:ascii="Calibri" w:eastAsia="Calibri" w:hAnsi="Calibri" w:cs="Calibri"/>
          <w:b/>
          <w:sz w:val="24"/>
          <w:szCs w:val="24"/>
          <w:u w:val="single"/>
        </w:rPr>
      </w:pPr>
    </w:p>
    <w:p w14:paraId="0675DDB5" w14:textId="173B85DB" w:rsidR="003F31FA" w:rsidRPr="003F31FA" w:rsidRDefault="003F31FA" w:rsidP="003F31FA">
      <w:pPr>
        <w:pStyle w:val="Prrafodelista"/>
        <w:numPr>
          <w:ilvl w:val="0"/>
          <w:numId w:val="2"/>
        </w:numPr>
        <w:jc w:val="both"/>
        <w:rPr>
          <w:rFonts w:ascii="Calibri" w:eastAsia="Calibri" w:hAnsi="Calibri" w:cs="Calibri"/>
          <w:b/>
          <w:sz w:val="24"/>
          <w:szCs w:val="24"/>
          <w:u w:val="single"/>
        </w:rPr>
      </w:pPr>
      <w:r>
        <w:rPr>
          <w:rFonts w:ascii="Calibri" w:eastAsia="Calibri" w:hAnsi="Calibri" w:cs="Calibri"/>
          <w:b/>
          <w:sz w:val="24"/>
          <w:szCs w:val="24"/>
          <w:u w:val="single"/>
        </w:rPr>
        <w:t xml:space="preserve">Contexto </w:t>
      </w:r>
    </w:p>
    <w:p w14:paraId="00000002" w14:textId="77777777" w:rsidR="009A79A8" w:rsidRPr="0099419D" w:rsidRDefault="009A79A8" w:rsidP="0099419D">
      <w:pPr>
        <w:jc w:val="both"/>
        <w:rPr>
          <w:rFonts w:ascii="Calibri" w:eastAsia="Calibri" w:hAnsi="Calibri" w:cs="Calibri"/>
          <w:sz w:val="24"/>
          <w:szCs w:val="24"/>
        </w:rPr>
      </w:pPr>
    </w:p>
    <w:p w14:paraId="00000003" w14:textId="2E09500F" w:rsidR="009A79A8" w:rsidRPr="0099419D" w:rsidRDefault="00D223C8" w:rsidP="0099419D">
      <w:pPr>
        <w:numPr>
          <w:ilvl w:val="0"/>
          <w:numId w:val="1"/>
        </w:numPr>
        <w:jc w:val="both"/>
        <w:rPr>
          <w:rFonts w:ascii="Calibri" w:eastAsia="Calibri" w:hAnsi="Calibri" w:cs="Calibri"/>
          <w:sz w:val="24"/>
          <w:szCs w:val="24"/>
        </w:rPr>
      </w:pPr>
      <w:r w:rsidRPr="0099419D">
        <w:rPr>
          <w:rFonts w:ascii="Calibri" w:eastAsia="Calibri" w:hAnsi="Calibri" w:cs="Calibri"/>
          <w:sz w:val="24"/>
          <w:szCs w:val="24"/>
        </w:rPr>
        <w:t>Desde sus orígenes la radiocomunicación ha sido fundamental en la prevención, mitigación, recuperación, preparación y respuesta a las emergencias de todo tipo. La situación que se genera a partir del desastre sanitario ocasionado por la propagación mundial de la enfermedad CoViD-19 ha encontrado en las telecomunicaciones y la radiodifusión un medio más para afrontar este reto a la humanidad. Como lo manifiesta la UNESCO, “No será posible recuperar la normalidad si no asumimos que nos encontramos ante una situación de emergencia. Será muy difícil superar esta crisis si sólo recurrimos a las soluciones que aplicaríamos en condiciones “normales”. Los procesos, las herramientas, las estrategias o las metodologías que hemos aplicado hasta ahora pueden no ser eficaces en el actual contexto de incertidumbre”</w:t>
      </w:r>
      <w:r w:rsidR="00E67ECC" w:rsidRPr="0099419D">
        <w:rPr>
          <w:rFonts w:ascii="Calibri" w:eastAsia="Calibri" w:hAnsi="Calibri" w:cs="Calibri"/>
          <w:sz w:val="24"/>
          <w:szCs w:val="24"/>
          <w:lang w:val="es-ES"/>
        </w:rPr>
        <w:t xml:space="preserve"> [1]</w:t>
      </w:r>
      <w:r w:rsidRPr="0099419D">
        <w:rPr>
          <w:rFonts w:ascii="Calibri" w:eastAsia="Calibri" w:hAnsi="Calibri" w:cs="Calibri"/>
          <w:sz w:val="24"/>
          <w:szCs w:val="24"/>
        </w:rPr>
        <w:t>. Por otra parte, la Unión Internacional de Telecomunicaciones (</w:t>
      </w:r>
      <w:r w:rsidR="004849AF" w:rsidRPr="0099419D">
        <w:rPr>
          <w:rFonts w:ascii="Calibri" w:eastAsia="Calibri" w:hAnsi="Calibri" w:cs="Calibri"/>
          <w:sz w:val="24"/>
          <w:szCs w:val="24"/>
        </w:rPr>
        <w:t>UIT</w:t>
      </w:r>
      <w:r w:rsidRPr="0099419D">
        <w:rPr>
          <w:rFonts w:ascii="Calibri" w:eastAsia="Calibri" w:hAnsi="Calibri" w:cs="Calibri"/>
          <w:sz w:val="24"/>
          <w:szCs w:val="24"/>
        </w:rPr>
        <w:t xml:space="preserve">) hizo un llamado a las administraciones y a los </w:t>
      </w:r>
      <w:r w:rsidR="004849AF" w:rsidRPr="0099419D">
        <w:rPr>
          <w:rFonts w:ascii="Calibri" w:eastAsia="Calibri" w:hAnsi="Calibri" w:cs="Calibri"/>
          <w:sz w:val="24"/>
          <w:szCs w:val="24"/>
        </w:rPr>
        <w:t xml:space="preserve">Estados </w:t>
      </w:r>
      <w:r w:rsidRPr="0099419D">
        <w:rPr>
          <w:rFonts w:ascii="Calibri" w:eastAsia="Calibri" w:hAnsi="Calibri" w:cs="Calibri"/>
          <w:sz w:val="24"/>
          <w:szCs w:val="24"/>
        </w:rPr>
        <w:t xml:space="preserve">miembros a contribuir y colaborar para afrontar esta emergencia con los recursos disponibles. En la visión de la </w:t>
      </w:r>
      <w:r w:rsidR="004849AF" w:rsidRPr="0099419D">
        <w:rPr>
          <w:rFonts w:ascii="Calibri" w:eastAsia="Calibri" w:hAnsi="Calibri" w:cs="Calibri"/>
          <w:sz w:val="24"/>
          <w:szCs w:val="24"/>
        </w:rPr>
        <w:t>UIT</w:t>
      </w:r>
      <w:r w:rsidRPr="0099419D">
        <w:rPr>
          <w:rFonts w:ascii="Calibri" w:eastAsia="Calibri" w:hAnsi="Calibri" w:cs="Calibri"/>
          <w:sz w:val="24"/>
          <w:szCs w:val="24"/>
        </w:rPr>
        <w:t xml:space="preserve">, la “CoVID-19 es la primera pandemia en la historia humana donde las tecnologías de información y comunicación, así como los medios </w:t>
      </w:r>
      <w:proofErr w:type="spellStart"/>
      <w:r w:rsidRPr="0099419D">
        <w:rPr>
          <w:rFonts w:ascii="Calibri" w:eastAsia="Calibri" w:hAnsi="Calibri" w:cs="Calibri"/>
          <w:sz w:val="24"/>
          <w:szCs w:val="24"/>
        </w:rPr>
        <w:t>sociodigitales</w:t>
      </w:r>
      <w:proofErr w:type="spellEnd"/>
      <w:r w:rsidR="004849AF" w:rsidRPr="0099419D">
        <w:rPr>
          <w:rFonts w:ascii="Calibri" w:eastAsia="Calibri" w:hAnsi="Calibri" w:cs="Calibri"/>
          <w:sz w:val="24"/>
          <w:szCs w:val="24"/>
        </w:rPr>
        <w:t>,</w:t>
      </w:r>
      <w:r w:rsidRPr="0099419D">
        <w:rPr>
          <w:rFonts w:ascii="Calibri" w:eastAsia="Calibri" w:hAnsi="Calibri" w:cs="Calibri"/>
          <w:sz w:val="24"/>
          <w:szCs w:val="24"/>
        </w:rPr>
        <w:t xml:space="preserve"> están siendo usados en una escala masiva, conduciendo una respuesta global colectiva a la enfermedad y para la transformación digital en todo el mundo” </w:t>
      </w:r>
      <w:r w:rsidR="00E67ECC" w:rsidRPr="0099419D">
        <w:rPr>
          <w:rFonts w:ascii="Calibri" w:eastAsia="Calibri" w:hAnsi="Calibri" w:cs="Calibri"/>
          <w:sz w:val="24"/>
          <w:szCs w:val="24"/>
          <w:lang w:val="es-ES"/>
        </w:rPr>
        <w:t>[2].</w:t>
      </w:r>
      <w:r w:rsidRPr="0099419D">
        <w:rPr>
          <w:rFonts w:ascii="Calibri" w:eastAsia="Calibri" w:hAnsi="Calibri" w:cs="Calibri"/>
          <w:sz w:val="24"/>
          <w:szCs w:val="24"/>
        </w:rPr>
        <w:t xml:space="preserve"> </w:t>
      </w:r>
    </w:p>
    <w:p w14:paraId="00000004" w14:textId="77777777" w:rsidR="009A79A8" w:rsidRPr="0099419D" w:rsidRDefault="009A79A8" w:rsidP="0099419D">
      <w:pPr>
        <w:jc w:val="both"/>
        <w:rPr>
          <w:rFonts w:ascii="Calibri" w:eastAsia="Calibri" w:hAnsi="Calibri" w:cs="Calibri"/>
          <w:sz w:val="24"/>
          <w:szCs w:val="24"/>
        </w:rPr>
      </w:pPr>
    </w:p>
    <w:p w14:paraId="39342615" w14:textId="634ED87B" w:rsidR="009921C0" w:rsidRDefault="00D223C8" w:rsidP="009921C0">
      <w:pPr>
        <w:numPr>
          <w:ilvl w:val="0"/>
          <w:numId w:val="1"/>
        </w:numPr>
        <w:jc w:val="both"/>
        <w:rPr>
          <w:rFonts w:ascii="Calibri" w:eastAsia="Calibri" w:hAnsi="Calibri" w:cs="Calibri"/>
          <w:sz w:val="24"/>
          <w:szCs w:val="24"/>
        </w:rPr>
      </w:pPr>
      <w:r w:rsidRPr="0099419D">
        <w:rPr>
          <w:rFonts w:ascii="Calibri" w:eastAsia="Calibri" w:hAnsi="Calibri" w:cs="Calibri"/>
          <w:sz w:val="24"/>
          <w:szCs w:val="24"/>
        </w:rPr>
        <w:t xml:space="preserve">En atención a la emergencia mundial, el 30 de marzo de 2020 el Gobierno Mexicano decretó la emergencia sanitaria a través del “Acuerdo por el que se declara como emergencia sanitaria por causa de fuerza mayor, a la epidemia de enfermedad generada por el virus SARS-CoV2 (COVID-19)”, publicado en el Diario Oficial de la Federación </w:t>
      </w:r>
      <w:r w:rsidR="00E67ECC" w:rsidRPr="0099419D">
        <w:rPr>
          <w:rFonts w:ascii="Calibri" w:eastAsia="Calibri" w:hAnsi="Calibri" w:cs="Calibri"/>
          <w:sz w:val="24"/>
          <w:szCs w:val="24"/>
          <w:lang w:val="es-ES"/>
        </w:rPr>
        <w:t>[3]</w:t>
      </w:r>
      <w:r w:rsidRPr="0099419D">
        <w:rPr>
          <w:rFonts w:ascii="Calibri" w:eastAsia="Calibri" w:hAnsi="Calibri" w:cs="Calibri"/>
          <w:sz w:val="24"/>
          <w:szCs w:val="24"/>
        </w:rPr>
        <w:t xml:space="preserve">. Esta situación requirió que todos los sectores de la sociedad implementaran medidas de protección ante la propagación de la CoViD-19 </w:t>
      </w:r>
      <w:r w:rsidR="005E6022" w:rsidRPr="0099419D">
        <w:rPr>
          <w:rFonts w:ascii="Calibri" w:eastAsia="Calibri" w:hAnsi="Calibri" w:cs="Calibri"/>
          <w:sz w:val="24"/>
          <w:szCs w:val="24"/>
          <w:lang w:val="es-ES"/>
        </w:rPr>
        <w:t>incluyendo el</w:t>
      </w:r>
      <w:r w:rsidR="002A59A1" w:rsidRPr="0099419D">
        <w:rPr>
          <w:rFonts w:ascii="Calibri" w:eastAsia="Calibri" w:hAnsi="Calibri" w:cs="Calibri"/>
          <w:sz w:val="24"/>
          <w:szCs w:val="24"/>
          <w:lang w:val="es-ES"/>
        </w:rPr>
        <w:t xml:space="preserve"> lograr</w:t>
      </w:r>
      <w:r w:rsidRPr="0099419D">
        <w:rPr>
          <w:rFonts w:ascii="Calibri" w:eastAsia="Calibri" w:hAnsi="Calibri" w:cs="Calibri"/>
          <w:sz w:val="24"/>
          <w:szCs w:val="24"/>
        </w:rPr>
        <w:t xml:space="preserve"> en tiempo récord el confinamiento necesario para </w:t>
      </w:r>
      <w:r w:rsidRPr="009921C0">
        <w:rPr>
          <w:rFonts w:ascii="Calibri" w:eastAsia="Calibri" w:hAnsi="Calibri" w:cs="Calibri"/>
          <w:sz w:val="24"/>
          <w:szCs w:val="24"/>
        </w:rPr>
        <w:t xml:space="preserve">minimizar el contagio. Esto ha requerido implementar diversas medidas consideradas por la </w:t>
      </w:r>
    </w:p>
    <w:p w14:paraId="55F6255B" w14:textId="77777777" w:rsidR="009921C0" w:rsidRDefault="009921C0" w:rsidP="009921C0">
      <w:pPr>
        <w:pStyle w:val="Prrafodelista"/>
        <w:rPr>
          <w:rFonts w:ascii="Calibri" w:eastAsia="Calibri" w:hAnsi="Calibri" w:cs="Calibri"/>
          <w:sz w:val="24"/>
          <w:szCs w:val="24"/>
        </w:rPr>
      </w:pPr>
    </w:p>
    <w:p w14:paraId="00000005" w14:textId="1390E880" w:rsidR="009A79A8" w:rsidRPr="009921C0" w:rsidRDefault="00D223C8" w:rsidP="009921C0">
      <w:pPr>
        <w:ind w:left="360"/>
        <w:jc w:val="both"/>
        <w:rPr>
          <w:rFonts w:ascii="Calibri" w:eastAsia="Calibri" w:hAnsi="Calibri" w:cs="Calibri"/>
          <w:sz w:val="24"/>
          <w:szCs w:val="24"/>
        </w:rPr>
      </w:pPr>
      <w:r w:rsidRPr="009921C0">
        <w:rPr>
          <w:rFonts w:ascii="Calibri" w:eastAsia="Calibri" w:hAnsi="Calibri" w:cs="Calibri"/>
          <w:sz w:val="24"/>
          <w:szCs w:val="24"/>
        </w:rPr>
        <w:t>“</w:t>
      </w:r>
      <w:proofErr w:type="spellStart"/>
      <w:r w:rsidRPr="009921C0">
        <w:rPr>
          <w:rFonts w:ascii="Calibri" w:eastAsia="Calibri" w:hAnsi="Calibri" w:cs="Calibri"/>
          <w:sz w:val="24"/>
          <w:szCs w:val="24"/>
        </w:rPr>
        <w:t>Broadband</w:t>
      </w:r>
      <w:proofErr w:type="spellEnd"/>
      <w:r w:rsidRPr="009921C0">
        <w:rPr>
          <w:rFonts w:ascii="Calibri" w:eastAsia="Calibri" w:hAnsi="Calibri" w:cs="Calibri"/>
          <w:sz w:val="24"/>
          <w:szCs w:val="24"/>
        </w:rPr>
        <w:t xml:space="preserve"> </w:t>
      </w:r>
      <w:proofErr w:type="spellStart"/>
      <w:r w:rsidRPr="009921C0">
        <w:rPr>
          <w:rFonts w:ascii="Calibri" w:eastAsia="Calibri" w:hAnsi="Calibri" w:cs="Calibri"/>
          <w:sz w:val="24"/>
          <w:szCs w:val="24"/>
        </w:rPr>
        <w:t>Commission</w:t>
      </w:r>
      <w:proofErr w:type="spellEnd"/>
      <w:r w:rsidRPr="009921C0">
        <w:rPr>
          <w:rFonts w:ascii="Calibri" w:eastAsia="Calibri" w:hAnsi="Calibri" w:cs="Calibri"/>
          <w:sz w:val="24"/>
          <w:szCs w:val="24"/>
        </w:rPr>
        <w:t xml:space="preserve"> </w:t>
      </w:r>
      <w:proofErr w:type="spellStart"/>
      <w:r w:rsidRPr="009921C0">
        <w:rPr>
          <w:rFonts w:ascii="Calibri" w:eastAsia="Calibri" w:hAnsi="Calibri" w:cs="Calibri"/>
          <w:sz w:val="24"/>
          <w:szCs w:val="24"/>
        </w:rPr>
        <w:t>for</w:t>
      </w:r>
      <w:proofErr w:type="spellEnd"/>
      <w:r w:rsidRPr="009921C0">
        <w:rPr>
          <w:rFonts w:ascii="Calibri" w:eastAsia="Calibri" w:hAnsi="Calibri" w:cs="Calibri"/>
          <w:sz w:val="24"/>
          <w:szCs w:val="24"/>
        </w:rPr>
        <w:t xml:space="preserve"> </w:t>
      </w:r>
      <w:proofErr w:type="spellStart"/>
      <w:r w:rsidRPr="009921C0">
        <w:rPr>
          <w:rFonts w:ascii="Calibri" w:eastAsia="Calibri" w:hAnsi="Calibri" w:cs="Calibri"/>
          <w:sz w:val="24"/>
          <w:szCs w:val="24"/>
        </w:rPr>
        <w:t>Sustainable</w:t>
      </w:r>
      <w:proofErr w:type="spellEnd"/>
      <w:r w:rsidRPr="009921C0">
        <w:rPr>
          <w:rFonts w:ascii="Calibri" w:eastAsia="Calibri" w:hAnsi="Calibri" w:cs="Calibri"/>
          <w:sz w:val="24"/>
          <w:szCs w:val="24"/>
        </w:rPr>
        <w:t xml:space="preserve"> </w:t>
      </w:r>
      <w:proofErr w:type="spellStart"/>
      <w:r w:rsidRPr="009921C0">
        <w:rPr>
          <w:rFonts w:ascii="Calibri" w:eastAsia="Calibri" w:hAnsi="Calibri" w:cs="Calibri"/>
          <w:sz w:val="24"/>
          <w:szCs w:val="24"/>
        </w:rPr>
        <w:t>Development</w:t>
      </w:r>
      <w:proofErr w:type="spellEnd"/>
      <w:r w:rsidRPr="009921C0">
        <w:rPr>
          <w:rFonts w:ascii="Calibri" w:eastAsia="Calibri" w:hAnsi="Calibri" w:cs="Calibri"/>
          <w:sz w:val="24"/>
          <w:szCs w:val="24"/>
        </w:rPr>
        <w:t>” que están esbozadas en el reporte del Grupo de Tr</w:t>
      </w:r>
      <w:r w:rsidR="008E132B" w:rsidRPr="009921C0">
        <w:rPr>
          <w:rFonts w:ascii="Calibri" w:eastAsia="Calibri" w:hAnsi="Calibri" w:cs="Calibri"/>
          <w:sz w:val="24"/>
          <w:szCs w:val="24"/>
        </w:rPr>
        <w:t>abajo sobre la Preparación para</w:t>
      </w:r>
      <w:r w:rsidR="007261C6" w:rsidRPr="009921C0">
        <w:rPr>
          <w:rFonts w:ascii="Calibri" w:eastAsia="Calibri" w:hAnsi="Calibri" w:cs="Calibri"/>
          <w:sz w:val="24"/>
          <w:szCs w:val="24"/>
        </w:rPr>
        <w:t xml:space="preserve"> </w:t>
      </w:r>
      <w:r w:rsidRPr="009921C0">
        <w:rPr>
          <w:rFonts w:ascii="Calibri" w:eastAsia="Calibri" w:hAnsi="Calibri" w:cs="Calibri"/>
          <w:sz w:val="24"/>
          <w:szCs w:val="24"/>
        </w:rPr>
        <w:t>Epidemias, “</w:t>
      </w:r>
      <w:proofErr w:type="spellStart"/>
      <w:r w:rsidRPr="009921C0">
        <w:rPr>
          <w:rFonts w:ascii="Calibri" w:eastAsia="Calibri" w:hAnsi="Calibri" w:cs="Calibri"/>
          <w:sz w:val="24"/>
          <w:szCs w:val="24"/>
        </w:rPr>
        <w:t>Preventing</w:t>
      </w:r>
      <w:proofErr w:type="spellEnd"/>
      <w:r w:rsidRPr="009921C0">
        <w:rPr>
          <w:rFonts w:ascii="Calibri" w:eastAsia="Calibri" w:hAnsi="Calibri" w:cs="Calibri"/>
          <w:sz w:val="24"/>
          <w:szCs w:val="24"/>
        </w:rPr>
        <w:t xml:space="preserve"> </w:t>
      </w:r>
      <w:proofErr w:type="spellStart"/>
      <w:r w:rsidRPr="009921C0">
        <w:rPr>
          <w:rFonts w:ascii="Calibri" w:eastAsia="Calibri" w:hAnsi="Calibri" w:cs="Calibri"/>
          <w:sz w:val="24"/>
          <w:szCs w:val="24"/>
        </w:rPr>
        <w:t>the</w:t>
      </w:r>
      <w:proofErr w:type="spellEnd"/>
      <w:r w:rsidRPr="009921C0">
        <w:rPr>
          <w:rFonts w:ascii="Calibri" w:eastAsia="Calibri" w:hAnsi="Calibri" w:cs="Calibri"/>
          <w:sz w:val="24"/>
          <w:szCs w:val="24"/>
        </w:rPr>
        <w:t xml:space="preserve"> Spread of </w:t>
      </w:r>
      <w:proofErr w:type="spellStart"/>
      <w:r w:rsidRPr="009921C0">
        <w:rPr>
          <w:rFonts w:ascii="Calibri" w:eastAsia="Calibri" w:hAnsi="Calibri" w:cs="Calibri"/>
          <w:sz w:val="24"/>
          <w:szCs w:val="24"/>
        </w:rPr>
        <w:t>Epidemics</w:t>
      </w:r>
      <w:proofErr w:type="spellEnd"/>
      <w:r w:rsidRPr="009921C0">
        <w:rPr>
          <w:rFonts w:ascii="Calibri" w:eastAsia="Calibri" w:hAnsi="Calibri" w:cs="Calibri"/>
          <w:sz w:val="24"/>
          <w:szCs w:val="24"/>
        </w:rPr>
        <w:t xml:space="preserve"> </w:t>
      </w:r>
      <w:proofErr w:type="spellStart"/>
      <w:r w:rsidRPr="009921C0">
        <w:rPr>
          <w:rFonts w:ascii="Calibri" w:eastAsia="Calibri" w:hAnsi="Calibri" w:cs="Calibri"/>
          <w:sz w:val="24"/>
          <w:szCs w:val="24"/>
        </w:rPr>
        <w:t>using</w:t>
      </w:r>
      <w:proofErr w:type="spellEnd"/>
      <w:r w:rsidRPr="009921C0">
        <w:rPr>
          <w:rFonts w:ascii="Calibri" w:eastAsia="Calibri" w:hAnsi="Calibri" w:cs="Calibri"/>
          <w:sz w:val="24"/>
          <w:szCs w:val="24"/>
        </w:rPr>
        <w:t xml:space="preserve"> ICT” (Prevención de la propagación de las epidemias usando las TIC) (</w:t>
      </w:r>
      <w:proofErr w:type="gramStart"/>
      <w:r w:rsidR="008E132B" w:rsidRPr="009921C0">
        <w:rPr>
          <w:rFonts w:ascii="Calibri" w:eastAsia="Calibri" w:hAnsi="Calibri" w:cs="Calibri"/>
          <w:sz w:val="24"/>
          <w:szCs w:val="24"/>
        </w:rPr>
        <w:t>Septiembre</w:t>
      </w:r>
      <w:proofErr w:type="gramEnd"/>
      <w:r w:rsidRPr="009921C0">
        <w:rPr>
          <w:rFonts w:ascii="Calibri" w:eastAsia="Calibri" w:hAnsi="Calibri" w:cs="Calibri"/>
          <w:sz w:val="24"/>
          <w:szCs w:val="24"/>
        </w:rPr>
        <w:t xml:space="preserve"> 2018)</w:t>
      </w:r>
      <w:r w:rsidR="00E67ECC" w:rsidRPr="009921C0">
        <w:rPr>
          <w:rFonts w:ascii="Calibri" w:eastAsia="Calibri" w:hAnsi="Calibri" w:cs="Calibri"/>
          <w:sz w:val="24"/>
          <w:szCs w:val="24"/>
          <w:lang w:val="es-ES"/>
        </w:rPr>
        <w:t xml:space="preserve"> [4]</w:t>
      </w:r>
      <w:r w:rsidRPr="009921C0">
        <w:rPr>
          <w:rFonts w:ascii="Calibri" w:eastAsia="Calibri" w:hAnsi="Calibri" w:cs="Calibri"/>
          <w:sz w:val="24"/>
          <w:szCs w:val="24"/>
        </w:rPr>
        <w:t xml:space="preserve">. Ahí, el Secretario General de la ITU hace notar que las “TIC pueden jugar un rol </w:t>
      </w:r>
      <w:proofErr w:type="spellStart"/>
      <w:r w:rsidRPr="009921C0">
        <w:rPr>
          <w:rFonts w:ascii="Calibri" w:eastAsia="Calibri" w:hAnsi="Calibri" w:cs="Calibri"/>
          <w:sz w:val="24"/>
          <w:szCs w:val="24"/>
        </w:rPr>
        <w:t>pivotal</w:t>
      </w:r>
      <w:proofErr w:type="spellEnd"/>
      <w:r w:rsidRPr="009921C0">
        <w:rPr>
          <w:rFonts w:ascii="Calibri" w:eastAsia="Calibri" w:hAnsi="Calibri" w:cs="Calibri"/>
          <w:sz w:val="24"/>
          <w:szCs w:val="24"/>
        </w:rPr>
        <w:t xml:space="preserve"> en contar con información sobre la salud de forma oportuna, de alta calidad y con confiabilidad”. “La banda ancha es una de las tecnologías fundamentales para proveer servicios continuos de comunicación, transmisión de contenidos, intercambio de conocimiento y diseminación de la información para facilitar el logro de los Objetivos del Desarrollo Sustentable, en particular el SDG3 que pretende ‘asegurar vidas saludables y promover el bienestar para todas las personas de todas las edades’. El SDG3 es un objetivo fundamental para que todos los seres humanos tengan el derecho a la información y servicios de salud”. </w:t>
      </w:r>
    </w:p>
    <w:p w14:paraId="00000006" w14:textId="77777777" w:rsidR="009A79A8" w:rsidRPr="0099419D" w:rsidRDefault="009A79A8" w:rsidP="0099419D">
      <w:pPr>
        <w:jc w:val="both"/>
        <w:rPr>
          <w:rFonts w:ascii="Calibri" w:eastAsia="Calibri" w:hAnsi="Calibri" w:cs="Calibri"/>
          <w:sz w:val="24"/>
          <w:szCs w:val="24"/>
        </w:rPr>
      </w:pPr>
    </w:p>
    <w:p w14:paraId="16534AB5" w14:textId="00178AB1" w:rsidR="00190B99" w:rsidRPr="0099419D" w:rsidRDefault="00D223C8" w:rsidP="0099419D">
      <w:pPr>
        <w:numPr>
          <w:ilvl w:val="0"/>
          <w:numId w:val="1"/>
        </w:numPr>
        <w:jc w:val="both"/>
        <w:rPr>
          <w:rFonts w:ascii="Calibri" w:eastAsia="Calibri" w:hAnsi="Calibri" w:cs="Calibri"/>
          <w:sz w:val="24"/>
          <w:szCs w:val="24"/>
        </w:rPr>
      </w:pPr>
      <w:r w:rsidRPr="0099419D">
        <w:rPr>
          <w:rFonts w:ascii="Calibri" w:eastAsia="Calibri" w:hAnsi="Calibri" w:cs="Calibri"/>
          <w:sz w:val="24"/>
          <w:szCs w:val="24"/>
        </w:rPr>
        <w:t xml:space="preserve">Es evidente que el papel que ha jugado y jugará el acceso a </w:t>
      </w:r>
      <w:r w:rsidR="004849AF" w:rsidRPr="0099419D">
        <w:rPr>
          <w:rFonts w:ascii="Calibri" w:eastAsia="Calibri" w:hAnsi="Calibri" w:cs="Calibri"/>
          <w:sz w:val="24"/>
          <w:szCs w:val="24"/>
        </w:rPr>
        <w:t>i</w:t>
      </w:r>
      <w:r w:rsidRPr="0099419D">
        <w:rPr>
          <w:rFonts w:ascii="Calibri" w:eastAsia="Calibri" w:hAnsi="Calibri" w:cs="Calibri"/>
          <w:sz w:val="24"/>
          <w:szCs w:val="24"/>
        </w:rPr>
        <w:t>nternet, y que es un recurso crítico en la mitigación de los efectos de la pandemia, de la educación y del trabajo, las cuales en conjunto han transformado irreversiblemente a la sociedad y a la humanidad. De igual forma, la emergencia sanitaria ha mostrado debilidades tecnológicas que eran conocidas y estaban siendo atendidas tales como las que se indican en el Plan Nacional de Desarrollo 2019-2024</w:t>
      </w:r>
      <w:r w:rsidR="00E67ECC" w:rsidRPr="0099419D">
        <w:rPr>
          <w:rFonts w:ascii="Calibri" w:eastAsia="Calibri" w:hAnsi="Calibri" w:cs="Calibri"/>
          <w:sz w:val="24"/>
          <w:szCs w:val="24"/>
          <w:lang w:val="es-ES"/>
        </w:rPr>
        <w:t xml:space="preserve"> [5]</w:t>
      </w:r>
      <w:r w:rsidRPr="0099419D">
        <w:rPr>
          <w:rFonts w:ascii="Calibri" w:eastAsia="Calibri" w:hAnsi="Calibri" w:cs="Calibri"/>
          <w:sz w:val="24"/>
          <w:szCs w:val="24"/>
        </w:rPr>
        <w:t xml:space="preserve">. </w:t>
      </w:r>
      <w:r w:rsidR="002A59A1" w:rsidRPr="0099419D">
        <w:rPr>
          <w:rFonts w:ascii="Calibri" w:eastAsia="Calibri" w:hAnsi="Calibri" w:cs="Calibri"/>
          <w:sz w:val="24"/>
          <w:szCs w:val="24"/>
        </w:rPr>
        <w:t xml:space="preserve">Dadas las dificultades de costo y tiempo e incluso factibilidad técnica, es difícil llevar banda ancha en el corto plazo a todo el país; sin embargo, estas dificultades pueden soslayarse con conexiones de baja velocidad y ancho de banda limitado para contar con acceso a información que puede dar bienestar a los habitantes de una zona remota en el ámbito rural o </w:t>
      </w:r>
      <w:proofErr w:type="spellStart"/>
      <w:r w:rsidR="002A59A1" w:rsidRPr="0099419D">
        <w:rPr>
          <w:rFonts w:ascii="Calibri" w:eastAsia="Calibri" w:hAnsi="Calibri" w:cs="Calibri"/>
          <w:sz w:val="24"/>
          <w:szCs w:val="24"/>
        </w:rPr>
        <w:t>semirura</w:t>
      </w:r>
      <w:proofErr w:type="spellEnd"/>
      <w:r w:rsidR="00190B99" w:rsidRPr="0099419D">
        <w:rPr>
          <w:rFonts w:ascii="Calibri" w:eastAsia="Calibri" w:hAnsi="Calibri" w:cs="Calibri"/>
          <w:sz w:val="24"/>
          <w:szCs w:val="24"/>
          <w:lang w:val="es-ES"/>
        </w:rPr>
        <w:t>l.</w:t>
      </w:r>
    </w:p>
    <w:p w14:paraId="00000008" w14:textId="77777777" w:rsidR="009A79A8" w:rsidRPr="0099419D" w:rsidRDefault="009A79A8" w:rsidP="0099419D">
      <w:pPr>
        <w:ind w:left="720"/>
        <w:jc w:val="both"/>
        <w:rPr>
          <w:rFonts w:ascii="Calibri" w:eastAsia="Calibri" w:hAnsi="Calibri" w:cs="Calibri"/>
          <w:sz w:val="24"/>
          <w:szCs w:val="24"/>
        </w:rPr>
      </w:pPr>
    </w:p>
    <w:p w14:paraId="0000000A" w14:textId="2BDE2FBB" w:rsidR="009A79A8" w:rsidRDefault="00D223C8" w:rsidP="0099419D">
      <w:pPr>
        <w:numPr>
          <w:ilvl w:val="0"/>
          <w:numId w:val="1"/>
        </w:numPr>
        <w:jc w:val="both"/>
        <w:rPr>
          <w:rFonts w:ascii="Calibri" w:eastAsia="Calibri" w:hAnsi="Calibri" w:cs="Calibri"/>
          <w:sz w:val="24"/>
          <w:szCs w:val="24"/>
        </w:rPr>
      </w:pPr>
      <w:r w:rsidRPr="0099419D">
        <w:rPr>
          <w:rFonts w:ascii="Calibri" w:eastAsia="Calibri" w:hAnsi="Calibri" w:cs="Calibri"/>
          <w:sz w:val="24"/>
          <w:szCs w:val="24"/>
        </w:rPr>
        <w:t>En las recomendaciones</w:t>
      </w:r>
      <w:r w:rsidR="00720990" w:rsidRPr="0099419D">
        <w:rPr>
          <w:rStyle w:val="Refdenotaalpie"/>
          <w:rFonts w:ascii="Calibri" w:eastAsia="Calibri" w:hAnsi="Calibri" w:cs="Calibri"/>
          <w:sz w:val="24"/>
          <w:szCs w:val="24"/>
        </w:rPr>
        <w:footnoteReference w:id="1"/>
      </w:r>
      <w:r w:rsidRPr="0099419D">
        <w:rPr>
          <w:rFonts w:ascii="Calibri" w:eastAsia="Calibri" w:hAnsi="Calibri" w:cs="Calibri"/>
          <w:sz w:val="24"/>
          <w:szCs w:val="24"/>
        </w:rPr>
        <w:t xml:space="preserve"> </w:t>
      </w:r>
      <w:r w:rsidR="00720990" w:rsidRPr="0099419D">
        <w:rPr>
          <w:rFonts w:ascii="Calibri" w:eastAsia="Calibri" w:hAnsi="Calibri" w:cs="Calibri"/>
          <w:sz w:val="24"/>
          <w:szCs w:val="24"/>
          <w:lang w:val="es-ES"/>
        </w:rPr>
        <w:t xml:space="preserve">previamente </w:t>
      </w:r>
      <w:r w:rsidRPr="0099419D">
        <w:rPr>
          <w:rFonts w:ascii="Calibri" w:eastAsia="Calibri" w:hAnsi="Calibri" w:cs="Calibri"/>
          <w:sz w:val="24"/>
          <w:szCs w:val="24"/>
        </w:rPr>
        <w:t xml:space="preserve">emitidas por el Consejo Consultivo del Instituto Federal de Telecomunicaciones se hace notar la importancia del servicio universal, del acceso universal y de la inclusión digital. Sin embargo, la situación actual y el escenario a mediano y largo plazo requiere que el marco regulatorio sea adaptado a las necesidades sociales, de donde emana la rectoría del Estado </w:t>
      </w:r>
      <w:r w:rsidR="004849AF" w:rsidRPr="0099419D">
        <w:rPr>
          <w:rFonts w:ascii="Calibri" w:eastAsia="Calibri" w:hAnsi="Calibri" w:cs="Calibri"/>
          <w:sz w:val="24"/>
          <w:szCs w:val="24"/>
        </w:rPr>
        <w:t>m</w:t>
      </w:r>
      <w:r w:rsidRPr="0099419D">
        <w:rPr>
          <w:rFonts w:ascii="Calibri" w:eastAsia="Calibri" w:hAnsi="Calibri" w:cs="Calibri"/>
          <w:sz w:val="24"/>
          <w:szCs w:val="24"/>
        </w:rPr>
        <w:t xml:space="preserve">exicano en la administración las telecomunicaciones y la radiodifusión como servicios públicos de interés general para proteger la seguridad y soberanía de los </w:t>
      </w:r>
      <w:r w:rsidR="004849AF" w:rsidRPr="0099419D">
        <w:rPr>
          <w:rFonts w:ascii="Calibri" w:eastAsia="Calibri" w:hAnsi="Calibri" w:cs="Calibri"/>
          <w:sz w:val="24"/>
          <w:szCs w:val="24"/>
        </w:rPr>
        <w:t>m</w:t>
      </w:r>
      <w:r w:rsidRPr="0099419D">
        <w:rPr>
          <w:rFonts w:ascii="Calibri" w:eastAsia="Calibri" w:hAnsi="Calibri" w:cs="Calibri"/>
          <w:sz w:val="24"/>
          <w:szCs w:val="24"/>
        </w:rPr>
        <w:t>exicanos (Art.2, LFTR)</w:t>
      </w:r>
      <w:r w:rsidR="00E67ECC" w:rsidRPr="0099419D">
        <w:rPr>
          <w:rFonts w:ascii="Calibri" w:eastAsia="Calibri" w:hAnsi="Calibri" w:cs="Calibri"/>
          <w:sz w:val="24"/>
          <w:szCs w:val="24"/>
          <w:lang w:val="es-ES"/>
        </w:rPr>
        <w:t xml:space="preserve"> [6]</w:t>
      </w:r>
      <w:r w:rsidR="009921C0">
        <w:rPr>
          <w:rFonts w:ascii="Calibri" w:eastAsia="Calibri" w:hAnsi="Calibri" w:cs="Calibri"/>
          <w:sz w:val="24"/>
          <w:szCs w:val="24"/>
        </w:rPr>
        <w:t>.</w:t>
      </w:r>
    </w:p>
    <w:p w14:paraId="32284739" w14:textId="77777777" w:rsidR="009921C0" w:rsidRDefault="009921C0" w:rsidP="009921C0">
      <w:pPr>
        <w:pStyle w:val="Prrafodelista"/>
        <w:rPr>
          <w:rFonts w:ascii="Calibri" w:eastAsia="Calibri" w:hAnsi="Calibri" w:cs="Calibri"/>
          <w:sz w:val="24"/>
          <w:szCs w:val="24"/>
        </w:rPr>
      </w:pPr>
    </w:p>
    <w:p w14:paraId="35C61C6D" w14:textId="41010889" w:rsidR="009921C0" w:rsidRDefault="009921C0" w:rsidP="0099419D">
      <w:pPr>
        <w:jc w:val="both"/>
        <w:rPr>
          <w:rFonts w:ascii="Calibri" w:eastAsia="Calibri" w:hAnsi="Calibri" w:cs="Calibri"/>
          <w:sz w:val="24"/>
          <w:szCs w:val="24"/>
        </w:rPr>
      </w:pPr>
    </w:p>
    <w:p w14:paraId="5FB14C01" w14:textId="77777777" w:rsidR="00C7391E" w:rsidRDefault="00C7391E" w:rsidP="0099419D">
      <w:pPr>
        <w:jc w:val="both"/>
        <w:rPr>
          <w:rFonts w:ascii="Calibri" w:eastAsia="Calibri" w:hAnsi="Calibri" w:cs="Calibri"/>
          <w:sz w:val="24"/>
          <w:szCs w:val="24"/>
        </w:rPr>
      </w:pPr>
    </w:p>
    <w:p w14:paraId="584E4D23" w14:textId="77777777" w:rsidR="009921C0" w:rsidRPr="0099419D" w:rsidRDefault="009921C0" w:rsidP="0099419D">
      <w:pPr>
        <w:jc w:val="both"/>
        <w:rPr>
          <w:rFonts w:ascii="Calibri" w:eastAsia="Calibri" w:hAnsi="Calibri" w:cs="Calibri"/>
          <w:sz w:val="24"/>
          <w:szCs w:val="24"/>
        </w:rPr>
      </w:pPr>
    </w:p>
    <w:p w14:paraId="0000000B" w14:textId="60FC6A6E" w:rsidR="009A79A8" w:rsidRPr="009921C0" w:rsidRDefault="00D223C8" w:rsidP="009921C0">
      <w:pPr>
        <w:numPr>
          <w:ilvl w:val="0"/>
          <w:numId w:val="1"/>
        </w:numPr>
        <w:jc w:val="both"/>
        <w:rPr>
          <w:rFonts w:ascii="Calibri" w:eastAsia="Calibri" w:hAnsi="Calibri" w:cs="Calibri"/>
          <w:sz w:val="24"/>
          <w:szCs w:val="24"/>
        </w:rPr>
      </w:pPr>
      <w:r w:rsidRPr="0099419D">
        <w:rPr>
          <w:rFonts w:ascii="Calibri" w:eastAsia="Calibri" w:hAnsi="Calibri" w:cs="Calibri"/>
          <w:sz w:val="24"/>
          <w:szCs w:val="24"/>
        </w:rPr>
        <w:t xml:space="preserve">La reforma constitucional de las telecomunicaciones también deja ver el papel fundamental de las telecomunicaciones y la radiodifusión en el cumplimiento de las obligaciones constitucionales del Gobierno Mexicano, como son el derecho a </w:t>
      </w:r>
      <w:r w:rsidRPr="009921C0">
        <w:rPr>
          <w:rFonts w:ascii="Calibri" w:eastAsia="Calibri" w:hAnsi="Calibri" w:cs="Calibri"/>
          <w:sz w:val="24"/>
          <w:szCs w:val="24"/>
        </w:rPr>
        <w:t>la educación, el derecho a la salud, el derecho a la comunicación y el derecho a la información entre otros, que</w:t>
      </w:r>
      <w:r w:rsidR="004849AF" w:rsidRPr="009921C0">
        <w:rPr>
          <w:rFonts w:ascii="Calibri" w:eastAsia="Calibri" w:hAnsi="Calibri" w:cs="Calibri"/>
          <w:sz w:val="24"/>
          <w:szCs w:val="24"/>
        </w:rPr>
        <w:t>,</w:t>
      </w:r>
      <w:r w:rsidRPr="009921C0">
        <w:rPr>
          <w:rFonts w:ascii="Calibri" w:eastAsia="Calibri" w:hAnsi="Calibri" w:cs="Calibri"/>
          <w:sz w:val="24"/>
          <w:szCs w:val="24"/>
        </w:rPr>
        <w:t xml:space="preserve"> como se ha hecho evidente</w:t>
      </w:r>
      <w:r w:rsidR="004849AF" w:rsidRPr="009921C0">
        <w:rPr>
          <w:rFonts w:ascii="Calibri" w:eastAsia="Calibri" w:hAnsi="Calibri" w:cs="Calibri"/>
          <w:sz w:val="24"/>
          <w:szCs w:val="24"/>
        </w:rPr>
        <w:t>,</w:t>
      </w:r>
      <w:r w:rsidRPr="009921C0">
        <w:rPr>
          <w:rFonts w:ascii="Calibri" w:eastAsia="Calibri" w:hAnsi="Calibri" w:cs="Calibri"/>
          <w:sz w:val="24"/>
          <w:szCs w:val="24"/>
        </w:rPr>
        <w:t xml:space="preserve"> son fundamentales para la atención del desastre y emergencia sanitaria originada en la propagación pandémica y epidémica de la enfermedad CoVID-19.</w:t>
      </w:r>
    </w:p>
    <w:p w14:paraId="0000000C" w14:textId="77777777" w:rsidR="009A79A8" w:rsidRPr="0099419D" w:rsidRDefault="009A79A8" w:rsidP="0099419D">
      <w:pPr>
        <w:jc w:val="both"/>
        <w:rPr>
          <w:rFonts w:ascii="Calibri" w:eastAsia="Calibri" w:hAnsi="Calibri" w:cs="Calibri"/>
          <w:sz w:val="24"/>
          <w:szCs w:val="24"/>
        </w:rPr>
      </w:pPr>
    </w:p>
    <w:p w14:paraId="0000000D" w14:textId="64EEB63F" w:rsidR="009A79A8" w:rsidRPr="0099419D" w:rsidRDefault="00D223C8" w:rsidP="0099419D">
      <w:pPr>
        <w:numPr>
          <w:ilvl w:val="0"/>
          <w:numId w:val="1"/>
        </w:numPr>
        <w:jc w:val="both"/>
        <w:rPr>
          <w:rFonts w:ascii="Calibri" w:eastAsia="Calibri" w:hAnsi="Calibri" w:cs="Calibri"/>
          <w:sz w:val="24"/>
          <w:szCs w:val="24"/>
        </w:rPr>
      </w:pPr>
      <w:r w:rsidRPr="0099419D">
        <w:rPr>
          <w:rFonts w:ascii="Calibri" w:eastAsia="Calibri" w:hAnsi="Calibri" w:cs="Calibri"/>
          <w:sz w:val="24"/>
          <w:szCs w:val="24"/>
        </w:rPr>
        <w:t xml:space="preserve">Desafortunadamente, el estado de conectividad actual muestra que aún existen retos significativos para alcanzar proveer el servicio universal y contar con acceso universal a </w:t>
      </w:r>
      <w:r w:rsidR="004849AF" w:rsidRPr="0099419D">
        <w:rPr>
          <w:rFonts w:ascii="Calibri" w:eastAsia="Calibri" w:hAnsi="Calibri" w:cs="Calibri"/>
          <w:sz w:val="24"/>
          <w:szCs w:val="24"/>
        </w:rPr>
        <w:t>i</w:t>
      </w:r>
      <w:r w:rsidRPr="0099419D">
        <w:rPr>
          <w:rFonts w:ascii="Calibri" w:eastAsia="Calibri" w:hAnsi="Calibri" w:cs="Calibri"/>
          <w:sz w:val="24"/>
          <w:szCs w:val="24"/>
        </w:rPr>
        <w:t xml:space="preserve">nternet. Basta recordar </w:t>
      </w:r>
      <w:r w:rsidR="00A74C67" w:rsidRPr="0099419D">
        <w:rPr>
          <w:rFonts w:ascii="Calibri" w:eastAsia="Calibri" w:hAnsi="Calibri" w:cs="Calibri"/>
          <w:sz w:val="24"/>
          <w:szCs w:val="24"/>
        </w:rPr>
        <w:t>que,</w:t>
      </w:r>
      <w:r w:rsidRPr="0099419D">
        <w:rPr>
          <w:rFonts w:ascii="Calibri" w:eastAsia="Calibri" w:hAnsi="Calibri" w:cs="Calibri"/>
          <w:sz w:val="24"/>
          <w:szCs w:val="24"/>
        </w:rPr>
        <w:t xml:space="preserve"> de acuerdo con el programa de cobertura social de la Secretaría de Comunicaciones y Transportes, de 192,247 localidades en México, el 51.95% no tiene acceso a 3G o 4G, el 97.67% no tiene acceso a </w:t>
      </w:r>
      <w:r w:rsidR="0017125E">
        <w:rPr>
          <w:rFonts w:ascii="Calibri" w:eastAsia="Calibri" w:hAnsi="Calibri" w:cs="Calibri"/>
          <w:sz w:val="24"/>
          <w:szCs w:val="24"/>
        </w:rPr>
        <w:t>i</w:t>
      </w:r>
      <w:r w:rsidRPr="0099419D">
        <w:rPr>
          <w:rFonts w:ascii="Calibri" w:eastAsia="Calibri" w:hAnsi="Calibri" w:cs="Calibri"/>
          <w:sz w:val="24"/>
          <w:szCs w:val="24"/>
        </w:rPr>
        <w:t xml:space="preserve">nternet </w:t>
      </w:r>
      <w:r w:rsidR="0017125E">
        <w:rPr>
          <w:rFonts w:ascii="Calibri" w:eastAsia="Calibri" w:hAnsi="Calibri" w:cs="Calibri"/>
          <w:sz w:val="24"/>
          <w:szCs w:val="24"/>
        </w:rPr>
        <w:t>f</w:t>
      </w:r>
      <w:r w:rsidRPr="0099419D">
        <w:rPr>
          <w:rFonts w:ascii="Calibri" w:eastAsia="Calibri" w:hAnsi="Calibri" w:cs="Calibri"/>
          <w:sz w:val="24"/>
          <w:szCs w:val="24"/>
        </w:rPr>
        <w:t>ijo y el 51.8% de las localidades se reportan sin ninguna cobertura</w:t>
      </w:r>
      <w:r w:rsidR="00E67ECC" w:rsidRPr="0099419D">
        <w:rPr>
          <w:rFonts w:ascii="Calibri" w:eastAsia="Calibri" w:hAnsi="Calibri" w:cs="Calibri"/>
          <w:sz w:val="24"/>
          <w:szCs w:val="24"/>
          <w:lang w:val="es-ES"/>
        </w:rPr>
        <w:t xml:space="preserve"> [7]</w:t>
      </w:r>
      <w:r w:rsidRPr="0099419D">
        <w:rPr>
          <w:rFonts w:ascii="Calibri" w:eastAsia="Calibri" w:hAnsi="Calibri" w:cs="Calibri"/>
          <w:sz w:val="24"/>
          <w:szCs w:val="24"/>
        </w:rPr>
        <w:t xml:space="preserve">. De acuerdo con ese programa, el estimado de población sin ningún tipo de acceso es al menos de 11.58 millones de personas. Atinadamente, el IFT ha asignado 700 MHz para el servicio de IMT (International Mobile </w:t>
      </w:r>
      <w:proofErr w:type="spellStart"/>
      <w:r w:rsidRPr="0099419D">
        <w:rPr>
          <w:rFonts w:ascii="Calibri" w:eastAsia="Calibri" w:hAnsi="Calibri" w:cs="Calibri"/>
          <w:sz w:val="24"/>
          <w:szCs w:val="24"/>
        </w:rPr>
        <w:t>Telecommunications</w:t>
      </w:r>
      <w:proofErr w:type="spellEnd"/>
      <w:r w:rsidRPr="0099419D">
        <w:rPr>
          <w:rFonts w:ascii="Calibri" w:eastAsia="Calibri" w:hAnsi="Calibri" w:cs="Calibri"/>
          <w:sz w:val="24"/>
          <w:szCs w:val="24"/>
        </w:rPr>
        <w:t>) y tiene considerado crecer hasta 1</w:t>
      </w:r>
      <w:r w:rsidR="0017125E">
        <w:rPr>
          <w:rFonts w:ascii="Calibri" w:eastAsia="Calibri" w:hAnsi="Calibri" w:cs="Calibri"/>
          <w:sz w:val="24"/>
          <w:szCs w:val="24"/>
        </w:rPr>
        <w:t>,</w:t>
      </w:r>
      <w:r w:rsidRPr="0099419D">
        <w:rPr>
          <w:rFonts w:ascii="Calibri" w:eastAsia="Calibri" w:hAnsi="Calibri" w:cs="Calibri"/>
          <w:sz w:val="24"/>
          <w:szCs w:val="24"/>
        </w:rPr>
        <w:t>171 MHz para este servicio</w:t>
      </w:r>
      <w:r w:rsidR="000D675A" w:rsidRPr="0099419D">
        <w:rPr>
          <w:rFonts w:ascii="Calibri" w:eastAsia="Calibri" w:hAnsi="Calibri" w:cs="Calibri"/>
          <w:sz w:val="24"/>
          <w:szCs w:val="24"/>
          <w:lang w:val="es-ES"/>
        </w:rPr>
        <w:t xml:space="preserve"> [8]</w:t>
      </w:r>
      <w:r w:rsidR="0017125E">
        <w:rPr>
          <w:rFonts w:ascii="Calibri" w:eastAsia="Calibri" w:hAnsi="Calibri" w:cs="Calibri"/>
          <w:sz w:val="24"/>
          <w:szCs w:val="24"/>
          <w:lang w:val="es-ES"/>
        </w:rPr>
        <w:t>. S</w:t>
      </w:r>
      <w:r w:rsidRPr="0099419D">
        <w:rPr>
          <w:rFonts w:ascii="Calibri" w:eastAsia="Calibri" w:hAnsi="Calibri" w:cs="Calibri"/>
          <w:sz w:val="24"/>
          <w:szCs w:val="24"/>
        </w:rPr>
        <w:t>in embargo</w:t>
      </w:r>
      <w:r w:rsidR="004849AF" w:rsidRPr="0099419D">
        <w:rPr>
          <w:rFonts w:ascii="Calibri" w:eastAsia="Calibri" w:hAnsi="Calibri" w:cs="Calibri"/>
          <w:sz w:val="24"/>
          <w:szCs w:val="24"/>
        </w:rPr>
        <w:t>,</w:t>
      </w:r>
      <w:r w:rsidRPr="0099419D">
        <w:rPr>
          <w:rFonts w:ascii="Calibri" w:eastAsia="Calibri" w:hAnsi="Calibri" w:cs="Calibri"/>
          <w:sz w:val="24"/>
          <w:szCs w:val="24"/>
        </w:rPr>
        <w:t xml:space="preserve"> el despliegue de 5G no parece contribuir a reducir la brecha de acceso existente en las localidades rurales o </w:t>
      </w:r>
      <w:proofErr w:type="spellStart"/>
      <w:r w:rsidRPr="0099419D">
        <w:rPr>
          <w:rFonts w:ascii="Calibri" w:eastAsia="Calibri" w:hAnsi="Calibri" w:cs="Calibri"/>
          <w:sz w:val="24"/>
          <w:szCs w:val="24"/>
        </w:rPr>
        <w:t>semirurales</w:t>
      </w:r>
      <w:proofErr w:type="spellEnd"/>
      <w:r w:rsidR="004849AF" w:rsidRPr="0099419D">
        <w:rPr>
          <w:rFonts w:ascii="Calibri" w:eastAsia="Calibri" w:hAnsi="Calibri" w:cs="Calibri"/>
          <w:sz w:val="24"/>
          <w:szCs w:val="24"/>
        </w:rPr>
        <w:t xml:space="preserve">, en </w:t>
      </w:r>
      <w:r w:rsidRPr="0099419D">
        <w:rPr>
          <w:rFonts w:ascii="Calibri" w:eastAsia="Calibri" w:hAnsi="Calibri" w:cs="Calibri"/>
          <w:sz w:val="24"/>
          <w:szCs w:val="24"/>
        </w:rPr>
        <w:t xml:space="preserve">parte por el bajo interés comercial de los proveedores de servicios de telecomunicaciones </w:t>
      </w:r>
      <w:r w:rsidR="004849AF" w:rsidRPr="0099419D">
        <w:rPr>
          <w:rFonts w:ascii="Calibri" w:eastAsia="Calibri" w:hAnsi="Calibri" w:cs="Calibri"/>
          <w:sz w:val="24"/>
          <w:szCs w:val="24"/>
        </w:rPr>
        <w:t xml:space="preserve">y </w:t>
      </w:r>
      <w:r w:rsidRPr="0099419D">
        <w:rPr>
          <w:rFonts w:ascii="Calibri" w:eastAsia="Calibri" w:hAnsi="Calibri" w:cs="Calibri"/>
          <w:sz w:val="24"/>
          <w:szCs w:val="24"/>
        </w:rPr>
        <w:t xml:space="preserve">por </w:t>
      </w:r>
      <w:r w:rsidR="004849AF" w:rsidRPr="0099419D">
        <w:rPr>
          <w:rFonts w:ascii="Calibri" w:eastAsia="Calibri" w:hAnsi="Calibri" w:cs="Calibri"/>
          <w:sz w:val="24"/>
          <w:szCs w:val="24"/>
        </w:rPr>
        <w:t xml:space="preserve">otro lado </w:t>
      </w:r>
      <w:r w:rsidRPr="0099419D">
        <w:rPr>
          <w:rFonts w:ascii="Calibri" w:eastAsia="Calibri" w:hAnsi="Calibri" w:cs="Calibri"/>
          <w:sz w:val="24"/>
          <w:szCs w:val="24"/>
        </w:rPr>
        <w:t>el costo de los servicios y equipos para acceder a esta tecnología. De acuerdo con el Organismo Promotor de Inversiones en Telecomunicaciones (PROMTEL), apenas el 54% de los hogares en México cuentan con acceso a la banda ancha</w:t>
      </w:r>
      <w:r w:rsidR="000D675A" w:rsidRPr="0099419D">
        <w:rPr>
          <w:rFonts w:ascii="Calibri" w:eastAsia="Calibri" w:hAnsi="Calibri" w:cs="Calibri"/>
          <w:sz w:val="24"/>
          <w:szCs w:val="24"/>
          <w:lang w:val="es-ES"/>
        </w:rPr>
        <w:t xml:space="preserve"> [9, 10]</w:t>
      </w:r>
      <w:r w:rsidRPr="0099419D">
        <w:rPr>
          <w:rFonts w:ascii="Calibri" w:eastAsia="Calibri" w:hAnsi="Calibri" w:cs="Calibri"/>
          <w:sz w:val="24"/>
          <w:szCs w:val="24"/>
        </w:rPr>
        <w:t xml:space="preserve">. Pese a que la </w:t>
      </w:r>
      <w:r w:rsidR="00A74C67" w:rsidRPr="0099419D">
        <w:rPr>
          <w:rFonts w:ascii="Calibri" w:eastAsia="Calibri" w:hAnsi="Calibri" w:cs="Calibri"/>
          <w:sz w:val="24"/>
          <w:szCs w:val="24"/>
        </w:rPr>
        <w:t>Red Compartida</w:t>
      </w:r>
      <w:r w:rsidRPr="0099419D">
        <w:rPr>
          <w:rFonts w:ascii="Calibri" w:eastAsia="Calibri" w:hAnsi="Calibri" w:cs="Calibri"/>
          <w:sz w:val="24"/>
          <w:szCs w:val="24"/>
        </w:rPr>
        <w:t xml:space="preserve"> se “concibió para hacer frente a</w:t>
      </w:r>
      <w:r w:rsidR="0017125E">
        <w:rPr>
          <w:rFonts w:ascii="Calibri" w:eastAsia="Calibri" w:hAnsi="Calibri" w:cs="Calibri"/>
          <w:sz w:val="24"/>
          <w:szCs w:val="24"/>
        </w:rPr>
        <w:t xml:space="preserve">l </w:t>
      </w:r>
      <w:r w:rsidRPr="0099419D">
        <w:rPr>
          <w:rFonts w:ascii="Calibri" w:eastAsia="Calibri" w:hAnsi="Calibri" w:cs="Calibri"/>
          <w:sz w:val="24"/>
          <w:szCs w:val="24"/>
        </w:rPr>
        <w:t>insuficiente acceso a servicios de telecomunicaciones</w:t>
      </w:r>
      <w:r w:rsidR="0017125E">
        <w:rPr>
          <w:rFonts w:ascii="Calibri" w:eastAsia="Calibri" w:hAnsi="Calibri" w:cs="Calibri"/>
          <w:sz w:val="24"/>
          <w:szCs w:val="24"/>
        </w:rPr>
        <w:t xml:space="preserve"> y el</w:t>
      </w:r>
      <w:r w:rsidRPr="0099419D">
        <w:rPr>
          <w:rFonts w:ascii="Calibri" w:eastAsia="Calibri" w:hAnsi="Calibri" w:cs="Calibri"/>
          <w:sz w:val="24"/>
          <w:szCs w:val="24"/>
        </w:rPr>
        <w:t xml:space="preserve"> insuficiente transporte de voz y datos</w:t>
      </w:r>
      <w:r w:rsidR="004849AF" w:rsidRPr="0099419D">
        <w:rPr>
          <w:rFonts w:ascii="Calibri" w:eastAsia="Calibri" w:hAnsi="Calibri" w:cs="Calibri"/>
          <w:sz w:val="24"/>
          <w:szCs w:val="24"/>
        </w:rPr>
        <w:t>, su</w:t>
      </w:r>
      <w:r w:rsidRPr="0099419D">
        <w:rPr>
          <w:rFonts w:ascii="Calibri" w:eastAsia="Calibri" w:hAnsi="Calibri" w:cs="Calibri"/>
          <w:sz w:val="24"/>
          <w:szCs w:val="24"/>
        </w:rPr>
        <w:t xml:space="preserve"> cobertura y despliegue no ha alcanzado el impacto esperado a partir de la firma del contrato de Asociación Público Privada con </w:t>
      </w:r>
      <w:proofErr w:type="spellStart"/>
      <w:r w:rsidRPr="0099419D">
        <w:rPr>
          <w:rFonts w:ascii="Calibri" w:eastAsia="Calibri" w:hAnsi="Calibri" w:cs="Calibri"/>
          <w:sz w:val="24"/>
          <w:szCs w:val="24"/>
        </w:rPr>
        <w:t>Altán</w:t>
      </w:r>
      <w:proofErr w:type="spellEnd"/>
      <w:r w:rsidRPr="0099419D">
        <w:rPr>
          <w:rFonts w:ascii="Calibri" w:eastAsia="Calibri" w:hAnsi="Calibri" w:cs="Calibri"/>
          <w:sz w:val="24"/>
          <w:szCs w:val="24"/>
        </w:rPr>
        <w:t xml:space="preserve"> Redes. </w:t>
      </w:r>
    </w:p>
    <w:p w14:paraId="0000000E" w14:textId="77777777" w:rsidR="009A79A8" w:rsidRPr="0099419D" w:rsidRDefault="009A79A8" w:rsidP="0099419D">
      <w:pPr>
        <w:jc w:val="both"/>
        <w:rPr>
          <w:rFonts w:ascii="Calibri" w:eastAsia="Calibri" w:hAnsi="Calibri" w:cs="Calibri"/>
          <w:sz w:val="24"/>
          <w:szCs w:val="24"/>
        </w:rPr>
      </w:pPr>
    </w:p>
    <w:p w14:paraId="2BE99481" w14:textId="6EDB39DB" w:rsidR="00F83FF8" w:rsidRDefault="00D223C8" w:rsidP="009921C0">
      <w:pPr>
        <w:numPr>
          <w:ilvl w:val="0"/>
          <w:numId w:val="1"/>
        </w:numPr>
        <w:jc w:val="both"/>
        <w:rPr>
          <w:rFonts w:ascii="Calibri" w:eastAsia="Calibri" w:hAnsi="Calibri" w:cs="Calibri"/>
          <w:sz w:val="24"/>
          <w:szCs w:val="24"/>
        </w:rPr>
      </w:pPr>
      <w:r w:rsidRPr="0099419D">
        <w:rPr>
          <w:rFonts w:ascii="Calibri" w:eastAsia="Calibri" w:hAnsi="Calibri" w:cs="Calibri"/>
          <w:sz w:val="24"/>
          <w:szCs w:val="24"/>
        </w:rPr>
        <w:t xml:space="preserve">Diversos estudios </w:t>
      </w:r>
      <w:r w:rsidR="000D675A" w:rsidRPr="0099419D">
        <w:rPr>
          <w:rFonts w:ascii="Calibri" w:eastAsia="Calibri" w:hAnsi="Calibri" w:cs="Calibri"/>
          <w:sz w:val="24"/>
          <w:szCs w:val="24"/>
          <w:lang w:val="es-ES"/>
        </w:rPr>
        <w:t>[11</w:t>
      </w:r>
      <w:r w:rsidR="00A74C67" w:rsidRPr="0099419D">
        <w:rPr>
          <w:rFonts w:ascii="Calibri" w:eastAsia="Calibri" w:hAnsi="Calibri" w:cs="Calibri"/>
          <w:sz w:val="24"/>
          <w:szCs w:val="24"/>
          <w:lang w:val="es-ES"/>
        </w:rPr>
        <w:t>] [</w:t>
      </w:r>
      <w:r w:rsidR="000D675A" w:rsidRPr="0099419D">
        <w:rPr>
          <w:rFonts w:ascii="Calibri" w:eastAsia="Calibri" w:hAnsi="Calibri" w:cs="Calibri"/>
          <w:sz w:val="24"/>
          <w:szCs w:val="24"/>
          <w:lang w:val="es-ES"/>
        </w:rPr>
        <w:t>12]</w:t>
      </w:r>
      <w:r w:rsidRPr="0099419D">
        <w:rPr>
          <w:rFonts w:ascii="Calibri" w:eastAsia="Calibri" w:hAnsi="Calibri" w:cs="Calibri"/>
          <w:sz w:val="24"/>
          <w:szCs w:val="24"/>
        </w:rPr>
        <w:t xml:space="preserve"> muestran que la conectividad en zonas alejadas de</w:t>
      </w:r>
      <w:r w:rsidR="000D675A" w:rsidRPr="0099419D">
        <w:rPr>
          <w:rFonts w:ascii="Calibri" w:eastAsia="Calibri" w:hAnsi="Calibri" w:cs="Calibri"/>
          <w:sz w:val="24"/>
          <w:szCs w:val="24"/>
          <w:lang w:val="es-ES"/>
        </w:rPr>
        <w:t xml:space="preserve"> las redes de transporte de datos </w:t>
      </w:r>
      <w:r w:rsidR="0017125E">
        <w:rPr>
          <w:rFonts w:ascii="Calibri" w:eastAsia="Calibri" w:hAnsi="Calibri" w:cs="Calibri"/>
          <w:sz w:val="24"/>
          <w:szCs w:val="24"/>
          <w:lang w:val="es-ES"/>
        </w:rPr>
        <w:t>(</w:t>
      </w:r>
      <w:r w:rsidR="000D675A" w:rsidRPr="0099419D">
        <w:rPr>
          <w:rFonts w:ascii="Calibri" w:eastAsia="Calibri" w:hAnsi="Calibri" w:cs="Calibri"/>
          <w:sz w:val="24"/>
          <w:szCs w:val="24"/>
          <w:lang w:val="es-ES"/>
        </w:rPr>
        <w:t>v.g</w:t>
      </w:r>
      <w:r w:rsidR="0017125E">
        <w:rPr>
          <w:rFonts w:ascii="Calibri" w:eastAsia="Calibri" w:hAnsi="Calibri" w:cs="Calibri"/>
          <w:sz w:val="24"/>
          <w:szCs w:val="24"/>
          <w:lang w:val="es-ES"/>
        </w:rPr>
        <w:t>r</w:t>
      </w:r>
      <w:r w:rsidR="000D675A" w:rsidRPr="0099419D">
        <w:rPr>
          <w:rFonts w:ascii="Calibri" w:eastAsia="Calibri" w:hAnsi="Calibri" w:cs="Calibri"/>
          <w:sz w:val="24"/>
          <w:szCs w:val="24"/>
          <w:lang w:val="es-ES"/>
        </w:rPr>
        <w:t>.</w:t>
      </w:r>
      <w:r w:rsidR="0017125E">
        <w:rPr>
          <w:rFonts w:ascii="Calibri" w:eastAsia="Calibri" w:hAnsi="Calibri" w:cs="Calibri"/>
          <w:sz w:val="24"/>
          <w:szCs w:val="24"/>
          <w:lang w:val="es-ES"/>
        </w:rPr>
        <w:t>,</w:t>
      </w:r>
      <w:r w:rsidRPr="0099419D">
        <w:rPr>
          <w:rFonts w:ascii="Calibri" w:eastAsia="Calibri" w:hAnsi="Calibri" w:cs="Calibri"/>
          <w:sz w:val="24"/>
          <w:szCs w:val="24"/>
        </w:rPr>
        <w:t xml:space="preserve"> la Red Compartida y de los núcleos urbanos</w:t>
      </w:r>
      <w:r w:rsidR="0017125E">
        <w:rPr>
          <w:rFonts w:ascii="Calibri" w:eastAsia="Calibri" w:hAnsi="Calibri" w:cs="Calibri"/>
          <w:sz w:val="24"/>
          <w:szCs w:val="24"/>
        </w:rPr>
        <w:t>)</w:t>
      </w:r>
      <w:r w:rsidRPr="0099419D">
        <w:rPr>
          <w:rFonts w:ascii="Calibri" w:eastAsia="Calibri" w:hAnsi="Calibri" w:cs="Calibri"/>
          <w:sz w:val="24"/>
          <w:szCs w:val="24"/>
        </w:rPr>
        <w:t xml:space="preserve"> depende en gran medida de la disponibilidad de transporte de datos de las redes de servicio móvil. Particularmente, la baja cobertura de 4G impide un acceso eficiente a los recursos de información en </w:t>
      </w:r>
      <w:r w:rsidR="004849AF" w:rsidRPr="0099419D">
        <w:rPr>
          <w:rFonts w:ascii="Calibri" w:eastAsia="Calibri" w:hAnsi="Calibri" w:cs="Calibri"/>
          <w:sz w:val="24"/>
          <w:szCs w:val="24"/>
        </w:rPr>
        <w:t>i</w:t>
      </w:r>
      <w:r w:rsidRPr="0099419D">
        <w:rPr>
          <w:rFonts w:ascii="Calibri" w:eastAsia="Calibri" w:hAnsi="Calibri" w:cs="Calibri"/>
          <w:sz w:val="24"/>
          <w:szCs w:val="24"/>
        </w:rPr>
        <w:t>nternet. Otro mecanismo que está contribuyendo a la inclusión digital y a un acceso universal es a través de las redes implementadas por los pequeños proveedores de servicio</w:t>
      </w:r>
      <w:r w:rsidR="004849AF" w:rsidRPr="0099419D">
        <w:rPr>
          <w:rFonts w:ascii="Calibri" w:eastAsia="Calibri" w:hAnsi="Calibri" w:cs="Calibri"/>
          <w:sz w:val="24"/>
          <w:szCs w:val="24"/>
        </w:rPr>
        <w:t xml:space="preserve"> (PPS)</w:t>
      </w:r>
      <w:r w:rsidRPr="0099419D">
        <w:rPr>
          <w:rFonts w:ascii="Calibri" w:eastAsia="Calibri" w:hAnsi="Calibri" w:cs="Calibri"/>
          <w:sz w:val="24"/>
          <w:szCs w:val="24"/>
        </w:rPr>
        <w:t xml:space="preserve">, también conocidos como </w:t>
      </w:r>
      <w:proofErr w:type="spellStart"/>
      <w:r w:rsidRPr="0099419D">
        <w:rPr>
          <w:rFonts w:ascii="Calibri" w:eastAsia="Calibri" w:hAnsi="Calibri" w:cs="Calibri"/>
          <w:sz w:val="24"/>
          <w:szCs w:val="24"/>
        </w:rPr>
        <w:t>microtelcos</w:t>
      </w:r>
      <w:proofErr w:type="spellEnd"/>
      <w:r w:rsidRPr="0099419D">
        <w:rPr>
          <w:rFonts w:ascii="Calibri" w:eastAsia="Calibri" w:hAnsi="Calibri" w:cs="Calibri"/>
          <w:sz w:val="24"/>
          <w:szCs w:val="24"/>
        </w:rPr>
        <w:t xml:space="preserve">. Normalmente, estos PPS dependen de una conexión a un operador de telecomunicaciones para lograr el transporte de datos a sus redes, que en la mayoría de los casos implementan el acceso </w:t>
      </w:r>
      <w:r w:rsidRPr="009921C0">
        <w:rPr>
          <w:rFonts w:ascii="Calibri" w:eastAsia="Calibri" w:hAnsi="Calibri" w:cs="Calibri"/>
          <w:sz w:val="24"/>
          <w:szCs w:val="24"/>
        </w:rPr>
        <w:t>residencial a través de RAN (Radio Access Network) en modo estrella o en modo malla</w:t>
      </w:r>
      <w:r w:rsidR="004849AF" w:rsidRPr="009921C0">
        <w:rPr>
          <w:rFonts w:ascii="Calibri" w:eastAsia="Calibri" w:hAnsi="Calibri" w:cs="Calibri"/>
          <w:sz w:val="24"/>
          <w:szCs w:val="24"/>
        </w:rPr>
        <w:t>. E</w:t>
      </w:r>
      <w:r w:rsidRPr="009921C0">
        <w:rPr>
          <w:rFonts w:ascii="Calibri" w:eastAsia="Calibri" w:hAnsi="Calibri" w:cs="Calibri"/>
          <w:sz w:val="24"/>
          <w:szCs w:val="24"/>
        </w:rPr>
        <w:t xml:space="preserve">stos PPS se denominan WISP (Wireless </w:t>
      </w:r>
    </w:p>
    <w:p w14:paraId="075B1B0A" w14:textId="77777777" w:rsidR="00F83FF8" w:rsidRDefault="00F83FF8" w:rsidP="00F83FF8">
      <w:pPr>
        <w:pStyle w:val="Prrafodelista"/>
        <w:rPr>
          <w:rFonts w:ascii="Calibri" w:eastAsia="Calibri" w:hAnsi="Calibri" w:cs="Calibri"/>
          <w:sz w:val="24"/>
          <w:szCs w:val="24"/>
        </w:rPr>
      </w:pPr>
    </w:p>
    <w:p w14:paraId="0000000F" w14:textId="26EEA2D5" w:rsidR="009A79A8" w:rsidRPr="009921C0" w:rsidRDefault="00D223C8" w:rsidP="00F83FF8">
      <w:pPr>
        <w:ind w:left="360"/>
        <w:jc w:val="both"/>
        <w:rPr>
          <w:rFonts w:ascii="Calibri" w:eastAsia="Calibri" w:hAnsi="Calibri" w:cs="Calibri"/>
          <w:sz w:val="24"/>
          <w:szCs w:val="24"/>
        </w:rPr>
      </w:pPr>
      <w:r w:rsidRPr="009921C0">
        <w:rPr>
          <w:rFonts w:ascii="Calibri" w:eastAsia="Calibri" w:hAnsi="Calibri" w:cs="Calibri"/>
          <w:sz w:val="24"/>
          <w:szCs w:val="24"/>
        </w:rPr>
        <w:t xml:space="preserve">Internet </w:t>
      </w:r>
      <w:proofErr w:type="spellStart"/>
      <w:r w:rsidRPr="009921C0">
        <w:rPr>
          <w:rFonts w:ascii="Calibri" w:eastAsia="Calibri" w:hAnsi="Calibri" w:cs="Calibri"/>
          <w:sz w:val="24"/>
          <w:szCs w:val="24"/>
        </w:rPr>
        <w:t>Service</w:t>
      </w:r>
      <w:proofErr w:type="spellEnd"/>
      <w:r w:rsidRPr="009921C0">
        <w:rPr>
          <w:rFonts w:ascii="Calibri" w:eastAsia="Calibri" w:hAnsi="Calibri" w:cs="Calibri"/>
          <w:sz w:val="24"/>
          <w:szCs w:val="24"/>
        </w:rPr>
        <w:t xml:space="preserve"> </w:t>
      </w:r>
      <w:proofErr w:type="spellStart"/>
      <w:r w:rsidRPr="009921C0">
        <w:rPr>
          <w:rFonts w:ascii="Calibri" w:eastAsia="Calibri" w:hAnsi="Calibri" w:cs="Calibri"/>
          <w:sz w:val="24"/>
          <w:szCs w:val="24"/>
        </w:rPr>
        <w:t>Provider</w:t>
      </w:r>
      <w:proofErr w:type="spellEnd"/>
      <w:r w:rsidRPr="009921C0">
        <w:rPr>
          <w:rFonts w:ascii="Calibri" w:eastAsia="Calibri" w:hAnsi="Calibri" w:cs="Calibri"/>
          <w:sz w:val="24"/>
          <w:szCs w:val="24"/>
        </w:rPr>
        <w:t>). Los PPS</w:t>
      </w:r>
      <w:r w:rsidR="009921C0">
        <w:rPr>
          <w:rFonts w:ascii="Calibri" w:eastAsia="Calibri" w:hAnsi="Calibri" w:cs="Calibri"/>
          <w:sz w:val="24"/>
          <w:szCs w:val="24"/>
        </w:rPr>
        <w:t xml:space="preserve"> </w:t>
      </w:r>
      <w:r w:rsidRPr="009921C0">
        <w:rPr>
          <w:rFonts w:ascii="Calibri" w:eastAsia="Calibri" w:hAnsi="Calibri" w:cs="Calibri"/>
          <w:sz w:val="24"/>
          <w:szCs w:val="24"/>
        </w:rPr>
        <w:t>representan un sector que está en desventaja natural competitiva con los grandes operadores de telecomunicaciones (TELCO), pues su presencia es local o municipal (en comparación con la presencia estatal o nacional de las TELCO</w:t>
      </w:r>
      <w:r w:rsidR="004849AF" w:rsidRPr="009921C0">
        <w:rPr>
          <w:rFonts w:ascii="Calibri" w:eastAsia="Calibri" w:hAnsi="Calibri" w:cs="Calibri"/>
          <w:sz w:val="24"/>
          <w:szCs w:val="24"/>
        </w:rPr>
        <w:t>)</w:t>
      </w:r>
      <w:r w:rsidR="0017125E" w:rsidRPr="009921C0">
        <w:rPr>
          <w:rFonts w:ascii="Calibri" w:eastAsia="Calibri" w:hAnsi="Calibri" w:cs="Calibri"/>
          <w:sz w:val="24"/>
          <w:szCs w:val="24"/>
        </w:rPr>
        <w:t>.</w:t>
      </w:r>
      <w:r w:rsidR="004849AF" w:rsidRPr="009921C0">
        <w:rPr>
          <w:rFonts w:ascii="Calibri" w:eastAsia="Calibri" w:hAnsi="Calibri" w:cs="Calibri"/>
          <w:sz w:val="24"/>
          <w:szCs w:val="24"/>
        </w:rPr>
        <w:t xml:space="preserve"> </w:t>
      </w:r>
      <w:r w:rsidR="0017125E" w:rsidRPr="009921C0">
        <w:rPr>
          <w:rFonts w:ascii="Calibri" w:eastAsia="Calibri" w:hAnsi="Calibri" w:cs="Calibri"/>
          <w:sz w:val="24"/>
          <w:szCs w:val="24"/>
        </w:rPr>
        <w:t>S</w:t>
      </w:r>
      <w:r w:rsidRPr="009921C0">
        <w:rPr>
          <w:rFonts w:ascii="Calibri" w:eastAsia="Calibri" w:hAnsi="Calibri" w:cs="Calibri"/>
          <w:sz w:val="24"/>
          <w:szCs w:val="24"/>
        </w:rPr>
        <w:t>in embargo</w:t>
      </w:r>
      <w:r w:rsidR="004849AF" w:rsidRPr="009921C0">
        <w:rPr>
          <w:rFonts w:ascii="Calibri" w:eastAsia="Calibri" w:hAnsi="Calibri" w:cs="Calibri"/>
          <w:sz w:val="24"/>
          <w:szCs w:val="24"/>
        </w:rPr>
        <w:t>,</w:t>
      </w:r>
      <w:r w:rsidRPr="009921C0">
        <w:rPr>
          <w:rFonts w:ascii="Calibri" w:eastAsia="Calibri" w:hAnsi="Calibri" w:cs="Calibri"/>
          <w:sz w:val="24"/>
          <w:szCs w:val="24"/>
        </w:rPr>
        <w:t xml:space="preserve"> la regulación existente es uniforme para todos los operadores, representando una seria carga regulatoria para su operación. </w:t>
      </w:r>
    </w:p>
    <w:p w14:paraId="00000010" w14:textId="7ABBBC72" w:rsidR="009A79A8" w:rsidRPr="0099419D" w:rsidRDefault="009A79A8" w:rsidP="0099419D">
      <w:pPr>
        <w:jc w:val="both"/>
        <w:rPr>
          <w:rFonts w:ascii="Calibri" w:eastAsia="Calibri" w:hAnsi="Calibri" w:cs="Calibri"/>
          <w:sz w:val="24"/>
          <w:szCs w:val="24"/>
        </w:rPr>
      </w:pPr>
    </w:p>
    <w:p w14:paraId="00000011" w14:textId="73BE5161" w:rsidR="009A79A8" w:rsidRPr="0099419D" w:rsidRDefault="00D223C8" w:rsidP="0099419D">
      <w:pPr>
        <w:numPr>
          <w:ilvl w:val="0"/>
          <w:numId w:val="1"/>
        </w:numPr>
        <w:jc w:val="both"/>
        <w:rPr>
          <w:rFonts w:ascii="Calibri" w:eastAsia="Calibri" w:hAnsi="Calibri" w:cs="Calibri"/>
          <w:sz w:val="24"/>
          <w:szCs w:val="24"/>
        </w:rPr>
      </w:pPr>
      <w:proofErr w:type="spellStart"/>
      <w:r w:rsidRPr="0099419D">
        <w:rPr>
          <w:rFonts w:ascii="Calibri" w:eastAsia="Calibri" w:hAnsi="Calibri" w:cs="Calibri"/>
          <w:sz w:val="24"/>
          <w:szCs w:val="24"/>
        </w:rPr>
        <w:t>Galperin</w:t>
      </w:r>
      <w:proofErr w:type="spellEnd"/>
      <w:r w:rsidRPr="0099419D">
        <w:rPr>
          <w:rFonts w:ascii="Calibri" w:eastAsia="Calibri" w:hAnsi="Calibri" w:cs="Calibri"/>
          <w:sz w:val="24"/>
          <w:szCs w:val="24"/>
        </w:rPr>
        <w:t xml:space="preserve"> y </w:t>
      </w:r>
      <w:proofErr w:type="spellStart"/>
      <w:r w:rsidRPr="0099419D">
        <w:rPr>
          <w:rFonts w:ascii="Calibri" w:eastAsia="Calibri" w:hAnsi="Calibri" w:cs="Calibri"/>
          <w:sz w:val="24"/>
          <w:szCs w:val="24"/>
        </w:rPr>
        <w:t>Girard</w:t>
      </w:r>
      <w:proofErr w:type="spellEnd"/>
      <w:r w:rsidRPr="0099419D">
        <w:rPr>
          <w:rFonts w:ascii="Calibri" w:eastAsia="Calibri" w:hAnsi="Calibri" w:cs="Calibri"/>
          <w:sz w:val="24"/>
          <w:szCs w:val="24"/>
        </w:rPr>
        <w:t xml:space="preserve"> (2007) indican que “tanto en las naciones desarrolladas como en los </w:t>
      </w:r>
      <w:proofErr w:type="spellStart"/>
      <w:r w:rsidRPr="0099419D">
        <w:rPr>
          <w:rFonts w:ascii="Calibri" w:eastAsia="Calibri" w:hAnsi="Calibri" w:cs="Calibri"/>
          <w:sz w:val="24"/>
          <w:szCs w:val="24"/>
        </w:rPr>
        <w:t>países</w:t>
      </w:r>
      <w:proofErr w:type="spellEnd"/>
      <w:r w:rsidRPr="0099419D">
        <w:rPr>
          <w:rFonts w:ascii="Calibri" w:eastAsia="Calibri" w:hAnsi="Calibri" w:cs="Calibri"/>
          <w:sz w:val="24"/>
          <w:szCs w:val="24"/>
        </w:rPr>
        <w:t xml:space="preserve"> en </w:t>
      </w:r>
      <w:proofErr w:type="spellStart"/>
      <w:r w:rsidRPr="0099419D">
        <w:rPr>
          <w:rFonts w:ascii="Calibri" w:eastAsia="Calibri" w:hAnsi="Calibri" w:cs="Calibri"/>
          <w:sz w:val="24"/>
          <w:szCs w:val="24"/>
        </w:rPr>
        <w:t>vías</w:t>
      </w:r>
      <w:proofErr w:type="spellEnd"/>
      <w:r w:rsidRPr="0099419D">
        <w:rPr>
          <w:rFonts w:ascii="Calibri" w:eastAsia="Calibri" w:hAnsi="Calibri" w:cs="Calibri"/>
          <w:sz w:val="24"/>
          <w:szCs w:val="24"/>
        </w:rPr>
        <w:t xml:space="preserve"> de desarrollo, existe una gran variedad de organizaciones (entre ellas cooperativas, gobiernos municipales, universidades y empresarios locales) que participan del despliegue y </w:t>
      </w:r>
      <w:proofErr w:type="spellStart"/>
      <w:r w:rsidRPr="0099419D">
        <w:rPr>
          <w:rFonts w:ascii="Calibri" w:eastAsia="Calibri" w:hAnsi="Calibri" w:cs="Calibri"/>
          <w:sz w:val="24"/>
          <w:szCs w:val="24"/>
        </w:rPr>
        <w:t>operación</w:t>
      </w:r>
      <w:proofErr w:type="spellEnd"/>
      <w:r w:rsidRPr="0099419D">
        <w:rPr>
          <w:rFonts w:ascii="Calibri" w:eastAsia="Calibri" w:hAnsi="Calibri" w:cs="Calibri"/>
          <w:sz w:val="24"/>
          <w:szCs w:val="24"/>
        </w:rPr>
        <w:t xml:space="preserve"> de las redes TIC. Esto es particularmente notorio en los mercados poco atractivos para los operadores tradicionales, donde existe una variedad de arreglos institucionales para prestar servicios a comunidades de alto costo o bajos ingresos. Estos arreglos a menudo son </w:t>
      </w:r>
      <w:proofErr w:type="spellStart"/>
      <w:r w:rsidRPr="0099419D">
        <w:rPr>
          <w:rFonts w:ascii="Calibri" w:eastAsia="Calibri" w:hAnsi="Calibri" w:cs="Calibri"/>
          <w:sz w:val="24"/>
          <w:szCs w:val="24"/>
        </w:rPr>
        <w:t>híbridos</w:t>
      </w:r>
      <w:proofErr w:type="spellEnd"/>
      <w:r w:rsidRPr="0099419D">
        <w:rPr>
          <w:rFonts w:ascii="Calibri" w:eastAsia="Calibri" w:hAnsi="Calibri" w:cs="Calibri"/>
          <w:sz w:val="24"/>
          <w:szCs w:val="24"/>
        </w:rPr>
        <w:t xml:space="preserve"> de destrezas empresariales a </w:t>
      </w:r>
      <w:proofErr w:type="spellStart"/>
      <w:r w:rsidRPr="0099419D">
        <w:rPr>
          <w:rFonts w:ascii="Calibri" w:eastAsia="Calibri" w:hAnsi="Calibri" w:cs="Calibri"/>
          <w:sz w:val="24"/>
          <w:szCs w:val="24"/>
        </w:rPr>
        <w:t>pequeña</w:t>
      </w:r>
      <w:proofErr w:type="spellEnd"/>
      <w:r w:rsidRPr="0099419D">
        <w:rPr>
          <w:rFonts w:ascii="Calibri" w:eastAsia="Calibri" w:hAnsi="Calibri" w:cs="Calibri"/>
          <w:sz w:val="24"/>
          <w:szCs w:val="24"/>
        </w:rPr>
        <w:t xml:space="preserve"> escala, esfuerzos municipales y la </w:t>
      </w:r>
      <w:proofErr w:type="spellStart"/>
      <w:r w:rsidRPr="0099419D">
        <w:rPr>
          <w:rFonts w:ascii="Calibri" w:eastAsia="Calibri" w:hAnsi="Calibri" w:cs="Calibri"/>
          <w:sz w:val="24"/>
          <w:szCs w:val="24"/>
        </w:rPr>
        <w:t>acción</w:t>
      </w:r>
      <w:proofErr w:type="spellEnd"/>
      <w:r w:rsidRPr="0099419D">
        <w:rPr>
          <w:rFonts w:ascii="Calibri" w:eastAsia="Calibri" w:hAnsi="Calibri" w:cs="Calibri"/>
          <w:sz w:val="24"/>
          <w:szCs w:val="24"/>
        </w:rPr>
        <w:t xml:space="preserve"> comunitaria. Lo que los distingue de los operadores tradicionales es la escala local, el uso de </w:t>
      </w:r>
      <w:proofErr w:type="spellStart"/>
      <w:r w:rsidRPr="0099419D">
        <w:rPr>
          <w:rFonts w:ascii="Calibri" w:eastAsia="Calibri" w:hAnsi="Calibri" w:cs="Calibri"/>
          <w:sz w:val="24"/>
          <w:szCs w:val="24"/>
        </w:rPr>
        <w:t>tecnologías</w:t>
      </w:r>
      <w:proofErr w:type="spellEnd"/>
      <w:r w:rsidRPr="0099419D">
        <w:rPr>
          <w:rFonts w:ascii="Calibri" w:eastAsia="Calibri" w:hAnsi="Calibri" w:cs="Calibri"/>
          <w:sz w:val="24"/>
          <w:szCs w:val="24"/>
        </w:rPr>
        <w:t xml:space="preserve"> de bajo costo y modelos comerciales innovadores, y los fuertes enlaces comunitarios”</w:t>
      </w:r>
      <w:r w:rsidR="00097BC3" w:rsidRPr="0099419D">
        <w:rPr>
          <w:rFonts w:ascii="Calibri" w:eastAsia="Calibri" w:hAnsi="Calibri" w:cs="Calibri"/>
          <w:sz w:val="24"/>
          <w:szCs w:val="24"/>
          <w:lang w:val="es-ES"/>
        </w:rPr>
        <w:t xml:space="preserve"> [13]</w:t>
      </w:r>
      <w:r w:rsidRPr="0099419D">
        <w:rPr>
          <w:rFonts w:ascii="Calibri" w:eastAsia="Calibri" w:hAnsi="Calibri" w:cs="Calibri"/>
          <w:sz w:val="24"/>
          <w:szCs w:val="24"/>
        </w:rPr>
        <w:t xml:space="preserve">. De esta forma, también </w:t>
      </w:r>
      <w:proofErr w:type="spellStart"/>
      <w:r w:rsidRPr="0099419D">
        <w:rPr>
          <w:rFonts w:ascii="Calibri" w:eastAsia="Calibri" w:hAnsi="Calibri" w:cs="Calibri"/>
          <w:sz w:val="24"/>
          <w:szCs w:val="24"/>
        </w:rPr>
        <w:t>Laender</w:t>
      </w:r>
      <w:proofErr w:type="spellEnd"/>
      <w:r w:rsidRPr="0099419D">
        <w:rPr>
          <w:rFonts w:ascii="Calibri" w:eastAsia="Calibri" w:hAnsi="Calibri" w:cs="Calibri"/>
          <w:sz w:val="24"/>
          <w:szCs w:val="24"/>
        </w:rPr>
        <w:t xml:space="preserve"> et al (2010) </w:t>
      </w:r>
      <w:r w:rsidR="00097BC3" w:rsidRPr="0099419D">
        <w:rPr>
          <w:rFonts w:ascii="Calibri" w:eastAsia="Calibri" w:hAnsi="Calibri" w:cs="Calibri"/>
          <w:sz w:val="24"/>
          <w:szCs w:val="24"/>
          <w:lang w:val="es-ES"/>
        </w:rPr>
        <w:t xml:space="preserve">[14] </w:t>
      </w:r>
      <w:r w:rsidRPr="0099419D">
        <w:rPr>
          <w:rFonts w:ascii="Calibri" w:eastAsia="Calibri" w:hAnsi="Calibri" w:cs="Calibri"/>
          <w:sz w:val="24"/>
          <w:szCs w:val="24"/>
        </w:rPr>
        <w:t xml:space="preserve">indican que las redes y servicios no están llegando a los más pobres, particularmente aquellos que viven en zonas rurales y que las barreras regulatorias pueden ser disminuidas o eliminadas para que las </w:t>
      </w:r>
      <w:proofErr w:type="spellStart"/>
      <w:r w:rsidRPr="0099419D">
        <w:rPr>
          <w:rFonts w:ascii="Calibri" w:eastAsia="Calibri" w:hAnsi="Calibri" w:cs="Calibri"/>
          <w:sz w:val="24"/>
          <w:szCs w:val="24"/>
        </w:rPr>
        <w:t>microtelco</w:t>
      </w:r>
      <w:proofErr w:type="spellEnd"/>
      <w:r w:rsidRPr="0099419D">
        <w:rPr>
          <w:rFonts w:ascii="Calibri" w:eastAsia="Calibri" w:hAnsi="Calibri" w:cs="Calibri"/>
          <w:sz w:val="24"/>
          <w:szCs w:val="24"/>
        </w:rPr>
        <w:t xml:space="preserve"> o PPS puedan permitir tender puentes que reduzcan las brechas digitales. </w:t>
      </w:r>
    </w:p>
    <w:p w14:paraId="00000012" w14:textId="77777777" w:rsidR="009A79A8" w:rsidRPr="0099419D" w:rsidRDefault="009A79A8" w:rsidP="0099419D">
      <w:pPr>
        <w:jc w:val="both"/>
        <w:rPr>
          <w:rFonts w:ascii="Calibri" w:eastAsia="Calibri" w:hAnsi="Calibri" w:cs="Calibri"/>
          <w:sz w:val="24"/>
          <w:szCs w:val="24"/>
        </w:rPr>
      </w:pPr>
    </w:p>
    <w:p w14:paraId="00000013" w14:textId="6744E907" w:rsidR="009A79A8" w:rsidRPr="0099419D" w:rsidRDefault="00D223C8" w:rsidP="0099419D">
      <w:pPr>
        <w:numPr>
          <w:ilvl w:val="0"/>
          <w:numId w:val="1"/>
        </w:numPr>
        <w:jc w:val="both"/>
        <w:rPr>
          <w:rFonts w:ascii="Calibri" w:eastAsia="Calibri" w:hAnsi="Calibri" w:cs="Calibri"/>
          <w:sz w:val="24"/>
          <w:szCs w:val="24"/>
        </w:rPr>
      </w:pPr>
      <w:r w:rsidRPr="0099419D">
        <w:rPr>
          <w:rFonts w:ascii="Calibri" w:eastAsia="Calibri" w:hAnsi="Calibri" w:cs="Calibri"/>
          <w:sz w:val="24"/>
          <w:szCs w:val="24"/>
        </w:rPr>
        <w:t xml:space="preserve">Por otra parte, el modelo regulatorio actual que surge a partir de la reforma de telecomunicaciones (2013) emerge de las recomendaciones de </w:t>
      </w:r>
      <w:proofErr w:type="spellStart"/>
      <w:r w:rsidR="00190B99" w:rsidRPr="0099419D">
        <w:rPr>
          <w:rFonts w:ascii="Calibri" w:eastAsia="Calibri" w:hAnsi="Calibri" w:cs="Calibri"/>
          <w:sz w:val="24"/>
          <w:szCs w:val="24"/>
          <w:lang w:val="es-ES"/>
        </w:rPr>
        <w:t>infoDev</w:t>
      </w:r>
      <w:proofErr w:type="spellEnd"/>
      <w:r w:rsidR="00190B99" w:rsidRPr="0099419D">
        <w:rPr>
          <w:rFonts w:ascii="Calibri" w:eastAsia="Calibri" w:hAnsi="Calibri" w:cs="Calibri"/>
          <w:sz w:val="24"/>
          <w:szCs w:val="24"/>
          <w:lang w:val="es-ES"/>
        </w:rPr>
        <w:t xml:space="preserve"> y </w:t>
      </w:r>
      <w:r w:rsidRPr="0099419D">
        <w:rPr>
          <w:rFonts w:ascii="Calibri" w:eastAsia="Calibri" w:hAnsi="Calibri" w:cs="Calibri"/>
          <w:sz w:val="24"/>
          <w:szCs w:val="24"/>
        </w:rPr>
        <w:t xml:space="preserve">la </w:t>
      </w:r>
      <w:r w:rsidR="00190B99" w:rsidRPr="0099419D">
        <w:rPr>
          <w:rFonts w:ascii="Calibri" w:eastAsia="Calibri" w:hAnsi="Calibri" w:cs="Calibri"/>
          <w:sz w:val="24"/>
          <w:szCs w:val="24"/>
          <w:lang w:val="es-ES"/>
        </w:rPr>
        <w:t>UIT</w:t>
      </w:r>
      <w:r w:rsidRPr="0099419D">
        <w:rPr>
          <w:rFonts w:ascii="Calibri" w:eastAsia="Calibri" w:hAnsi="Calibri" w:cs="Calibri"/>
          <w:sz w:val="24"/>
          <w:szCs w:val="24"/>
        </w:rPr>
        <w:t>. En el Manual de Regulación de las Telecomunicaciones (2011) indica que “la regulación no es un fin en sí mismo, sino más bien un vehículo para lograr y, posteriormente, mantener un acceso generalizado, una competencia efectiva y la protección del consumidor”</w:t>
      </w:r>
      <w:r w:rsidR="00097BC3" w:rsidRPr="0099419D">
        <w:rPr>
          <w:rFonts w:ascii="Calibri" w:eastAsia="Calibri" w:hAnsi="Calibri" w:cs="Calibri"/>
          <w:sz w:val="24"/>
          <w:szCs w:val="24"/>
          <w:lang w:val="es-ES"/>
        </w:rPr>
        <w:t xml:space="preserve"> [15]</w:t>
      </w:r>
      <w:r w:rsidRPr="0099419D">
        <w:rPr>
          <w:rFonts w:ascii="Calibri" w:eastAsia="Calibri" w:hAnsi="Calibri" w:cs="Calibri"/>
          <w:sz w:val="24"/>
          <w:szCs w:val="24"/>
        </w:rPr>
        <w:t>. De esta forma, es claro que el acceso universal favorece al menos dos de estos tres objetivos. Como se menciona arriba, durante la emergencia sanitaria y posterior</w:t>
      </w:r>
      <w:r w:rsidR="0017125E">
        <w:rPr>
          <w:rFonts w:ascii="Calibri" w:eastAsia="Calibri" w:hAnsi="Calibri" w:cs="Calibri"/>
          <w:sz w:val="24"/>
          <w:szCs w:val="24"/>
        </w:rPr>
        <w:t>,</w:t>
      </w:r>
      <w:r w:rsidRPr="0099419D">
        <w:rPr>
          <w:rFonts w:ascii="Calibri" w:eastAsia="Calibri" w:hAnsi="Calibri" w:cs="Calibri"/>
          <w:sz w:val="24"/>
          <w:szCs w:val="24"/>
        </w:rPr>
        <w:t xml:space="preserve"> el acceso a la información y a la comunicación depende en gran medida de este acceso universal. </w:t>
      </w:r>
    </w:p>
    <w:p w14:paraId="00000014" w14:textId="77777777" w:rsidR="009A79A8" w:rsidRPr="0099419D" w:rsidRDefault="009A79A8" w:rsidP="0099419D">
      <w:pPr>
        <w:jc w:val="both"/>
        <w:rPr>
          <w:rFonts w:ascii="Calibri" w:eastAsia="Calibri" w:hAnsi="Calibri" w:cs="Calibri"/>
          <w:sz w:val="24"/>
          <w:szCs w:val="24"/>
        </w:rPr>
      </w:pPr>
    </w:p>
    <w:p w14:paraId="30F96CFE" w14:textId="22A4EE4B" w:rsidR="00F83FF8" w:rsidRDefault="00D223C8" w:rsidP="009921C0">
      <w:pPr>
        <w:numPr>
          <w:ilvl w:val="0"/>
          <w:numId w:val="1"/>
        </w:numPr>
        <w:jc w:val="both"/>
        <w:rPr>
          <w:rFonts w:ascii="Calibri" w:eastAsia="Calibri" w:hAnsi="Calibri" w:cs="Calibri"/>
          <w:sz w:val="24"/>
          <w:szCs w:val="24"/>
        </w:rPr>
      </w:pPr>
      <w:r w:rsidRPr="0099419D">
        <w:rPr>
          <w:rFonts w:ascii="Calibri" w:eastAsia="Calibri" w:hAnsi="Calibri" w:cs="Calibri"/>
          <w:sz w:val="24"/>
          <w:szCs w:val="24"/>
        </w:rPr>
        <w:t xml:space="preserve">De acuerdo con la UIT, un Plan Nacional de Telecomunicaciones de Emergencia (PNTE) establece “una estrategia para permitir y garantizar la disponibilidad de las comunicaciones durante las fases de mitigación de desastres, preparación, respuesta y recuperación, promoviendo la coordinación en todos los niveles de gobierno, entre organizaciones públicas y privadas, y dentro de las comunidades </w:t>
      </w:r>
      <w:r w:rsidRPr="009921C0">
        <w:rPr>
          <w:rFonts w:ascii="Calibri" w:eastAsia="Calibri" w:hAnsi="Calibri" w:cs="Calibri"/>
          <w:sz w:val="24"/>
          <w:szCs w:val="24"/>
        </w:rPr>
        <w:t xml:space="preserve">en riesgo” </w:t>
      </w:r>
      <w:r w:rsidR="00097BC3" w:rsidRPr="009921C0">
        <w:rPr>
          <w:rFonts w:ascii="Calibri" w:eastAsia="Calibri" w:hAnsi="Calibri" w:cs="Calibri"/>
          <w:sz w:val="24"/>
          <w:szCs w:val="24"/>
          <w:lang w:val="es-ES"/>
        </w:rPr>
        <w:t>[16]</w:t>
      </w:r>
      <w:r w:rsidRPr="009921C0">
        <w:rPr>
          <w:rFonts w:ascii="Calibri" w:eastAsia="Calibri" w:hAnsi="Calibri" w:cs="Calibri"/>
          <w:sz w:val="24"/>
          <w:szCs w:val="24"/>
        </w:rPr>
        <w:t>. Entre las recomendaciones emitidas, se encuentra que para “reducir el impacto negativo de los desastres, las autoridades reguladoras</w:t>
      </w:r>
      <w:r w:rsidR="0017125E" w:rsidRPr="009921C0">
        <w:rPr>
          <w:rFonts w:ascii="Calibri" w:eastAsia="Calibri" w:hAnsi="Calibri" w:cs="Calibri"/>
          <w:sz w:val="24"/>
          <w:szCs w:val="24"/>
        </w:rPr>
        <w:t xml:space="preserve"> </w:t>
      </w:r>
      <w:r w:rsidRPr="009921C0">
        <w:rPr>
          <w:rFonts w:ascii="Calibri" w:eastAsia="Calibri" w:hAnsi="Calibri" w:cs="Calibri"/>
          <w:sz w:val="24"/>
          <w:szCs w:val="24"/>
        </w:rPr>
        <w:t xml:space="preserve">podrían implementar </w:t>
      </w:r>
    </w:p>
    <w:p w14:paraId="4E8D719F" w14:textId="6B29C981" w:rsidR="00F83FF8" w:rsidRDefault="00F83FF8" w:rsidP="00F83FF8">
      <w:pPr>
        <w:pStyle w:val="Prrafodelista"/>
        <w:rPr>
          <w:rFonts w:ascii="Calibri" w:eastAsia="Calibri" w:hAnsi="Calibri" w:cs="Calibri"/>
          <w:sz w:val="24"/>
          <w:szCs w:val="24"/>
        </w:rPr>
      </w:pPr>
    </w:p>
    <w:p w14:paraId="32E88AB0" w14:textId="77777777" w:rsidR="00F83FF8" w:rsidRDefault="00F83FF8" w:rsidP="00F83FF8">
      <w:pPr>
        <w:ind w:left="360"/>
        <w:jc w:val="both"/>
        <w:rPr>
          <w:rFonts w:ascii="Calibri" w:eastAsia="Calibri" w:hAnsi="Calibri" w:cs="Calibri"/>
          <w:sz w:val="24"/>
          <w:szCs w:val="24"/>
        </w:rPr>
      </w:pPr>
    </w:p>
    <w:p w14:paraId="00000015" w14:textId="63F3F4DF" w:rsidR="009A79A8" w:rsidRPr="009921C0" w:rsidRDefault="00D223C8" w:rsidP="009921C0">
      <w:pPr>
        <w:ind w:left="360"/>
        <w:jc w:val="both"/>
        <w:rPr>
          <w:rFonts w:ascii="Calibri" w:eastAsia="Calibri" w:hAnsi="Calibri" w:cs="Calibri"/>
          <w:sz w:val="24"/>
          <w:szCs w:val="24"/>
        </w:rPr>
      </w:pPr>
      <w:r w:rsidRPr="009921C0">
        <w:rPr>
          <w:rFonts w:ascii="Calibri" w:eastAsia="Calibri" w:hAnsi="Calibri" w:cs="Calibri"/>
          <w:sz w:val="24"/>
          <w:szCs w:val="24"/>
        </w:rPr>
        <w:t xml:space="preserve">mecanismos que se puedan utilizar en un desastre para aumentar la capacidad del regulador para abordar necesidades particulares con mayor flexibilidad”. Esto sugiere que la mitigación del desastre sanitario por CoViD-19 requiere flexibilidad </w:t>
      </w:r>
      <w:r w:rsidR="0017125E" w:rsidRPr="009921C0">
        <w:rPr>
          <w:rFonts w:ascii="Calibri" w:eastAsia="Calibri" w:hAnsi="Calibri" w:cs="Calibri"/>
          <w:sz w:val="24"/>
          <w:szCs w:val="24"/>
        </w:rPr>
        <w:t>administrativa en la aplicación de la regulación</w:t>
      </w:r>
      <w:r w:rsidRPr="009921C0">
        <w:rPr>
          <w:rFonts w:ascii="Calibri" w:eastAsia="Calibri" w:hAnsi="Calibri" w:cs="Calibri"/>
          <w:sz w:val="24"/>
          <w:szCs w:val="24"/>
        </w:rPr>
        <w:t xml:space="preserve"> y, de forma directa, la implementación de esquemas regulatorios diferenciados. </w:t>
      </w:r>
    </w:p>
    <w:p w14:paraId="1C086043" w14:textId="63B94392" w:rsidR="00A74C67" w:rsidRPr="0099419D" w:rsidRDefault="00A74C67" w:rsidP="0099419D">
      <w:pPr>
        <w:jc w:val="both"/>
        <w:rPr>
          <w:rFonts w:ascii="Calibri" w:eastAsia="Calibri" w:hAnsi="Calibri" w:cs="Calibri"/>
          <w:sz w:val="24"/>
          <w:szCs w:val="24"/>
        </w:rPr>
      </w:pPr>
    </w:p>
    <w:p w14:paraId="00000017" w14:textId="5E3D302E" w:rsidR="009A79A8" w:rsidRPr="0099419D" w:rsidRDefault="00D223C8" w:rsidP="0099419D">
      <w:pPr>
        <w:numPr>
          <w:ilvl w:val="0"/>
          <w:numId w:val="1"/>
        </w:numPr>
        <w:jc w:val="both"/>
        <w:rPr>
          <w:rFonts w:ascii="Calibri" w:eastAsia="Calibri" w:hAnsi="Calibri" w:cs="Calibri"/>
          <w:sz w:val="24"/>
          <w:szCs w:val="24"/>
        </w:rPr>
      </w:pPr>
      <w:r w:rsidRPr="0099419D">
        <w:rPr>
          <w:rFonts w:ascii="Calibri" w:eastAsia="Calibri" w:hAnsi="Calibri" w:cs="Calibri"/>
          <w:sz w:val="24"/>
          <w:szCs w:val="24"/>
        </w:rPr>
        <w:t>La LFTR y otras leyes mexicanas consideran esquemas diferenciados dependiendo del tipo de usuario que se trate, del régimen económico en que operen y el impacto socioeconómico que tengan. Estas medidas se valen del principio de no</w:t>
      </w:r>
      <w:r w:rsidR="00766D8C">
        <w:rPr>
          <w:rFonts w:ascii="Calibri" w:eastAsia="Calibri" w:hAnsi="Calibri" w:cs="Calibri"/>
          <w:sz w:val="24"/>
          <w:szCs w:val="24"/>
        </w:rPr>
        <w:t xml:space="preserve"> </w:t>
      </w:r>
      <w:r w:rsidRPr="0099419D">
        <w:rPr>
          <w:rFonts w:ascii="Calibri" w:eastAsia="Calibri" w:hAnsi="Calibri" w:cs="Calibri"/>
          <w:sz w:val="24"/>
          <w:szCs w:val="24"/>
        </w:rPr>
        <w:t xml:space="preserve">discriminación y favorecen un mayor bienestar y estabilidad mediante una competencia más justa. Entre los ejemplos notables, encontramos el trato diferenciado o regulación asimétrica entre los concesionarios que utilizan el espectro con fines de lucro y los que no, así como los pertenecientes a los pueblos originarios. </w:t>
      </w:r>
    </w:p>
    <w:p w14:paraId="00000018" w14:textId="77777777" w:rsidR="009A79A8" w:rsidRPr="0099419D" w:rsidRDefault="009A79A8" w:rsidP="0099419D">
      <w:pPr>
        <w:jc w:val="both"/>
        <w:rPr>
          <w:rFonts w:ascii="Calibri" w:eastAsia="Calibri" w:hAnsi="Calibri" w:cs="Calibri"/>
          <w:sz w:val="24"/>
          <w:szCs w:val="24"/>
        </w:rPr>
      </w:pPr>
    </w:p>
    <w:p w14:paraId="0000001A" w14:textId="54327A1C" w:rsidR="009A79A8" w:rsidRPr="0099419D" w:rsidRDefault="00D223C8" w:rsidP="0099419D">
      <w:pPr>
        <w:numPr>
          <w:ilvl w:val="0"/>
          <w:numId w:val="1"/>
        </w:numPr>
        <w:jc w:val="both"/>
        <w:rPr>
          <w:rFonts w:ascii="Calibri" w:eastAsia="Calibri" w:hAnsi="Calibri" w:cs="Calibri"/>
          <w:sz w:val="24"/>
          <w:szCs w:val="24"/>
        </w:rPr>
      </w:pPr>
      <w:r w:rsidRPr="0099419D">
        <w:rPr>
          <w:rFonts w:ascii="Calibri" w:eastAsia="Calibri" w:hAnsi="Calibri" w:cs="Calibri"/>
          <w:sz w:val="24"/>
          <w:szCs w:val="24"/>
        </w:rPr>
        <w:t xml:space="preserve">En resumen, la atención a la emergencia sanitaria generada por la propagación de la enfermedad CoVID-19, requiere acciones a corto plazo, las cuales han sido implementadas de forma sobresaliente por el IFT y los concesionarios de telecomunicaciones y radiodifusión. Sin embargo, también requiere de acciones a mediano y largo plazo en diversos escenarios que requerirán mayor dependencia de todo tipo de comunicación para garantizar los derechos a la educación, a la salud, a la información y a la comunicación de los mexicanos. El estado actual de la conectividad a la banda ancha requiere de una </w:t>
      </w:r>
      <w:r w:rsidR="00766D8C">
        <w:rPr>
          <w:rFonts w:ascii="Calibri" w:eastAsia="Calibri" w:hAnsi="Calibri" w:cs="Calibri"/>
          <w:sz w:val="24"/>
          <w:szCs w:val="24"/>
        </w:rPr>
        <w:t>flexibilidad administrativa en la aplicación de la regulación</w:t>
      </w:r>
      <w:r w:rsidRPr="0099419D">
        <w:rPr>
          <w:rFonts w:ascii="Calibri" w:eastAsia="Calibri" w:hAnsi="Calibri" w:cs="Calibri"/>
          <w:sz w:val="24"/>
          <w:szCs w:val="24"/>
        </w:rPr>
        <w:t xml:space="preserve"> para facilitar la instalación de nuevos servicios en modelos más ágiles como los que aprovechan anchos de banda menor, modelos de negocio de menor escala y la participación activa de las comunidades. </w:t>
      </w:r>
    </w:p>
    <w:p w14:paraId="0B5E1935" w14:textId="77777777" w:rsidR="009C2CAA" w:rsidRPr="0099419D" w:rsidRDefault="009C2CAA" w:rsidP="0099419D">
      <w:pPr>
        <w:jc w:val="both"/>
        <w:rPr>
          <w:rFonts w:ascii="Calibri" w:eastAsia="Calibri" w:hAnsi="Calibri" w:cs="Calibri"/>
          <w:sz w:val="24"/>
          <w:szCs w:val="24"/>
        </w:rPr>
      </w:pPr>
    </w:p>
    <w:p w14:paraId="0000001B" w14:textId="74FE7FD8" w:rsidR="009A79A8" w:rsidRDefault="00D223C8" w:rsidP="009921C0">
      <w:pPr>
        <w:pStyle w:val="Prrafodelista"/>
        <w:numPr>
          <w:ilvl w:val="0"/>
          <w:numId w:val="1"/>
        </w:numPr>
        <w:jc w:val="both"/>
        <w:rPr>
          <w:rFonts w:ascii="Calibri" w:eastAsia="Calibri" w:hAnsi="Calibri" w:cs="Calibri"/>
          <w:sz w:val="24"/>
          <w:szCs w:val="24"/>
        </w:rPr>
      </w:pPr>
      <w:r w:rsidRPr="000D126E">
        <w:rPr>
          <w:rFonts w:ascii="Calibri" w:eastAsia="Calibri" w:hAnsi="Calibri" w:cs="Calibri"/>
          <w:sz w:val="24"/>
          <w:szCs w:val="24"/>
        </w:rPr>
        <w:t>Después del análisis realizado, el V Consejo Consultivo del Instituto Federal de Telecomunicaciones, reconociendo el papel fundamental de las telecomunicaciones y la radiodifusión en la mitigación de los efectos por las medidas necesarias por la emergencia sanitaria consecuencia de la propagación pandémica de la enfermedad CoViD-19, as</w:t>
      </w:r>
      <w:r w:rsidR="00766D8C" w:rsidRPr="000D126E">
        <w:rPr>
          <w:rFonts w:ascii="Calibri" w:eastAsia="Calibri" w:hAnsi="Calibri" w:cs="Calibri"/>
          <w:sz w:val="24"/>
          <w:szCs w:val="24"/>
        </w:rPr>
        <w:t>í</w:t>
      </w:r>
      <w:r w:rsidRPr="000D126E">
        <w:rPr>
          <w:rFonts w:ascii="Calibri" w:eastAsia="Calibri" w:hAnsi="Calibri" w:cs="Calibri"/>
          <w:sz w:val="24"/>
          <w:szCs w:val="24"/>
        </w:rPr>
        <w:t xml:space="preserve"> como el esfuerzo sin precedentes que el Instituto Federal de Telecomunicaciones ha realizado durante esta etapa de emergencia nacional</w:t>
      </w:r>
      <w:r w:rsidR="00766D8C" w:rsidRPr="000D126E">
        <w:rPr>
          <w:rFonts w:ascii="Calibri" w:eastAsia="Calibri" w:hAnsi="Calibri" w:cs="Calibri"/>
          <w:sz w:val="24"/>
          <w:szCs w:val="24"/>
        </w:rPr>
        <w:t>,</w:t>
      </w:r>
      <w:r w:rsidRPr="000D126E">
        <w:rPr>
          <w:rFonts w:ascii="Calibri" w:eastAsia="Calibri" w:hAnsi="Calibri" w:cs="Calibri"/>
          <w:sz w:val="24"/>
          <w:szCs w:val="24"/>
        </w:rPr>
        <w:t xml:space="preserve"> recomienda al Pleno del IFT que se implementen las siguientes acciones de </w:t>
      </w:r>
      <w:r w:rsidR="00766D8C" w:rsidRPr="000D126E">
        <w:rPr>
          <w:rFonts w:ascii="Calibri" w:eastAsia="Calibri" w:hAnsi="Calibri" w:cs="Calibri"/>
          <w:sz w:val="24"/>
          <w:szCs w:val="24"/>
        </w:rPr>
        <w:t xml:space="preserve">flexibilidad administrativa en la aplicación de la regulación </w:t>
      </w:r>
      <w:r w:rsidRPr="000D126E">
        <w:rPr>
          <w:rFonts w:ascii="Calibri" w:eastAsia="Calibri" w:hAnsi="Calibri" w:cs="Calibri"/>
          <w:sz w:val="24"/>
          <w:szCs w:val="24"/>
        </w:rPr>
        <w:t xml:space="preserve">para el beneficio a corto, mediano y largo plazo de los mexicanos para afrontar </w:t>
      </w:r>
      <w:r w:rsidRPr="009921C0">
        <w:rPr>
          <w:rFonts w:ascii="Calibri" w:eastAsia="Calibri" w:hAnsi="Calibri" w:cs="Calibri"/>
          <w:sz w:val="24"/>
          <w:szCs w:val="24"/>
        </w:rPr>
        <w:t>las consecuencias de las medidas implementadas por el Gobierno Federal y consistentes con las recomendaciones de los organismos internacionales.</w:t>
      </w:r>
    </w:p>
    <w:p w14:paraId="341AA4ED" w14:textId="70324F54" w:rsidR="009921C0" w:rsidRPr="009921C0" w:rsidRDefault="009921C0" w:rsidP="009921C0">
      <w:pPr>
        <w:pStyle w:val="Prrafodelista"/>
        <w:rPr>
          <w:rFonts w:ascii="Calibri" w:eastAsia="Calibri" w:hAnsi="Calibri" w:cs="Calibri"/>
          <w:sz w:val="24"/>
          <w:szCs w:val="24"/>
        </w:rPr>
      </w:pPr>
    </w:p>
    <w:p w14:paraId="747B7EFC" w14:textId="675274C8" w:rsidR="009921C0" w:rsidRDefault="009921C0" w:rsidP="009921C0">
      <w:pPr>
        <w:pStyle w:val="Prrafodelista"/>
        <w:ind w:left="360"/>
        <w:jc w:val="both"/>
        <w:rPr>
          <w:rFonts w:ascii="Calibri" w:eastAsia="Calibri" w:hAnsi="Calibri" w:cs="Calibri"/>
          <w:sz w:val="24"/>
          <w:szCs w:val="24"/>
        </w:rPr>
      </w:pPr>
    </w:p>
    <w:p w14:paraId="0000001C" w14:textId="393B9526" w:rsidR="009A79A8" w:rsidRPr="0099419D" w:rsidRDefault="009A79A8" w:rsidP="00F83FF8">
      <w:pPr>
        <w:pStyle w:val="Prrafodelista"/>
        <w:ind w:left="360"/>
        <w:jc w:val="both"/>
        <w:rPr>
          <w:rFonts w:ascii="Calibri" w:eastAsia="Calibri" w:hAnsi="Calibri" w:cs="Calibri"/>
          <w:sz w:val="24"/>
          <w:szCs w:val="24"/>
        </w:rPr>
      </w:pPr>
    </w:p>
    <w:p w14:paraId="0000001D" w14:textId="07CD1C28" w:rsidR="009A79A8" w:rsidRPr="00A74C67" w:rsidRDefault="00A74C67" w:rsidP="00A74C67">
      <w:pPr>
        <w:pStyle w:val="Prrafodelista"/>
        <w:numPr>
          <w:ilvl w:val="0"/>
          <w:numId w:val="2"/>
        </w:numPr>
        <w:jc w:val="both"/>
        <w:rPr>
          <w:rFonts w:ascii="Calibri" w:eastAsia="Calibri" w:hAnsi="Calibri" w:cs="Calibri"/>
          <w:b/>
          <w:sz w:val="24"/>
          <w:szCs w:val="24"/>
          <w:u w:val="single"/>
        </w:rPr>
      </w:pPr>
      <w:r w:rsidRPr="00A74C67">
        <w:rPr>
          <w:rFonts w:ascii="Calibri" w:eastAsia="Calibri" w:hAnsi="Calibri" w:cs="Calibri"/>
          <w:b/>
          <w:sz w:val="24"/>
          <w:szCs w:val="24"/>
          <w:u w:val="single"/>
        </w:rPr>
        <w:t>R</w:t>
      </w:r>
      <w:r>
        <w:rPr>
          <w:rFonts w:ascii="Calibri" w:eastAsia="Calibri" w:hAnsi="Calibri" w:cs="Calibri"/>
          <w:b/>
          <w:sz w:val="24"/>
          <w:szCs w:val="24"/>
          <w:u w:val="single"/>
        </w:rPr>
        <w:t>ecomendaciones</w:t>
      </w:r>
    </w:p>
    <w:p w14:paraId="0000001E" w14:textId="77777777" w:rsidR="009A79A8" w:rsidRPr="0099419D" w:rsidRDefault="009A79A8" w:rsidP="0099419D">
      <w:pPr>
        <w:jc w:val="both"/>
        <w:rPr>
          <w:rFonts w:ascii="Calibri" w:eastAsia="Calibri" w:hAnsi="Calibri" w:cs="Calibri"/>
          <w:sz w:val="24"/>
          <w:szCs w:val="24"/>
        </w:rPr>
      </w:pPr>
    </w:p>
    <w:p w14:paraId="0000001F" w14:textId="77777777" w:rsidR="009A79A8" w:rsidRPr="0099419D" w:rsidRDefault="00D223C8" w:rsidP="0099419D">
      <w:pPr>
        <w:jc w:val="both"/>
        <w:rPr>
          <w:rFonts w:ascii="Calibri" w:eastAsia="Calibri" w:hAnsi="Calibri" w:cs="Calibri"/>
          <w:sz w:val="24"/>
          <w:szCs w:val="24"/>
        </w:rPr>
      </w:pPr>
      <w:r w:rsidRPr="0099419D">
        <w:rPr>
          <w:rFonts w:ascii="Calibri" w:eastAsia="Calibri" w:hAnsi="Calibri" w:cs="Calibri"/>
          <w:b/>
          <w:sz w:val="24"/>
          <w:szCs w:val="24"/>
        </w:rPr>
        <w:t>Primera</w:t>
      </w:r>
      <w:r w:rsidRPr="0099419D">
        <w:rPr>
          <w:rFonts w:ascii="Calibri" w:eastAsia="Calibri" w:hAnsi="Calibri" w:cs="Calibri"/>
          <w:sz w:val="24"/>
          <w:szCs w:val="24"/>
        </w:rPr>
        <w:t xml:space="preserve">. Desarrollar en corto plazo y en conjunto con todos los sectores de la sociedad un plan nacional de comunicaciones de emergencia, consistente con las recomendaciones de la Unión Internacional de Telecomunicaciones, que permita afrontar las secuelas del desastre ocasionado por la pandemia de la enfermedad CoVID-19. </w:t>
      </w:r>
    </w:p>
    <w:p w14:paraId="00000020" w14:textId="77777777" w:rsidR="009A79A8" w:rsidRPr="0099419D" w:rsidRDefault="009A79A8" w:rsidP="0099419D">
      <w:pPr>
        <w:jc w:val="both"/>
        <w:rPr>
          <w:rFonts w:ascii="Calibri" w:eastAsia="Calibri" w:hAnsi="Calibri" w:cs="Calibri"/>
          <w:sz w:val="24"/>
          <w:szCs w:val="24"/>
        </w:rPr>
      </w:pPr>
    </w:p>
    <w:p w14:paraId="00000021" w14:textId="752415BE" w:rsidR="009A79A8" w:rsidRPr="0099419D" w:rsidRDefault="00D223C8" w:rsidP="0099419D">
      <w:pPr>
        <w:jc w:val="both"/>
        <w:rPr>
          <w:rFonts w:ascii="Calibri" w:eastAsia="Calibri" w:hAnsi="Calibri" w:cs="Calibri"/>
          <w:sz w:val="24"/>
          <w:szCs w:val="24"/>
        </w:rPr>
      </w:pPr>
      <w:r w:rsidRPr="0099419D">
        <w:rPr>
          <w:rFonts w:ascii="Calibri" w:eastAsia="Calibri" w:hAnsi="Calibri" w:cs="Calibri"/>
          <w:b/>
          <w:sz w:val="24"/>
          <w:szCs w:val="24"/>
        </w:rPr>
        <w:t>Segunda</w:t>
      </w:r>
      <w:r w:rsidRPr="0099419D">
        <w:rPr>
          <w:rFonts w:ascii="Calibri" w:eastAsia="Calibri" w:hAnsi="Calibri" w:cs="Calibri"/>
          <w:sz w:val="24"/>
          <w:szCs w:val="24"/>
        </w:rPr>
        <w:t xml:space="preserve">. Implementar medidas de </w:t>
      </w:r>
      <w:r w:rsidR="00C43636">
        <w:rPr>
          <w:rFonts w:ascii="Calibri" w:eastAsia="Calibri" w:hAnsi="Calibri" w:cs="Calibri"/>
          <w:sz w:val="24"/>
          <w:szCs w:val="24"/>
        </w:rPr>
        <w:t>aplicación flexible y diferenciada en</w:t>
      </w:r>
      <w:r w:rsidRPr="0099419D">
        <w:rPr>
          <w:rFonts w:ascii="Calibri" w:eastAsia="Calibri" w:hAnsi="Calibri" w:cs="Calibri"/>
          <w:sz w:val="24"/>
          <w:szCs w:val="24"/>
        </w:rPr>
        <w:t xml:space="preserve"> la aprobación de concesiones de uso público, social, social comunitario, social indígena, privado y en general cualquiera que contribuya directamente a la mitigación del ciclo del desastre actual o futuro. </w:t>
      </w:r>
    </w:p>
    <w:p w14:paraId="00000022" w14:textId="77777777" w:rsidR="009A79A8" w:rsidRPr="0099419D" w:rsidRDefault="009A79A8" w:rsidP="0099419D">
      <w:pPr>
        <w:jc w:val="both"/>
        <w:rPr>
          <w:rFonts w:ascii="Calibri" w:eastAsia="Calibri" w:hAnsi="Calibri" w:cs="Calibri"/>
          <w:sz w:val="24"/>
          <w:szCs w:val="24"/>
        </w:rPr>
      </w:pPr>
    </w:p>
    <w:p w14:paraId="00000023" w14:textId="77777777" w:rsidR="009A79A8" w:rsidRPr="0099419D" w:rsidRDefault="00D223C8" w:rsidP="0099419D">
      <w:pPr>
        <w:jc w:val="both"/>
        <w:rPr>
          <w:rFonts w:ascii="Calibri" w:eastAsia="Calibri" w:hAnsi="Calibri" w:cs="Calibri"/>
          <w:sz w:val="24"/>
          <w:szCs w:val="24"/>
        </w:rPr>
      </w:pPr>
      <w:r w:rsidRPr="0099419D">
        <w:rPr>
          <w:rFonts w:ascii="Calibri" w:eastAsia="Calibri" w:hAnsi="Calibri" w:cs="Calibri"/>
          <w:b/>
          <w:sz w:val="24"/>
          <w:szCs w:val="24"/>
        </w:rPr>
        <w:t>Tercera</w:t>
      </w:r>
      <w:r w:rsidRPr="0099419D">
        <w:rPr>
          <w:rFonts w:ascii="Calibri" w:eastAsia="Calibri" w:hAnsi="Calibri" w:cs="Calibri"/>
          <w:sz w:val="24"/>
          <w:szCs w:val="24"/>
        </w:rPr>
        <w:t xml:space="preserve">. Tomar en consideración las recomendaciones emitidas por el Consejo Consultivo del Instituto Federal de Telecomunicaciones respecto a las concesiones de uso social, las de uso social indígena, el acceso a la multiprogramación y la inclusión digital. </w:t>
      </w:r>
    </w:p>
    <w:p w14:paraId="00000024" w14:textId="77777777" w:rsidR="009A79A8" w:rsidRPr="0099419D" w:rsidRDefault="009A79A8" w:rsidP="0099419D">
      <w:pPr>
        <w:jc w:val="both"/>
        <w:rPr>
          <w:rFonts w:ascii="Calibri" w:eastAsia="Calibri" w:hAnsi="Calibri" w:cs="Calibri"/>
          <w:sz w:val="24"/>
          <w:szCs w:val="24"/>
        </w:rPr>
      </w:pPr>
    </w:p>
    <w:p w14:paraId="00000025" w14:textId="2274EA8C" w:rsidR="009A79A8" w:rsidRPr="0099419D" w:rsidRDefault="00D223C8" w:rsidP="0099419D">
      <w:pPr>
        <w:jc w:val="both"/>
        <w:rPr>
          <w:rFonts w:ascii="Calibri" w:eastAsia="Calibri" w:hAnsi="Calibri" w:cs="Calibri"/>
          <w:sz w:val="24"/>
          <w:szCs w:val="24"/>
        </w:rPr>
      </w:pPr>
      <w:r w:rsidRPr="0099419D">
        <w:rPr>
          <w:rFonts w:ascii="Calibri" w:eastAsia="Calibri" w:hAnsi="Calibri" w:cs="Calibri"/>
          <w:b/>
          <w:sz w:val="24"/>
          <w:szCs w:val="24"/>
        </w:rPr>
        <w:t>Cuarta</w:t>
      </w:r>
      <w:r w:rsidRPr="0099419D">
        <w:rPr>
          <w:rFonts w:ascii="Calibri" w:eastAsia="Calibri" w:hAnsi="Calibri" w:cs="Calibri"/>
          <w:sz w:val="24"/>
          <w:szCs w:val="24"/>
        </w:rPr>
        <w:t xml:space="preserve">. Analizar y asignar bandas del espectro radioeléctrico para la implementación de servicios de comunicación que presten un servicio en zonas que carecen de conexión a la banda ancha o que incluso carecen de servicio de acceso a la transmisión de datos por internet y requieren espectro para establecer los enlaces punto a punto que permitan contar con acceso en los puntos de uso público considerados en el Programa Sectorial de Comunicaciones y Transportes 2020-2024 (publicado en el DOF el 2 de </w:t>
      </w:r>
      <w:r w:rsidR="00687415" w:rsidRPr="0099419D">
        <w:rPr>
          <w:rFonts w:ascii="Calibri" w:eastAsia="Calibri" w:hAnsi="Calibri" w:cs="Calibri"/>
          <w:sz w:val="24"/>
          <w:szCs w:val="24"/>
          <w:lang w:val="es-ES"/>
        </w:rPr>
        <w:t>julio</w:t>
      </w:r>
      <w:r w:rsidRPr="0099419D">
        <w:rPr>
          <w:rFonts w:ascii="Calibri" w:eastAsia="Calibri" w:hAnsi="Calibri" w:cs="Calibri"/>
          <w:sz w:val="24"/>
          <w:szCs w:val="24"/>
        </w:rPr>
        <w:t xml:space="preserve"> de 2020). </w:t>
      </w:r>
    </w:p>
    <w:p w14:paraId="00000026" w14:textId="77777777" w:rsidR="009A79A8" w:rsidRPr="0099419D" w:rsidRDefault="009A79A8" w:rsidP="0099419D">
      <w:pPr>
        <w:jc w:val="both"/>
        <w:rPr>
          <w:rFonts w:ascii="Calibri" w:eastAsia="Calibri" w:hAnsi="Calibri" w:cs="Calibri"/>
          <w:sz w:val="24"/>
          <w:szCs w:val="24"/>
        </w:rPr>
      </w:pPr>
    </w:p>
    <w:p w14:paraId="00000027" w14:textId="7169B4B6" w:rsidR="009A79A8" w:rsidRPr="0099419D" w:rsidRDefault="00D223C8" w:rsidP="0099419D">
      <w:pPr>
        <w:jc w:val="both"/>
        <w:rPr>
          <w:rFonts w:ascii="Calibri" w:eastAsia="Calibri" w:hAnsi="Calibri" w:cs="Calibri"/>
          <w:sz w:val="24"/>
          <w:szCs w:val="24"/>
          <w:lang w:val="es-ES"/>
        </w:rPr>
      </w:pPr>
      <w:r w:rsidRPr="0099419D">
        <w:rPr>
          <w:rFonts w:ascii="Calibri" w:eastAsia="Calibri" w:hAnsi="Calibri" w:cs="Calibri"/>
          <w:b/>
          <w:sz w:val="24"/>
          <w:szCs w:val="24"/>
        </w:rPr>
        <w:t>Quinta</w:t>
      </w:r>
      <w:r w:rsidRPr="0099419D">
        <w:rPr>
          <w:rFonts w:ascii="Calibri" w:eastAsia="Calibri" w:hAnsi="Calibri" w:cs="Calibri"/>
          <w:sz w:val="24"/>
          <w:szCs w:val="24"/>
        </w:rPr>
        <w:t xml:space="preserve">. En complemento a la </w:t>
      </w:r>
      <w:r w:rsidRPr="0099419D">
        <w:rPr>
          <w:rFonts w:ascii="Calibri" w:eastAsia="Calibri" w:hAnsi="Calibri" w:cs="Calibri"/>
          <w:b/>
          <w:sz w:val="24"/>
          <w:szCs w:val="24"/>
        </w:rPr>
        <w:t>Cuarta Recomendación</w:t>
      </w:r>
      <w:r w:rsidRPr="0099419D">
        <w:rPr>
          <w:rFonts w:ascii="Calibri" w:eastAsia="Calibri" w:hAnsi="Calibri" w:cs="Calibri"/>
          <w:sz w:val="24"/>
          <w:szCs w:val="24"/>
        </w:rPr>
        <w:t xml:space="preserve">, </w:t>
      </w:r>
      <w:r w:rsidR="005E6022" w:rsidRPr="0099419D">
        <w:rPr>
          <w:rFonts w:ascii="Calibri" w:eastAsia="Calibri" w:hAnsi="Calibri" w:cs="Calibri"/>
          <w:sz w:val="24"/>
          <w:szCs w:val="24"/>
          <w:lang w:val="es-ES"/>
        </w:rPr>
        <w:t>continuar la implementación</w:t>
      </w:r>
      <w:r w:rsidRPr="0099419D">
        <w:rPr>
          <w:rFonts w:ascii="Calibri" w:eastAsia="Calibri" w:hAnsi="Calibri" w:cs="Calibri"/>
          <w:sz w:val="24"/>
          <w:szCs w:val="24"/>
        </w:rPr>
        <w:t xml:space="preserve"> en el corto plazo </w:t>
      </w:r>
      <w:r w:rsidR="005E6022" w:rsidRPr="0099419D">
        <w:rPr>
          <w:rFonts w:ascii="Calibri" w:eastAsia="Calibri" w:hAnsi="Calibri" w:cs="Calibri"/>
          <w:sz w:val="24"/>
          <w:szCs w:val="24"/>
          <w:lang w:val="es-ES"/>
        </w:rPr>
        <w:t xml:space="preserve">de </w:t>
      </w:r>
      <w:r w:rsidRPr="0099419D">
        <w:rPr>
          <w:rFonts w:ascii="Calibri" w:eastAsia="Calibri" w:hAnsi="Calibri" w:cs="Calibri"/>
          <w:sz w:val="24"/>
          <w:szCs w:val="24"/>
        </w:rPr>
        <w:t xml:space="preserve">la asignación de la llamada banda de 6GHz (5.925 GHz a 7.125GHz) para servicio terrestre no licenciado de transmisión de datos, como se describe en la Recomendación </w:t>
      </w:r>
      <w:r w:rsidR="009C2CAA" w:rsidRPr="0099419D">
        <w:rPr>
          <w:rFonts w:ascii="Calibri" w:eastAsia="Calibri" w:hAnsi="Calibri" w:cs="Calibri"/>
          <w:sz w:val="24"/>
          <w:szCs w:val="24"/>
          <w:lang w:val="es-ES"/>
        </w:rPr>
        <w:t>“Aprovechamiento flexible en la banda de 6 GHz para mejoramiento del acceso en zonas rurales y con baja calidad de servicio” [16]</w:t>
      </w:r>
      <w:r w:rsidRPr="0099419D">
        <w:rPr>
          <w:rFonts w:ascii="Calibri" w:eastAsia="Calibri" w:hAnsi="Calibri" w:cs="Calibri"/>
          <w:sz w:val="24"/>
          <w:szCs w:val="24"/>
        </w:rPr>
        <w:t xml:space="preserve"> del </w:t>
      </w:r>
      <w:r w:rsidR="009C2CAA" w:rsidRPr="0099419D">
        <w:rPr>
          <w:rFonts w:ascii="Calibri" w:eastAsia="Calibri" w:hAnsi="Calibri" w:cs="Calibri"/>
          <w:sz w:val="24"/>
          <w:szCs w:val="24"/>
          <w:lang w:val="es-ES"/>
        </w:rPr>
        <w:t>IV Consejo Consultivo del Instituto Federal de Telecomunicaciones</w:t>
      </w:r>
      <w:r w:rsidRPr="0099419D">
        <w:rPr>
          <w:rFonts w:ascii="Calibri" w:eastAsia="Calibri" w:hAnsi="Calibri" w:cs="Calibri"/>
          <w:sz w:val="24"/>
          <w:szCs w:val="24"/>
        </w:rPr>
        <w:t xml:space="preserve">. </w:t>
      </w:r>
      <w:r w:rsidR="005E6022" w:rsidRPr="0099419D">
        <w:rPr>
          <w:rFonts w:ascii="Calibri" w:eastAsia="Calibri" w:hAnsi="Calibri" w:cs="Calibri"/>
          <w:sz w:val="24"/>
          <w:szCs w:val="24"/>
          <w:lang w:val="es-ES"/>
        </w:rPr>
        <w:t xml:space="preserve">De esta forma los PPS podrán contar con el espectro necesario para la interconexión de la última milla a la Red Compartida y a otras redes de transporte de datos. </w:t>
      </w:r>
    </w:p>
    <w:p w14:paraId="37EA6422" w14:textId="1FD683D2" w:rsidR="00723C76" w:rsidRPr="0099419D" w:rsidRDefault="00723C76" w:rsidP="0099419D">
      <w:pPr>
        <w:jc w:val="both"/>
        <w:rPr>
          <w:rFonts w:ascii="Calibri" w:eastAsia="Calibri" w:hAnsi="Calibri" w:cs="Calibri"/>
          <w:sz w:val="24"/>
          <w:szCs w:val="24"/>
        </w:rPr>
      </w:pPr>
    </w:p>
    <w:p w14:paraId="6B64D3C8" w14:textId="0942E447" w:rsidR="009921C0" w:rsidRPr="009921C0" w:rsidRDefault="00D223C8" w:rsidP="000D126E">
      <w:pPr>
        <w:jc w:val="both"/>
        <w:rPr>
          <w:rFonts w:ascii="Calibri" w:eastAsia="Calibri" w:hAnsi="Calibri" w:cs="Calibri"/>
          <w:sz w:val="24"/>
          <w:szCs w:val="24"/>
          <w:lang w:val="es-ES"/>
        </w:rPr>
      </w:pPr>
      <w:r w:rsidRPr="0099419D">
        <w:rPr>
          <w:rFonts w:ascii="Calibri" w:eastAsia="Calibri" w:hAnsi="Calibri" w:cs="Calibri"/>
          <w:b/>
          <w:bCs/>
          <w:sz w:val="24"/>
          <w:szCs w:val="24"/>
        </w:rPr>
        <w:t>Sexta</w:t>
      </w:r>
      <w:r w:rsidRPr="0099419D">
        <w:rPr>
          <w:rFonts w:ascii="Calibri" w:eastAsia="Calibri" w:hAnsi="Calibri" w:cs="Calibri"/>
          <w:sz w:val="24"/>
          <w:szCs w:val="24"/>
        </w:rPr>
        <w:t>. Implementar en el corto plazo esquemas regulatorios diferenciados para los micro y pequeños prove</w:t>
      </w:r>
      <w:r w:rsidR="00C43636">
        <w:rPr>
          <w:rFonts w:ascii="Calibri" w:eastAsia="Calibri" w:hAnsi="Calibri" w:cs="Calibri"/>
          <w:sz w:val="24"/>
          <w:szCs w:val="24"/>
        </w:rPr>
        <w:t>e</w:t>
      </w:r>
      <w:r w:rsidRPr="0099419D">
        <w:rPr>
          <w:rFonts w:ascii="Calibri" w:eastAsia="Calibri" w:hAnsi="Calibri" w:cs="Calibri"/>
          <w:sz w:val="24"/>
          <w:szCs w:val="24"/>
        </w:rPr>
        <w:t>dores de servicios de telecomunicaciones</w:t>
      </w:r>
      <w:r w:rsidR="00687415" w:rsidRPr="0099419D">
        <w:rPr>
          <w:rFonts w:ascii="Calibri" w:eastAsia="Calibri" w:hAnsi="Calibri" w:cs="Calibri"/>
          <w:sz w:val="24"/>
          <w:szCs w:val="24"/>
          <w:lang w:val="es-ES"/>
        </w:rPr>
        <w:t xml:space="preserve"> (concesionarios de uso comercial)</w:t>
      </w:r>
      <w:r w:rsidRPr="0099419D">
        <w:rPr>
          <w:rFonts w:ascii="Calibri" w:eastAsia="Calibri" w:hAnsi="Calibri" w:cs="Calibri"/>
          <w:sz w:val="24"/>
          <w:szCs w:val="24"/>
        </w:rPr>
        <w:t xml:space="preserve"> clasificados de acuerdo a la Ley para el Desarrollo de la Competitividad de la Micro, </w:t>
      </w:r>
      <w:proofErr w:type="spellStart"/>
      <w:r w:rsidRPr="0099419D">
        <w:rPr>
          <w:rFonts w:ascii="Calibri" w:eastAsia="Calibri" w:hAnsi="Calibri" w:cs="Calibri"/>
          <w:sz w:val="24"/>
          <w:szCs w:val="24"/>
        </w:rPr>
        <w:t>Pequeña</w:t>
      </w:r>
      <w:proofErr w:type="spellEnd"/>
      <w:r w:rsidRPr="0099419D">
        <w:rPr>
          <w:rFonts w:ascii="Calibri" w:eastAsia="Calibri" w:hAnsi="Calibri" w:cs="Calibri"/>
          <w:sz w:val="24"/>
          <w:szCs w:val="24"/>
        </w:rPr>
        <w:t xml:space="preserve"> y Mediana Empresa, y que provean servicios de acceso a internet en comunidades rurales o </w:t>
      </w:r>
      <w:proofErr w:type="spellStart"/>
      <w:r w:rsidRPr="0099419D">
        <w:rPr>
          <w:rFonts w:ascii="Calibri" w:eastAsia="Calibri" w:hAnsi="Calibri" w:cs="Calibri"/>
          <w:sz w:val="24"/>
          <w:szCs w:val="24"/>
        </w:rPr>
        <w:t>semirurales</w:t>
      </w:r>
      <w:proofErr w:type="spellEnd"/>
      <w:r w:rsidRPr="0099419D">
        <w:rPr>
          <w:rFonts w:ascii="Calibri" w:eastAsia="Calibri" w:hAnsi="Calibri" w:cs="Calibri"/>
          <w:sz w:val="24"/>
          <w:szCs w:val="24"/>
        </w:rPr>
        <w:t xml:space="preserve"> que están listadas en el Programa de Cobertura Social de la Subsecretaría de Comunicaciones y Transportes. </w:t>
      </w:r>
    </w:p>
    <w:p w14:paraId="6249D709" w14:textId="03911750" w:rsidR="009921C0" w:rsidRDefault="009921C0" w:rsidP="000D126E">
      <w:pPr>
        <w:jc w:val="both"/>
        <w:rPr>
          <w:rFonts w:ascii="Calibri" w:eastAsia="Calibri" w:hAnsi="Calibri" w:cs="Calibri"/>
          <w:b/>
          <w:lang w:val="en-US"/>
        </w:rPr>
      </w:pPr>
    </w:p>
    <w:p w14:paraId="0A5674AB" w14:textId="7AE1467E" w:rsidR="004841BB" w:rsidRPr="00F83FF8" w:rsidRDefault="004841BB" w:rsidP="000D126E">
      <w:pPr>
        <w:jc w:val="both"/>
        <w:rPr>
          <w:rFonts w:ascii="Calibri" w:eastAsia="Calibri" w:hAnsi="Calibri" w:cs="Calibri"/>
          <w:b/>
          <w:sz w:val="24"/>
          <w:szCs w:val="24"/>
          <w:lang w:val="en-US"/>
        </w:rPr>
      </w:pPr>
      <w:proofErr w:type="spellStart"/>
      <w:r w:rsidRPr="00F83FF8">
        <w:rPr>
          <w:rFonts w:ascii="Calibri" w:eastAsia="Calibri" w:hAnsi="Calibri" w:cs="Calibri"/>
          <w:b/>
          <w:sz w:val="24"/>
          <w:szCs w:val="24"/>
          <w:lang w:val="en-US"/>
        </w:rPr>
        <w:t>Referencias</w:t>
      </w:r>
      <w:proofErr w:type="spellEnd"/>
    </w:p>
    <w:p w14:paraId="64E28EA4" w14:textId="3C30E93D" w:rsidR="005E6022" w:rsidRPr="00F83FF8" w:rsidRDefault="005E6022" w:rsidP="000D126E">
      <w:pPr>
        <w:jc w:val="both"/>
        <w:rPr>
          <w:rFonts w:ascii="Calibri" w:eastAsia="Calibri" w:hAnsi="Calibri" w:cs="Calibri"/>
          <w:sz w:val="24"/>
          <w:szCs w:val="24"/>
          <w:lang w:val="en-US"/>
        </w:rPr>
      </w:pPr>
      <w:r w:rsidRPr="00F83FF8">
        <w:rPr>
          <w:rFonts w:ascii="Calibri" w:eastAsia="Calibri" w:hAnsi="Calibri" w:cs="Calibri"/>
          <w:sz w:val="24"/>
          <w:szCs w:val="24"/>
          <w:lang w:val="en-US"/>
        </w:rPr>
        <w:t xml:space="preserve"> </w:t>
      </w:r>
    </w:p>
    <w:p w14:paraId="7274A96E" w14:textId="1C0038F3" w:rsidR="000D126E" w:rsidRPr="00F83FF8" w:rsidRDefault="000D126E" w:rsidP="000D126E">
      <w:pPr>
        <w:jc w:val="both"/>
        <w:rPr>
          <w:rFonts w:ascii="Calibri" w:eastAsia="Times New Roman" w:hAnsi="Calibri" w:cs="Calibri"/>
          <w:sz w:val="24"/>
          <w:szCs w:val="24"/>
          <w:lang w:eastAsia="en-US"/>
        </w:rPr>
      </w:pPr>
      <w:r w:rsidRPr="00F83FF8">
        <w:rPr>
          <w:rFonts w:ascii="Calibri" w:eastAsia="Times New Roman" w:hAnsi="Calibri" w:cs="Calibri"/>
          <w:sz w:val="24"/>
          <w:szCs w:val="24"/>
          <w:lang w:eastAsia="en-US"/>
        </w:rPr>
        <w:t>[1]</w:t>
      </w:r>
      <w:r w:rsidRPr="00F83FF8">
        <w:rPr>
          <w:rFonts w:ascii="Calibri" w:eastAsia="Times New Roman" w:hAnsi="Calibri" w:cs="Calibri"/>
          <w:sz w:val="24"/>
          <w:szCs w:val="24"/>
          <w:lang w:eastAsia="en-US"/>
        </w:rPr>
        <w:tab/>
        <w:t>UNICEF España, “La Educación Frente al CoViD-19: Propuestas para impulsar el derecho a la educación durante la emergencia”. UNICEF, abr. 2020.</w:t>
      </w:r>
    </w:p>
    <w:p w14:paraId="3B629098" w14:textId="77777777" w:rsidR="000D126E" w:rsidRPr="00F83FF8" w:rsidRDefault="000D126E" w:rsidP="000D126E">
      <w:pPr>
        <w:jc w:val="both"/>
        <w:rPr>
          <w:rFonts w:ascii="Calibri" w:eastAsia="Times New Roman" w:hAnsi="Calibri" w:cs="Calibri"/>
          <w:sz w:val="24"/>
          <w:szCs w:val="24"/>
          <w:lang w:eastAsia="en-US"/>
        </w:rPr>
      </w:pPr>
    </w:p>
    <w:p w14:paraId="0094D747" w14:textId="163D59F9" w:rsidR="000D126E" w:rsidRPr="00F83FF8" w:rsidRDefault="000D126E" w:rsidP="000D126E">
      <w:pPr>
        <w:jc w:val="both"/>
        <w:rPr>
          <w:rFonts w:ascii="Calibri" w:eastAsia="Times New Roman" w:hAnsi="Calibri" w:cs="Calibri"/>
          <w:sz w:val="24"/>
          <w:szCs w:val="24"/>
          <w:lang w:eastAsia="en-US"/>
        </w:rPr>
      </w:pPr>
      <w:r w:rsidRPr="00F83FF8">
        <w:rPr>
          <w:rFonts w:ascii="Calibri" w:eastAsia="Times New Roman" w:hAnsi="Calibri" w:cs="Calibri"/>
          <w:sz w:val="24"/>
          <w:szCs w:val="24"/>
          <w:lang w:eastAsia="en-US"/>
        </w:rPr>
        <w:t>[2]</w:t>
      </w:r>
      <w:r w:rsidRPr="00F83FF8">
        <w:rPr>
          <w:rFonts w:ascii="Calibri" w:eastAsia="Times New Roman" w:hAnsi="Calibri" w:cs="Calibri"/>
          <w:sz w:val="24"/>
          <w:szCs w:val="24"/>
          <w:lang w:eastAsia="en-US"/>
        </w:rPr>
        <w:tab/>
        <w:t xml:space="preserve">“ITU-WHO </w:t>
      </w:r>
      <w:proofErr w:type="spellStart"/>
      <w:r w:rsidRPr="00F83FF8">
        <w:rPr>
          <w:rFonts w:ascii="Calibri" w:eastAsia="Times New Roman" w:hAnsi="Calibri" w:cs="Calibri"/>
          <w:sz w:val="24"/>
          <w:szCs w:val="24"/>
          <w:lang w:eastAsia="en-US"/>
        </w:rPr>
        <w:t>Joint</w:t>
      </w:r>
      <w:proofErr w:type="spellEnd"/>
      <w:r w:rsidRPr="00F83FF8">
        <w:rPr>
          <w:rFonts w:ascii="Calibri" w:eastAsia="Times New Roman" w:hAnsi="Calibri" w:cs="Calibri"/>
          <w:sz w:val="24"/>
          <w:szCs w:val="24"/>
          <w:lang w:eastAsia="en-US"/>
        </w:rPr>
        <w:t xml:space="preserve"> </w:t>
      </w:r>
      <w:proofErr w:type="spellStart"/>
      <w:r w:rsidRPr="00F83FF8">
        <w:rPr>
          <w:rFonts w:ascii="Calibri" w:eastAsia="Times New Roman" w:hAnsi="Calibri" w:cs="Calibri"/>
          <w:sz w:val="24"/>
          <w:szCs w:val="24"/>
          <w:lang w:eastAsia="en-US"/>
        </w:rPr>
        <w:t>Statement</w:t>
      </w:r>
      <w:proofErr w:type="spellEnd"/>
      <w:r w:rsidRPr="00F83FF8">
        <w:rPr>
          <w:rFonts w:ascii="Calibri" w:eastAsia="Times New Roman" w:hAnsi="Calibri" w:cs="Calibri"/>
          <w:sz w:val="24"/>
          <w:szCs w:val="24"/>
          <w:lang w:eastAsia="en-US"/>
        </w:rPr>
        <w:t xml:space="preserve">: </w:t>
      </w:r>
      <w:proofErr w:type="spellStart"/>
      <w:r w:rsidRPr="00F83FF8">
        <w:rPr>
          <w:rFonts w:ascii="Calibri" w:eastAsia="Times New Roman" w:hAnsi="Calibri" w:cs="Calibri"/>
          <w:sz w:val="24"/>
          <w:szCs w:val="24"/>
          <w:lang w:eastAsia="en-US"/>
        </w:rPr>
        <w:t>Unleashing</w:t>
      </w:r>
      <w:proofErr w:type="spellEnd"/>
      <w:r w:rsidRPr="00F83FF8">
        <w:rPr>
          <w:rFonts w:ascii="Calibri" w:eastAsia="Times New Roman" w:hAnsi="Calibri" w:cs="Calibri"/>
          <w:sz w:val="24"/>
          <w:szCs w:val="24"/>
          <w:lang w:eastAsia="en-US"/>
        </w:rPr>
        <w:t xml:space="preserve"> </w:t>
      </w:r>
      <w:proofErr w:type="spellStart"/>
      <w:r w:rsidRPr="00F83FF8">
        <w:rPr>
          <w:rFonts w:ascii="Calibri" w:eastAsia="Times New Roman" w:hAnsi="Calibri" w:cs="Calibri"/>
          <w:sz w:val="24"/>
          <w:szCs w:val="24"/>
          <w:lang w:eastAsia="en-US"/>
        </w:rPr>
        <w:t>information</w:t>
      </w:r>
      <w:proofErr w:type="spellEnd"/>
      <w:r w:rsidRPr="00F83FF8">
        <w:rPr>
          <w:rFonts w:ascii="Calibri" w:eastAsia="Times New Roman" w:hAnsi="Calibri" w:cs="Calibri"/>
          <w:sz w:val="24"/>
          <w:szCs w:val="24"/>
          <w:lang w:eastAsia="en-US"/>
        </w:rPr>
        <w:t xml:space="preserve"> </w:t>
      </w:r>
      <w:proofErr w:type="spellStart"/>
      <w:r w:rsidRPr="00F83FF8">
        <w:rPr>
          <w:rFonts w:ascii="Calibri" w:eastAsia="Times New Roman" w:hAnsi="Calibri" w:cs="Calibri"/>
          <w:sz w:val="24"/>
          <w:szCs w:val="24"/>
          <w:lang w:eastAsia="en-US"/>
        </w:rPr>
        <w:t>technology</w:t>
      </w:r>
      <w:proofErr w:type="spellEnd"/>
      <w:r w:rsidRPr="00F83FF8">
        <w:rPr>
          <w:rFonts w:ascii="Calibri" w:eastAsia="Times New Roman" w:hAnsi="Calibri" w:cs="Calibri"/>
          <w:sz w:val="24"/>
          <w:szCs w:val="24"/>
          <w:lang w:eastAsia="en-US"/>
        </w:rPr>
        <w:t xml:space="preserve"> to </w:t>
      </w:r>
      <w:proofErr w:type="spellStart"/>
      <w:r w:rsidRPr="00F83FF8">
        <w:rPr>
          <w:rFonts w:ascii="Calibri" w:eastAsia="Times New Roman" w:hAnsi="Calibri" w:cs="Calibri"/>
          <w:sz w:val="24"/>
          <w:szCs w:val="24"/>
          <w:lang w:eastAsia="en-US"/>
        </w:rPr>
        <w:t>defeat</w:t>
      </w:r>
      <w:proofErr w:type="spellEnd"/>
      <w:r w:rsidRPr="00F83FF8">
        <w:rPr>
          <w:rFonts w:ascii="Calibri" w:eastAsia="Times New Roman" w:hAnsi="Calibri" w:cs="Calibri"/>
          <w:sz w:val="24"/>
          <w:szCs w:val="24"/>
          <w:lang w:eastAsia="en-US"/>
        </w:rPr>
        <w:t xml:space="preserve"> COVID-19”. https://www.who.int/news-room/detail/20-04-2020-itu-who-joint-statement-unleashing-information-technology-to-defeat-covid-19 (consultado jul. 05, 2020).</w:t>
      </w:r>
    </w:p>
    <w:p w14:paraId="4AB1709C" w14:textId="77777777" w:rsidR="000D126E" w:rsidRPr="00F83FF8" w:rsidRDefault="000D126E" w:rsidP="000D126E">
      <w:pPr>
        <w:jc w:val="both"/>
        <w:rPr>
          <w:rFonts w:ascii="Calibri" w:eastAsia="Times New Roman" w:hAnsi="Calibri" w:cs="Calibri"/>
          <w:sz w:val="24"/>
          <w:szCs w:val="24"/>
          <w:lang w:eastAsia="en-US"/>
        </w:rPr>
      </w:pPr>
    </w:p>
    <w:p w14:paraId="69136B13" w14:textId="1B629C4B" w:rsidR="000D126E" w:rsidRPr="00F83FF8" w:rsidRDefault="000D126E" w:rsidP="000D126E">
      <w:pPr>
        <w:jc w:val="both"/>
        <w:rPr>
          <w:rFonts w:ascii="Calibri" w:eastAsia="Times New Roman" w:hAnsi="Calibri" w:cs="Calibri"/>
          <w:sz w:val="24"/>
          <w:szCs w:val="24"/>
          <w:lang w:eastAsia="en-US"/>
        </w:rPr>
      </w:pPr>
      <w:r w:rsidRPr="00F83FF8">
        <w:rPr>
          <w:rFonts w:ascii="Calibri" w:eastAsia="Times New Roman" w:hAnsi="Calibri" w:cs="Calibri"/>
          <w:sz w:val="24"/>
          <w:szCs w:val="24"/>
          <w:lang w:eastAsia="en-US"/>
        </w:rPr>
        <w:t>[3]</w:t>
      </w:r>
      <w:r w:rsidRPr="00F83FF8">
        <w:rPr>
          <w:rFonts w:ascii="Calibri" w:eastAsia="Times New Roman" w:hAnsi="Calibri" w:cs="Calibri"/>
          <w:sz w:val="24"/>
          <w:szCs w:val="24"/>
          <w:lang w:eastAsia="en-US"/>
        </w:rPr>
        <w:tab/>
        <w:t>Acuerdo por el que se establecen acciones extraordinarias para atender la emergencia sanitaria generada por el virus SARS-CoV2. Diario Oficial de la Federación. México. 2020.</w:t>
      </w:r>
    </w:p>
    <w:p w14:paraId="311297B4" w14:textId="77777777" w:rsidR="000D126E" w:rsidRPr="00F83FF8" w:rsidRDefault="000D126E" w:rsidP="000D126E">
      <w:pPr>
        <w:jc w:val="both"/>
        <w:rPr>
          <w:rFonts w:ascii="Calibri" w:eastAsia="Times New Roman" w:hAnsi="Calibri" w:cs="Calibri"/>
          <w:sz w:val="24"/>
          <w:szCs w:val="24"/>
          <w:lang w:eastAsia="en-US"/>
        </w:rPr>
      </w:pPr>
    </w:p>
    <w:p w14:paraId="28FF9F28" w14:textId="0FBC8F24" w:rsidR="000D126E" w:rsidRPr="00F83FF8" w:rsidRDefault="000D126E" w:rsidP="000D126E">
      <w:pPr>
        <w:jc w:val="both"/>
        <w:rPr>
          <w:rFonts w:ascii="Calibri" w:eastAsia="Times New Roman" w:hAnsi="Calibri" w:cs="Calibri"/>
          <w:sz w:val="24"/>
          <w:szCs w:val="24"/>
          <w:lang w:eastAsia="en-US"/>
        </w:rPr>
      </w:pPr>
      <w:r w:rsidRPr="00F83FF8">
        <w:rPr>
          <w:rFonts w:ascii="Calibri" w:eastAsia="Times New Roman" w:hAnsi="Calibri" w:cs="Calibri"/>
          <w:sz w:val="24"/>
          <w:szCs w:val="24"/>
          <w:lang w:eastAsia="en-US"/>
        </w:rPr>
        <w:t>[4]</w:t>
      </w:r>
      <w:r w:rsidRPr="00F83FF8">
        <w:rPr>
          <w:rFonts w:ascii="Calibri" w:eastAsia="Times New Roman" w:hAnsi="Calibri" w:cs="Calibri"/>
          <w:sz w:val="24"/>
          <w:szCs w:val="24"/>
          <w:lang w:eastAsia="en-US"/>
        </w:rPr>
        <w:tab/>
      </w:r>
      <w:proofErr w:type="spellStart"/>
      <w:r w:rsidRPr="00F83FF8">
        <w:rPr>
          <w:rFonts w:ascii="Calibri" w:eastAsia="Times New Roman" w:hAnsi="Calibri" w:cs="Calibri"/>
          <w:sz w:val="24"/>
          <w:szCs w:val="24"/>
          <w:lang w:eastAsia="en-US"/>
        </w:rPr>
        <w:t>Working</w:t>
      </w:r>
      <w:proofErr w:type="spellEnd"/>
      <w:r w:rsidRPr="00F83FF8">
        <w:rPr>
          <w:rFonts w:ascii="Calibri" w:eastAsia="Times New Roman" w:hAnsi="Calibri" w:cs="Calibri"/>
          <w:sz w:val="24"/>
          <w:szCs w:val="24"/>
          <w:lang w:eastAsia="en-US"/>
        </w:rPr>
        <w:t xml:space="preserve"> </w:t>
      </w:r>
      <w:proofErr w:type="spellStart"/>
      <w:r w:rsidRPr="00F83FF8">
        <w:rPr>
          <w:rFonts w:ascii="Calibri" w:eastAsia="Times New Roman" w:hAnsi="Calibri" w:cs="Calibri"/>
          <w:sz w:val="24"/>
          <w:szCs w:val="24"/>
          <w:lang w:eastAsia="en-US"/>
        </w:rPr>
        <w:t>Group</w:t>
      </w:r>
      <w:proofErr w:type="spellEnd"/>
      <w:r w:rsidRPr="00F83FF8">
        <w:rPr>
          <w:rFonts w:ascii="Calibri" w:eastAsia="Times New Roman" w:hAnsi="Calibri" w:cs="Calibri"/>
          <w:sz w:val="24"/>
          <w:szCs w:val="24"/>
          <w:lang w:eastAsia="en-US"/>
        </w:rPr>
        <w:t xml:space="preserve"> </w:t>
      </w:r>
      <w:proofErr w:type="spellStart"/>
      <w:r w:rsidRPr="00F83FF8">
        <w:rPr>
          <w:rFonts w:ascii="Calibri" w:eastAsia="Times New Roman" w:hAnsi="Calibri" w:cs="Calibri"/>
          <w:sz w:val="24"/>
          <w:szCs w:val="24"/>
          <w:lang w:eastAsia="en-US"/>
        </w:rPr>
        <w:t>on</w:t>
      </w:r>
      <w:proofErr w:type="spellEnd"/>
      <w:r w:rsidRPr="00F83FF8">
        <w:rPr>
          <w:rFonts w:ascii="Calibri" w:eastAsia="Times New Roman" w:hAnsi="Calibri" w:cs="Calibri"/>
          <w:sz w:val="24"/>
          <w:szCs w:val="24"/>
          <w:lang w:eastAsia="en-US"/>
        </w:rPr>
        <w:t xml:space="preserve"> </w:t>
      </w:r>
      <w:proofErr w:type="spellStart"/>
      <w:r w:rsidRPr="00F83FF8">
        <w:rPr>
          <w:rFonts w:ascii="Calibri" w:eastAsia="Times New Roman" w:hAnsi="Calibri" w:cs="Calibri"/>
          <w:sz w:val="24"/>
          <w:szCs w:val="24"/>
          <w:lang w:eastAsia="en-US"/>
        </w:rPr>
        <w:t>Epidemic</w:t>
      </w:r>
      <w:proofErr w:type="spellEnd"/>
      <w:r w:rsidRPr="00F83FF8">
        <w:rPr>
          <w:rFonts w:ascii="Calibri" w:eastAsia="Times New Roman" w:hAnsi="Calibri" w:cs="Calibri"/>
          <w:sz w:val="24"/>
          <w:szCs w:val="24"/>
          <w:lang w:eastAsia="en-US"/>
        </w:rPr>
        <w:t xml:space="preserve"> </w:t>
      </w:r>
      <w:proofErr w:type="spellStart"/>
      <w:r w:rsidRPr="00F83FF8">
        <w:rPr>
          <w:rFonts w:ascii="Calibri" w:eastAsia="Times New Roman" w:hAnsi="Calibri" w:cs="Calibri"/>
          <w:sz w:val="24"/>
          <w:szCs w:val="24"/>
          <w:lang w:eastAsia="en-US"/>
        </w:rPr>
        <w:t>Preparedness</w:t>
      </w:r>
      <w:proofErr w:type="spellEnd"/>
      <w:r w:rsidRPr="00F83FF8">
        <w:rPr>
          <w:rFonts w:ascii="Calibri" w:eastAsia="Times New Roman" w:hAnsi="Calibri" w:cs="Calibri"/>
          <w:sz w:val="24"/>
          <w:szCs w:val="24"/>
          <w:lang w:eastAsia="en-US"/>
        </w:rPr>
        <w:t>, “</w:t>
      </w:r>
      <w:proofErr w:type="spellStart"/>
      <w:r w:rsidRPr="00F83FF8">
        <w:rPr>
          <w:rFonts w:ascii="Calibri" w:eastAsia="Times New Roman" w:hAnsi="Calibri" w:cs="Calibri"/>
          <w:sz w:val="24"/>
          <w:szCs w:val="24"/>
          <w:lang w:eastAsia="en-US"/>
        </w:rPr>
        <w:t>Preventing</w:t>
      </w:r>
      <w:proofErr w:type="spellEnd"/>
      <w:r w:rsidRPr="00F83FF8">
        <w:rPr>
          <w:rFonts w:ascii="Calibri" w:eastAsia="Times New Roman" w:hAnsi="Calibri" w:cs="Calibri"/>
          <w:sz w:val="24"/>
          <w:szCs w:val="24"/>
          <w:lang w:eastAsia="en-US"/>
        </w:rPr>
        <w:t xml:space="preserve"> </w:t>
      </w:r>
      <w:proofErr w:type="spellStart"/>
      <w:r w:rsidRPr="00F83FF8">
        <w:rPr>
          <w:rFonts w:ascii="Calibri" w:eastAsia="Times New Roman" w:hAnsi="Calibri" w:cs="Calibri"/>
          <w:sz w:val="24"/>
          <w:szCs w:val="24"/>
          <w:lang w:eastAsia="en-US"/>
        </w:rPr>
        <w:t>the</w:t>
      </w:r>
      <w:proofErr w:type="spellEnd"/>
      <w:r w:rsidRPr="00F83FF8">
        <w:rPr>
          <w:rFonts w:ascii="Calibri" w:eastAsia="Times New Roman" w:hAnsi="Calibri" w:cs="Calibri"/>
          <w:sz w:val="24"/>
          <w:szCs w:val="24"/>
          <w:lang w:eastAsia="en-US"/>
        </w:rPr>
        <w:t xml:space="preserve"> Spread of </w:t>
      </w:r>
      <w:proofErr w:type="spellStart"/>
      <w:r w:rsidRPr="00F83FF8">
        <w:rPr>
          <w:rFonts w:ascii="Calibri" w:eastAsia="Times New Roman" w:hAnsi="Calibri" w:cs="Calibri"/>
          <w:sz w:val="24"/>
          <w:szCs w:val="24"/>
          <w:lang w:eastAsia="en-US"/>
        </w:rPr>
        <w:t>Epidemics</w:t>
      </w:r>
      <w:proofErr w:type="spellEnd"/>
      <w:r w:rsidRPr="00F83FF8">
        <w:rPr>
          <w:rFonts w:ascii="Calibri" w:eastAsia="Times New Roman" w:hAnsi="Calibri" w:cs="Calibri"/>
          <w:sz w:val="24"/>
          <w:szCs w:val="24"/>
          <w:lang w:eastAsia="en-US"/>
        </w:rPr>
        <w:t xml:space="preserve"> </w:t>
      </w:r>
      <w:proofErr w:type="spellStart"/>
      <w:r w:rsidRPr="00F83FF8">
        <w:rPr>
          <w:rFonts w:ascii="Calibri" w:eastAsia="Times New Roman" w:hAnsi="Calibri" w:cs="Calibri"/>
          <w:sz w:val="24"/>
          <w:szCs w:val="24"/>
          <w:lang w:eastAsia="en-US"/>
        </w:rPr>
        <w:t>Using</w:t>
      </w:r>
      <w:proofErr w:type="spellEnd"/>
      <w:r w:rsidRPr="00F83FF8">
        <w:rPr>
          <w:rFonts w:ascii="Calibri" w:eastAsia="Times New Roman" w:hAnsi="Calibri" w:cs="Calibri"/>
          <w:sz w:val="24"/>
          <w:szCs w:val="24"/>
          <w:lang w:eastAsia="en-US"/>
        </w:rPr>
        <w:t xml:space="preserve"> ICT”, </w:t>
      </w:r>
      <w:proofErr w:type="spellStart"/>
      <w:r w:rsidRPr="00F83FF8">
        <w:rPr>
          <w:rFonts w:ascii="Calibri" w:eastAsia="Times New Roman" w:hAnsi="Calibri" w:cs="Calibri"/>
          <w:sz w:val="24"/>
          <w:szCs w:val="24"/>
          <w:lang w:eastAsia="en-US"/>
        </w:rPr>
        <w:t>Broadband</w:t>
      </w:r>
      <w:proofErr w:type="spellEnd"/>
      <w:r w:rsidRPr="00F83FF8">
        <w:rPr>
          <w:rFonts w:ascii="Calibri" w:eastAsia="Times New Roman" w:hAnsi="Calibri" w:cs="Calibri"/>
          <w:sz w:val="24"/>
          <w:szCs w:val="24"/>
          <w:lang w:eastAsia="en-US"/>
        </w:rPr>
        <w:t xml:space="preserve"> </w:t>
      </w:r>
      <w:proofErr w:type="spellStart"/>
      <w:r w:rsidRPr="00F83FF8">
        <w:rPr>
          <w:rFonts w:ascii="Calibri" w:eastAsia="Times New Roman" w:hAnsi="Calibri" w:cs="Calibri"/>
          <w:sz w:val="24"/>
          <w:szCs w:val="24"/>
          <w:lang w:eastAsia="en-US"/>
        </w:rPr>
        <w:t>Commission</w:t>
      </w:r>
      <w:proofErr w:type="spellEnd"/>
      <w:r w:rsidRPr="00F83FF8">
        <w:rPr>
          <w:rFonts w:ascii="Calibri" w:eastAsia="Times New Roman" w:hAnsi="Calibri" w:cs="Calibri"/>
          <w:sz w:val="24"/>
          <w:szCs w:val="24"/>
          <w:lang w:eastAsia="en-US"/>
        </w:rPr>
        <w:t xml:space="preserve"> </w:t>
      </w:r>
      <w:proofErr w:type="spellStart"/>
      <w:r w:rsidRPr="00F83FF8">
        <w:rPr>
          <w:rFonts w:ascii="Calibri" w:eastAsia="Times New Roman" w:hAnsi="Calibri" w:cs="Calibri"/>
          <w:sz w:val="24"/>
          <w:szCs w:val="24"/>
          <w:lang w:eastAsia="en-US"/>
        </w:rPr>
        <w:t>for</w:t>
      </w:r>
      <w:proofErr w:type="spellEnd"/>
      <w:r w:rsidRPr="00F83FF8">
        <w:rPr>
          <w:rFonts w:ascii="Calibri" w:eastAsia="Times New Roman" w:hAnsi="Calibri" w:cs="Calibri"/>
          <w:sz w:val="24"/>
          <w:szCs w:val="24"/>
          <w:lang w:eastAsia="en-US"/>
        </w:rPr>
        <w:t xml:space="preserve"> </w:t>
      </w:r>
      <w:proofErr w:type="spellStart"/>
      <w:r w:rsidRPr="00F83FF8">
        <w:rPr>
          <w:rFonts w:ascii="Calibri" w:eastAsia="Times New Roman" w:hAnsi="Calibri" w:cs="Calibri"/>
          <w:sz w:val="24"/>
          <w:szCs w:val="24"/>
          <w:lang w:eastAsia="en-US"/>
        </w:rPr>
        <w:t>Sustainable</w:t>
      </w:r>
      <w:proofErr w:type="spellEnd"/>
      <w:r w:rsidRPr="00F83FF8">
        <w:rPr>
          <w:rFonts w:ascii="Calibri" w:eastAsia="Times New Roman" w:hAnsi="Calibri" w:cs="Calibri"/>
          <w:sz w:val="24"/>
          <w:szCs w:val="24"/>
          <w:lang w:eastAsia="en-US"/>
        </w:rPr>
        <w:t xml:space="preserve"> </w:t>
      </w:r>
      <w:proofErr w:type="spellStart"/>
      <w:r w:rsidRPr="00F83FF8">
        <w:rPr>
          <w:rFonts w:ascii="Calibri" w:eastAsia="Times New Roman" w:hAnsi="Calibri" w:cs="Calibri"/>
          <w:sz w:val="24"/>
          <w:szCs w:val="24"/>
          <w:lang w:eastAsia="en-US"/>
        </w:rPr>
        <w:t>Development</w:t>
      </w:r>
      <w:proofErr w:type="spellEnd"/>
      <w:r w:rsidRPr="00F83FF8">
        <w:rPr>
          <w:rFonts w:ascii="Calibri" w:eastAsia="Times New Roman" w:hAnsi="Calibri" w:cs="Calibri"/>
          <w:sz w:val="24"/>
          <w:szCs w:val="24"/>
          <w:lang w:eastAsia="en-US"/>
        </w:rPr>
        <w:t>., sep. 2018.</w:t>
      </w:r>
    </w:p>
    <w:p w14:paraId="4FCC0D20" w14:textId="77777777" w:rsidR="000D126E" w:rsidRPr="00F83FF8" w:rsidRDefault="000D126E" w:rsidP="000D126E">
      <w:pPr>
        <w:jc w:val="both"/>
        <w:rPr>
          <w:rFonts w:ascii="Calibri" w:eastAsia="Times New Roman" w:hAnsi="Calibri" w:cs="Calibri"/>
          <w:sz w:val="24"/>
          <w:szCs w:val="24"/>
          <w:lang w:eastAsia="en-US"/>
        </w:rPr>
      </w:pPr>
    </w:p>
    <w:p w14:paraId="71898C02" w14:textId="7FB67637" w:rsidR="000D126E" w:rsidRDefault="000D126E" w:rsidP="000D126E">
      <w:pPr>
        <w:jc w:val="both"/>
        <w:rPr>
          <w:rFonts w:ascii="Calibri" w:eastAsia="Times New Roman" w:hAnsi="Calibri" w:cs="Calibri"/>
          <w:sz w:val="24"/>
          <w:szCs w:val="24"/>
          <w:lang w:eastAsia="en-US"/>
        </w:rPr>
      </w:pPr>
      <w:r w:rsidRPr="00F83FF8">
        <w:rPr>
          <w:rFonts w:ascii="Calibri" w:eastAsia="Times New Roman" w:hAnsi="Calibri" w:cs="Calibri"/>
          <w:sz w:val="24"/>
          <w:szCs w:val="24"/>
          <w:lang w:eastAsia="en-US"/>
        </w:rPr>
        <w:t>[5]</w:t>
      </w:r>
      <w:r w:rsidRPr="00F83FF8">
        <w:rPr>
          <w:rFonts w:ascii="Calibri" w:eastAsia="Times New Roman" w:hAnsi="Calibri" w:cs="Calibri"/>
          <w:sz w:val="24"/>
          <w:szCs w:val="24"/>
          <w:lang w:eastAsia="en-US"/>
        </w:rPr>
        <w:tab/>
        <w:t>Secretaría de Comunicaciones y Transportes, “Programa Sectorial de Comunicaciones y Transportes 2020-2024.” Diario Oficial de la Federación, jul. 02, 2020.</w:t>
      </w:r>
    </w:p>
    <w:p w14:paraId="15E21B49" w14:textId="77777777" w:rsidR="00BE5EA6" w:rsidRPr="00F83FF8" w:rsidRDefault="00BE5EA6" w:rsidP="000D126E">
      <w:pPr>
        <w:jc w:val="both"/>
        <w:rPr>
          <w:rFonts w:ascii="Calibri" w:eastAsia="Times New Roman" w:hAnsi="Calibri" w:cs="Calibri"/>
          <w:sz w:val="24"/>
          <w:szCs w:val="24"/>
          <w:lang w:eastAsia="en-US"/>
        </w:rPr>
      </w:pPr>
    </w:p>
    <w:p w14:paraId="44CD17B2" w14:textId="5C58934C" w:rsidR="000D126E" w:rsidRPr="00F83FF8" w:rsidRDefault="000D126E" w:rsidP="000D126E">
      <w:pPr>
        <w:jc w:val="both"/>
        <w:rPr>
          <w:rFonts w:ascii="Calibri" w:eastAsia="Times New Roman" w:hAnsi="Calibri" w:cs="Calibri"/>
          <w:sz w:val="24"/>
          <w:szCs w:val="24"/>
          <w:lang w:eastAsia="en-US"/>
        </w:rPr>
      </w:pPr>
      <w:r w:rsidRPr="00F83FF8">
        <w:rPr>
          <w:rFonts w:ascii="Calibri" w:eastAsia="Times New Roman" w:hAnsi="Calibri" w:cs="Calibri"/>
          <w:sz w:val="24"/>
          <w:szCs w:val="24"/>
          <w:lang w:eastAsia="en-US"/>
        </w:rPr>
        <w:t>[6]</w:t>
      </w:r>
      <w:r w:rsidRPr="00F83FF8">
        <w:rPr>
          <w:rFonts w:ascii="Calibri" w:eastAsia="Times New Roman" w:hAnsi="Calibri" w:cs="Calibri"/>
          <w:sz w:val="24"/>
          <w:szCs w:val="24"/>
          <w:lang w:eastAsia="en-US"/>
        </w:rPr>
        <w:tab/>
        <w:t>Ley Federal de Telecomunicaciones y Radiodifusión. 2017.</w:t>
      </w:r>
    </w:p>
    <w:p w14:paraId="4D17B96E" w14:textId="77777777" w:rsidR="000D126E" w:rsidRPr="00F83FF8" w:rsidRDefault="000D126E" w:rsidP="000D126E">
      <w:pPr>
        <w:jc w:val="both"/>
        <w:rPr>
          <w:rFonts w:ascii="Calibri" w:eastAsia="Times New Roman" w:hAnsi="Calibri" w:cs="Calibri"/>
          <w:sz w:val="24"/>
          <w:szCs w:val="24"/>
          <w:lang w:eastAsia="en-US"/>
        </w:rPr>
      </w:pPr>
    </w:p>
    <w:p w14:paraId="0B12E1F5" w14:textId="77CBB230" w:rsidR="000D126E" w:rsidRPr="00F83FF8" w:rsidRDefault="000D126E" w:rsidP="000D126E">
      <w:pPr>
        <w:jc w:val="both"/>
        <w:rPr>
          <w:rFonts w:ascii="Calibri" w:eastAsia="Times New Roman" w:hAnsi="Calibri" w:cs="Calibri"/>
          <w:sz w:val="24"/>
          <w:szCs w:val="24"/>
          <w:lang w:eastAsia="en-US"/>
        </w:rPr>
      </w:pPr>
      <w:r w:rsidRPr="00F83FF8">
        <w:rPr>
          <w:rFonts w:ascii="Calibri" w:eastAsia="Times New Roman" w:hAnsi="Calibri" w:cs="Calibri"/>
          <w:sz w:val="24"/>
          <w:szCs w:val="24"/>
          <w:lang w:eastAsia="en-US"/>
        </w:rPr>
        <w:t>[7]</w:t>
      </w:r>
      <w:r w:rsidRPr="00F83FF8">
        <w:rPr>
          <w:rFonts w:ascii="Calibri" w:eastAsia="Times New Roman" w:hAnsi="Calibri" w:cs="Calibri"/>
          <w:sz w:val="24"/>
          <w:szCs w:val="24"/>
          <w:lang w:eastAsia="en-US"/>
        </w:rPr>
        <w:tab/>
        <w:t xml:space="preserve">Secretaría de Comunicaciones y Transportes, “Programa de Cobertura Social”, Secretaría de Comunicaciones y Transportes, </w:t>
      </w:r>
      <w:proofErr w:type="spellStart"/>
      <w:r w:rsidRPr="00F83FF8">
        <w:rPr>
          <w:rFonts w:ascii="Calibri" w:eastAsia="Times New Roman" w:hAnsi="Calibri" w:cs="Calibri"/>
          <w:sz w:val="24"/>
          <w:szCs w:val="24"/>
          <w:lang w:eastAsia="en-US"/>
        </w:rPr>
        <w:t>Mexico</w:t>
      </w:r>
      <w:proofErr w:type="spellEnd"/>
      <w:r w:rsidRPr="00F83FF8">
        <w:rPr>
          <w:rFonts w:ascii="Calibri" w:eastAsia="Times New Roman" w:hAnsi="Calibri" w:cs="Calibri"/>
          <w:sz w:val="24"/>
          <w:szCs w:val="24"/>
          <w:lang w:eastAsia="en-US"/>
        </w:rPr>
        <w:t>, oct. 2019.</w:t>
      </w:r>
    </w:p>
    <w:p w14:paraId="5C7FCFA6" w14:textId="77777777" w:rsidR="000D126E" w:rsidRPr="00F83FF8" w:rsidRDefault="000D126E" w:rsidP="000D126E">
      <w:pPr>
        <w:jc w:val="both"/>
        <w:rPr>
          <w:rFonts w:ascii="Calibri" w:eastAsia="Times New Roman" w:hAnsi="Calibri" w:cs="Calibri"/>
          <w:sz w:val="24"/>
          <w:szCs w:val="24"/>
          <w:lang w:eastAsia="en-US"/>
        </w:rPr>
      </w:pPr>
    </w:p>
    <w:p w14:paraId="6E7322C2" w14:textId="0C5897D2" w:rsidR="000D126E" w:rsidRDefault="000D126E" w:rsidP="000D126E">
      <w:pPr>
        <w:jc w:val="both"/>
        <w:rPr>
          <w:rFonts w:ascii="Calibri" w:eastAsia="Times New Roman" w:hAnsi="Calibri" w:cs="Calibri"/>
          <w:sz w:val="24"/>
          <w:szCs w:val="24"/>
          <w:lang w:eastAsia="en-US"/>
        </w:rPr>
      </w:pPr>
      <w:r w:rsidRPr="00F83FF8">
        <w:rPr>
          <w:rFonts w:ascii="Calibri" w:eastAsia="Times New Roman" w:hAnsi="Calibri" w:cs="Calibri"/>
          <w:sz w:val="24"/>
          <w:szCs w:val="24"/>
          <w:lang w:eastAsia="en-US"/>
        </w:rPr>
        <w:t>[8]</w:t>
      </w:r>
      <w:r w:rsidRPr="00F83FF8">
        <w:rPr>
          <w:rFonts w:ascii="Calibri" w:eastAsia="Times New Roman" w:hAnsi="Calibri" w:cs="Calibri"/>
          <w:sz w:val="24"/>
          <w:szCs w:val="24"/>
          <w:lang w:eastAsia="en-US"/>
        </w:rPr>
        <w:tab/>
        <w:t xml:space="preserve">Unidad del Espectro Radioeléctrico, “IMT en México. Más espectro para aplicaciones de Banda Ancha Inalámbrica.”, Instituto Federal de Telecomunicaciones, México. 2020. </w:t>
      </w:r>
    </w:p>
    <w:p w14:paraId="3DC51800" w14:textId="77777777" w:rsidR="00BE5EA6" w:rsidRPr="00F83FF8" w:rsidRDefault="00BE5EA6" w:rsidP="000D126E">
      <w:pPr>
        <w:jc w:val="both"/>
        <w:rPr>
          <w:rFonts w:ascii="Calibri" w:eastAsia="Times New Roman" w:hAnsi="Calibri" w:cs="Calibri"/>
          <w:sz w:val="24"/>
          <w:szCs w:val="24"/>
          <w:lang w:eastAsia="en-US"/>
        </w:rPr>
      </w:pPr>
    </w:p>
    <w:p w14:paraId="52095381" w14:textId="4B93720A" w:rsidR="000D126E" w:rsidRPr="00F83FF8" w:rsidRDefault="000D126E" w:rsidP="000D126E">
      <w:pPr>
        <w:jc w:val="both"/>
        <w:rPr>
          <w:rFonts w:ascii="Calibri" w:eastAsia="Times New Roman" w:hAnsi="Calibri" w:cs="Calibri"/>
          <w:sz w:val="24"/>
          <w:szCs w:val="24"/>
          <w:lang w:eastAsia="en-US"/>
        </w:rPr>
      </w:pPr>
      <w:r w:rsidRPr="00F83FF8">
        <w:rPr>
          <w:rFonts w:ascii="Calibri" w:eastAsia="Times New Roman" w:hAnsi="Calibri" w:cs="Calibri"/>
          <w:sz w:val="24"/>
          <w:szCs w:val="24"/>
          <w:lang w:eastAsia="en-US"/>
        </w:rPr>
        <w:t>[9]</w:t>
      </w:r>
      <w:r w:rsidRPr="00F83FF8">
        <w:rPr>
          <w:rFonts w:ascii="Calibri" w:eastAsia="Times New Roman" w:hAnsi="Calibri" w:cs="Calibri"/>
          <w:sz w:val="24"/>
          <w:szCs w:val="24"/>
          <w:lang w:eastAsia="en-US"/>
        </w:rPr>
        <w:tab/>
        <w:t>Organismo Promotor de Inversiones en Telecomunicaciones, “Evaluación de la red compartida al 50% de la cobertura poblacional.”, Organismo Promotor de Inversiones en Telecomunicaciones, 2019.</w:t>
      </w:r>
    </w:p>
    <w:p w14:paraId="728ABE60" w14:textId="77777777" w:rsidR="000D126E" w:rsidRPr="00F83FF8" w:rsidRDefault="000D126E" w:rsidP="000D126E">
      <w:pPr>
        <w:jc w:val="both"/>
        <w:rPr>
          <w:rFonts w:ascii="Calibri" w:eastAsia="Times New Roman" w:hAnsi="Calibri" w:cs="Calibri"/>
          <w:sz w:val="24"/>
          <w:szCs w:val="24"/>
          <w:lang w:eastAsia="en-US"/>
        </w:rPr>
      </w:pPr>
    </w:p>
    <w:p w14:paraId="4AD54C69" w14:textId="2C72ED21" w:rsidR="000D126E" w:rsidRPr="00F83FF8" w:rsidRDefault="000D126E" w:rsidP="000D126E">
      <w:pPr>
        <w:jc w:val="both"/>
        <w:rPr>
          <w:rFonts w:ascii="Calibri" w:eastAsia="Times New Roman" w:hAnsi="Calibri" w:cs="Calibri"/>
          <w:sz w:val="24"/>
          <w:szCs w:val="24"/>
          <w:lang w:eastAsia="en-US"/>
        </w:rPr>
      </w:pPr>
      <w:r w:rsidRPr="00F83FF8">
        <w:rPr>
          <w:rFonts w:ascii="Calibri" w:eastAsia="Times New Roman" w:hAnsi="Calibri" w:cs="Calibri"/>
          <w:sz w:val="24"/>
          <w:szCs w:val="24"/>
          <w:lang w:eastAsia="en-US"/>
        </w:rPr>
        <w:t>[10]</w:t>
      </w:r>
      <w:r w:rsidRPr="00F83FF8">
        <w:rPr>
          <w:rFonts w:ascii="Calibri" w:eastAsia="Times New Roman" w:hAnsi="Calibri" w:cs="Calibri"/>
          <w:sz w:val="24"/>
          <w:szCs w:val="24"/>
          <w:lang w:eastAsia="en-US"/>
        </w:rPr>
        <w:tab/>
        <w:t>Organismo Promotor de Inversiones en Telecomunicaciones, “Reporte ejecutivo de los principales indicadores de coyuntura del sector telecomunicaciones del</w:t>
      </w:r>
      <w:r w:rsidR="00016B50">
        <w:rPr>
          <w:rFonts w:ascii="Calibri" w:eastAsia="Times New Roman" w:hAnsi="Calibri" w:cs="Calibri"/>
          <w:sz w:val="24"/>
          <w:szCs w:val="24"/>
          <w:lang w:eastAsia="en-US"/>
        </w:rPr>
        <w:t xml:space="preserve"> </w:t>
      </w:r>
      <w:r w:rsidRPr="00F83FF8">
        <w:rPr>
          <w:rFonts w:ascii="Calibri" w:eastAsia="Times New Roman" w:hAnsi="Calibri" w:cs="Calibri"/>
          <w:sz w:val="24"/>
          <w:szCs w:val="24"/>
          <w:lang w:eastAsia="en-US"/>
        </w:rPr>
        <w:t>primer y segundo trimestre de 2019”, Organismo Promotor de Inversiones en Telecomunicaciones, 2019.</w:t>
      </w:r>
    </w:p>
    <w:p w14:paraId="2E9FD54E" w14:textId="77777777" w:rsidR="000D126E" w:rsidRPr="00F83FF8" w:rsidRDefault="000D126E" w:rsidP="000D126E">
      <w:pPr>
        <w:jc w:val="both"/>
        <w:rPr>
          <w:rFonts w:ascii="Calibri" w:eastAsia="Times New Roman" w:hAnsi="Calibri" w:cs="Calibri"/>
          <w:sz w:val="24"/>
          <w:szCs w:val="24"/>
          <w:lang w:eastAsia="en-US"/>
        </w:rPr>
      </w:pPr>
    </w:p>
    <w:p w14:paraId="73E13C19" w14:textId="3257475D" w:rsidR="000D126E" w:rsidRPr="00F83FF8" w:rsidRDefault="000D126E" w:rsidP="000D126E">
      <w:pPr>
        <w:jc w:val="both"/>
        <w:rPr>
          <w:rFonts w:ascii="Calibri" w:eastAsia="Times New Roman" w:hAnsi="Calibri" w:cs="Calibri"/>
          <w:sz w:val="24"/>
          <w:szCs w:val="24"/>
          <w:lang w:eastAsia="en-US"/>
        </w:rPr>
      </w:pPr>
      <w:r w:rsidRPr="00F83FF8">
        <w:rPr>
          <w:rFonts w:ascii="Calibri" w:eastAsia="Times New Roman" w:hAnsi="Calibri" w:cs="Calibri"/>
          <w:sz w:val="24"/>
          <w:szCs w:val="24"/>
          <w:lang w:eastAsia="en-US"/>
        </w:rPr>
        <w:t>[11]</w:t>
      </w:r>
      <w:r w:rsidRPr="00F83FF8">
        <w:rPr>
          <w:rFonts w:ascii="Calibri" w:eastAsia="Times New Roman" w:hAnsi="Calibri" w:cs="Calibri"/>
          <w:sz w:val="24"/>
          <w:szCs w:val="24"/>
          <w:lang w:eastAsia="en-US"/>
        </w:rPr>
        <w:tab/>
        <w:t>11 S. Hasan, “</w:t>
      </w:r>
      <w:proofErr w:type="spellStart"/>
      <w:r w:rsidRPr="00F83FF8">
        <w:rPr>
          <w:rFonts w:ascii="Calibri" w:eastAsia="Times New Roman" w:hAnsi="Calibri" w:cs="Calibri"/>
          <w:sz w:val="24"/>
          <w:szCs w:val="24"/>
          <w:lang w:eastAsia="en-US"/>
        </w:rPr>
        <w:t>Towards</w:t>
      </w:r>
      <w:proofErr w:type="spellEnd"/>
      <w:r w:rsidRPr="00F83FF8">
        <w:rPr>
          <w:rFonts w:ascii="Calibri" w:eastAsia="Times New Roman" w:hAnsi="Calibri" w:cs="Calibri"/>
          <w:sz w:val="24"/>
          <w:szCs w:val="24"/>
          <w:lang w:eastAsia="en-US"/>
        </w:rPr>
        <w:t xml:space="preserve"> </w:t>
      </w:r>
      <w:proofErr w:type="spellStart"/>
      <w:r w:rsidRPr="00F83FF8">
        <w:rPr>
          <w:rFonts w:ascii="Calibri" w:eastAsia="Times New Roman" w:hAnsi="Calibri" w:cs="Calibri"/>
          <w:sz w:val="24"/>
          <w:szCs w:val="24"/>
          <w:lang w:eastAsia="en-US"/>
        </w:rPr>
        <w:t>Scalable</w:t>
      </w:r>
      <w:proofErr w:type="spellEnd"/>
      <w:r w:rsidRPr="00F83FF8">
        <w:rPr>
          <w:rFonts w:ascii="Calibri" w:eastAsia="Times New Roman" w:hAnsi="Calibri" w:cs="Calibri"/>
          <w:sz w:val="24"/>
          <w:szCs w:val="24"/>
          <w:lang w:eastAsia="en-US"/>
        </w:rPr>
        <w:t xml:space="preserve"> </w:t>
      </w:r>
      <w:proofErr w:type="spellStart"/>
      <w:r w:rsidRPr="00F83FF8">
        <w:rPr>
          <w:rFonts w:ascii="Calibri" w:eastAsia="Times New Roman" w:hAnsi="Calibri" w:cs="Calibri"/>
          <w:sz w:val="24"/>
          <w:szCs w:val="24"/>
          <w:lang w:eastAsia="en-US"/>
        </w:rPr>
        <w:t>Community</w:t>
      </w:r>
      <w:proofErr w:type="spellEnd"/>
      <w:r w:rsidRPr="00F83FF8">
        <w:rPr>
          <w:rFonts w:ascii="Calibri" w:eastAsia="Times New Roman" w:hAnsi="Calibri" w:cs="Calibri"/>
          <w:sz w:val="24"/>
          <w:szCs w:val="24"/>
          <w:lang w:eastAsia="en-US"/>
        </w:rPr>
        <w:t xml:space="preserve"> Networks”, 2019.</w:t>
      </w:r>
    </w:p>
    <w:p w14:paraId="708872ED" w14:textId="0CA27034" w:rsidR="000D126E" w:rsidRDefault="000D126E" w:rsidP="000D126E">
      <w:pPr>
        <w:jc w:val="both"/>
        <w:rPr>
          <w:rFonts w:ascii="Calibri" w:eastAsia="Times New Roman" w:hAnsi="Calibri" w:cs="Calibri"/>
          <w:sz w:val="24"/>
          <w:szCs w:val="24"/>
          <w:lang w:eastAsia="en-US"/>
        </w:rPr>
      </w:pPr>
    </w:p>
    <w:p w14:paraId="047BD4BA" w14:textId="19BD8868" w:rsidR="00BE5EA6" w:rsidRDefault="00BE5EA6" w:rsidP="000D126E">
      <w:pPr>
        <w:jc w:val="both"/>
        <w:rPr>
          <w:rFonts w:ascii="Calibri" w:eastAsia="Times New Roman" w:hAnsi="Calibri" w:cs="Calibri"/>
          <w:sz w:val="24"/>
          <w:szCs w:val="24"/>
          <w:lang w:eastAsia="en-US"/>
        </w:rPr>
      </w:pPr>
    </w:p>
    <w:p w14:paraId="43DD6110" w14:textId="1961E8C1" w:rsidR="00BE5EA6" w:rsidRPr="00F83FF8" w:rsidRDefault="00BE5EA6" w:rsidP="000D126E">
      <w:pPr>
        <w:jc w:val="both"/>
        <w:rPr>
          <w:rFonts w:ascii="Calibri" w:eastAsia="Times New Roman" w:hAnsi="Calibri" w:cs="Calibri"/>
          <w:sz w:val="24"/>
          <w:szCs w:val="24"/>
          <w:lang w:eastAsia="en-US"/>
        </w:rPr>
      </w:pPr>
    </w:p>
    <w:p w14:paraId="6EAB5143" w14:textId="351A5C44" w:rsidR="000D126E" w:rsidRPr="00F83FF8" w:rsidRDefault="000D126E" w:rsidP="000D126E">
      <w:pPr>
        <w:jc w:val="both"/>
        <w:rPr>
          <w:rFonts w:ascii="Calibri" w:eastAsia="Times New Roman" w:hAnsi="Calibri" w:cs="Calibri"/>
          <w:sz w:val="24"/>
          <w:szCs w:val="24"/>
          <w:lang w:eastAsia="en-US"/>
        </w:rPr>
      </w:pPr>
      <w:r w:rsidRPr="00F83FF8">
        <w:rPr>
          <w:rFonts w:ascii="Calibri" w:eastAsia="Times New Roman" w:hAnsi="Calibri" w:cs="Calibri"/>
          <w:sz w:val="24"/>
          <w:szCs w:val="24"/>
          <w:lang w:eastAsia="en-US"/>
        </w:rPr>
        <w:t>[12]</w:t>
      </w:r>
      <w:r w:rsidRPr="00F83FF8">
        <w:rPr>
          <w:rFonts w:ascii="Calibri" w:eastAsia="Times New Roman" w:hAnsi="Calibri" w:cs="Calibri"/>
          <w:sz w:val="24"/>
          <w:szCs w:val="24"/>
          <w:lang w:eastAsia="en-US"/>
        </w:rPr>
        <w:tab/>
        <w:t xml:space="preserve">12 P. </w:t>
      </w:r>
      <w:proofErr w:type="spellStart"/>
      <w:r w:rsidRPr="00F83FF8">
        <w:rPr>
          <w:rFonts w:ascii="Calibri" w:eastAsia="Times New Roman" w:hAnsi="Calibri" w:cs="Calibri"/>
          <w:sz w:val="24"/>
          <w:szCs w:val="24"/>
          <w:lang w:eastAsia="en-US"/>
        </w:rPr>
        <w:t>Micholia</w:t>
      </w:r>
      <w:proofErr w:type="spellEnd"/>
      <w:r w:rsidRPr="00F83FF8">
        <w:rPr>
          <w:rFonts w:ascii="Calibri" w:eastAsia="Times New Roman" w:hAnsi="Calibri" w:cs="Calibri"/>
          <w:sz w:val="24"/>
          <w:szCs w:val="24"/>
          <w:lang w:eastAsia="en-US"/>
        </w:rPr>
        <w:t xml:space="preserve"> et al., “</w:t>
      </w:r>
      <w:proofErr w:type="spellStart"/>
      <w:r w:rsidRPr="00F83FF8">
        <w:rPr>
          <w:rFonts w:ascii="Calibri" w:eastAsia="Times New Roman" w:hAnsi="Calibri" w:cs="Calibri"/>
          <w:sz w:val="24"/>
          <w:szCs w:val="24"/>
          <w:lang w:eastAsia="en-US"/>
        </w:rPr>
        <w:t>Community</w:t>
      </w:r>
      <w:proofErr w:type="spellEnd"/>
      <w:r w:rsidRPr="00F83FF8">
        <w:rPr>
          <w:rFonts w:ascii="Calibri" w:eastAsia="Times New Roman" w:hAnsi="Calibri" w:cs="Calibri"/>
          <w:sz w:val="24"/>
          <w:szCs w:val="24"/>
          <w:lang w:eastAsia="en-US"/>
        </w:rPr>
        <w:t xml:space="preserve"> </w:t>
      </w:r>
      <w:proofErr w:type="spellStart"/>
      <w:r w:rsidRPr="00F83FF8">
        <w:rPr>
          <w:rFonts w:ascii="Calibri" w:eastAsia="Times New Roman" w:hAnsi="Calibri" w:cs="Calibri"/>
          <w:sz w:val="24"/>
          <w:szCs w:val="24"/>
          <w:lang w:eastAsia="en-US"/>
        </w:rPr>
        <w:t>networks</w:t>
      </w:r>
      <w:proofErr w:type="spellEnd"/>
      <w:r w:rsidRPr="00F83FF8">
        <w:rPr>
          <w:rFonts w:ascii="Calibri" w:eastAsia="Times New Roman" w:hAnsi="Calibri" w:cs="Calibri"/>
          <w:sz w:val="24"/>
          <w:szCs w:val="24"/>
          <w:lang w:eastAsia="en-US"/>
        </w:rPr>
        <w:t xml:space="preserve"> and </w:t>
      </w:r>
      <w:proofErr w:type="spellStart"/>
      <w:r w:rsidRPr="00F83FF8">
        <w:rPr>
          <w:rFonts w:ascii="Calibri" w:eastAsia="Times New Roman" w:hAnsi="Calibri" w:cs="Calibri"/>
          <w:sz w:val="24"/>
          <w:szCs w:val="24"/>
          <w:lang w:eastAsia="en-US"/>
        </w:rPr>
        <w:t>sustainability</w:t>
      </w:r>
      <w:proofErr w:type="spellEnd"/>
      <w:r w:rsidRPr="00F83FF8">
        <w:rPr>
          <w:rFonts w:ascii="Calibri" w:eastAsia="Times New Roman" w:hAnsi="Calibri" w:cs="Calibri"/>
          <w:sz w:val="24"/>
          <w:szCs w:val="24"/>
          <w:lang w:eastAsia="en-US"/>
        </w:rPr>
        <w:t xml:space="preserve">: a </w:t>
      </w:r>
      <w:proofErr w:type="spellStart"/>
      <w:r w:rsidRPr="00F83FF8">
        <w:rPr>
          <w:rFonts w:ascii="Calibri" w:eastAsia="Times New Roman" w:hAnsi="Calibri" w:cs="Calibri"/>
          <w:sz w:val="24"/>
          <w:szCs w:val="24"/>
          <w:lang w:eastAsia="en-US"/>
        </w:rPr>
        <w:t>survey</w:t>
      </w:r>
      <w:proofErr w:type="spellEnd"/>
      <w:r w:rsidRPr="00F83FF8">
        <w:rPr>
          <w:rFonts w:ascii="Calibri" w:eastAsia="Times New Roman" w:hAnsi="Calibri" w:cs="Calibri"/>
          <w:sz w:val="24"/>
          <w:szCs w:val="24"/>
          <w:lang w:eastAsia="en-US"/>
        </w:rPr>
        <w:t xml:space="preserve"> of </w:t>
      </w:r>
      <w:proofErr w:type="spellStart"/>
      <w:r w:rsidRPr="00F83FF8">
        <w:rPr>
          <w:rFonts w:ascii="Calibri" w:eastAsia="Times New Roman" w:hAnsi="Calibri" w:cs="Calibri"/>
          <w:sz w:val="24"/>
          <w:szCs w:val="24"/>
          <w:lang w:eastAsia="en-US"/>
        </w:rPr>
        <w:t>perceptions</w:t>
      </w:r>
      <w:proofErr w:type="spellEnd"/>
      <w:r w:rsidRPr="00F83FF8">
        <w:rPr>
          <w:rFonts w:ascii="Calibri" w:eastAsia="Times New Roman" w:hAnsi="Calibri" w:cs="Calibri"/>
          <w:sz w:val="24"/>
          <w:szCs w:val="24"/>
          <w:lang w:eastAsia="en-US"/>
        </w:rPr>
        <w:t xml:space="preserve">, </w:t>
      </w:r>
      <w:proofErr w:type="spellStart"/>
      <w:r w:rsidRPr="00F83FF8">
        <w:rPr>
          <w:rFonts w:ascii="Calibri" w:eastAsia="Times New Roman" w:hAnsi="Calibri" w:cs="Calibri"/>
          <w:sz w:val="24"/>
          <w:szCs w:val="24"/>
          <w:lang w:eastAsia="en-US"/>
        </w:rPr>
        <w:t>practices</w:t>
      </w:r>
      <w:proofErr w:type="spellEnd"/>
      <w:r w:rsidRPr="00F83FF8">
        <w:rPr>
          <w:rFonts w:ascii="Calibri" w:eastAsia="Times New Roman" w:hAnsi="Calibri" w:cs="Calibri"/>
          <w:sz w:val="24"/>
          <w:szCs w:val="24"/>
          <w:lang w:eastAsia="en-US"/>
        </w:rPr>
        <w:t xml:space="preserve">, and </w:t>
      </w:r>
      <w:proofErr w:type="spellStart"/>
      <w:r w:rsidRPr="00F83FF8">
        <w:rPr>
          <w:rFonts w:ascii="Calibri" w:eastAsia="Times New Roman" w:hAnsi="Calibri" w:cs="Calibri"/>
          <w:sz w:val="24"/>
          <w:szCs w:val="24"/>
          <w:lang w:eastAsia="en-US"/>
        </w:rPr>
        <w:t>proposed</w:t>
      </w:r>
      <w:proofErr w:type="spellEnd"/>
      <w:r w:rsidRPr="00F83FF8">
        <w:rPr>
          <w:rFonts w:ascii="Calibri" w:eastAsia="Times New Roman" w:hAnsi="Calibri" w:cs="Calibri"/>
          <w:sz w:val="24"/>
          <w:szCs w:val="24"/>
          <w:lang w:eastAsia="en-US"/>
        </w:rPr>
        <w:t xml:space="preserve"> </w:t>
      </w:r>
      <w:proofErr w:type="spellStart"/>
      <w:r w:rsidRPr="00F83FF8">
        <w:rPr>
          <w:rFonts w:ascii="Calibri" w:eastAsia="Times New Roman" w:hAnsi="Calibri" w:cs="Calibri"/>
          <w:sz w:val="24"/>
          <w:szCs w:val="24"/>
          <w:lang w:eastAsia="en-US"/>
        </w:rPr>
        <w:t>solutions</w:t>
      </w:r>
      <w:proofErr w:type="spellEnd"/>
      <w:r w:rsidRPr="00F83FF8">
        <w:rPr>
          <w:rFonts w:ascii="Calibri" w:eastAsia="Times New Roman" w:hAnsi="Calibri" w:cs="Calibri"/>
          <w:sz w:val="24"/>
          <w:szCs w:val="24"/>
          <w:lang w:eastAsia="en-US"/>
        </w:rPr>
        <w:t xml:space="preserve">”, IEEE </w:t>
      </w:r>
      <w:proofErr w:type="spellStart"/>
      <w:r w:rsidRPr="00F83FF8">
        <w:rPr>
          <w:rFonts w:ascii="Calibri" w:eastAsia="Times New Roman" w:hAnsi="Calibri" w:cs="Calibri"/>
          <w:sz w:val="24"/>
          <w:szCs w:val="24"/>
          <w:lang w:eastAsia="en-US"/>
        </w:rPr>
        <w:t>Communications</w:t>
      </w:r>
      <w:proofErr w:type="spellEnd"/>
      <w:r w:rsidRPr="00F83FF8">
        <w:rPr>
          <w:rFonts w:ascii="Calibri" w:eastAsia="Times New Roman" w:hAnsi="Calibri" w:cs="Calibri"/>
          <w:sz w:val="24"/>
          <w:szCs w:val="24"/>
          <w:lang w:eastAsia="en-US"/>
        </w:rPr>
        <w:t xml:space="preserve"> </w:t>
      </w:r>
      <w:proofErr w:type="spellStart"/>
      <w:r w:rsidRPr="00F83FF8">
        <w:rPr>
          <w:rFonts w:ascii="Calibri" w:eastAsia="Times New Roman" w:hAnsi="Calibri" w:cs="Calibri"/>
          <w:sz w:val="24"/>
          <w:szCs w:val="24"/>
          <w:lang w:eastAsia="en-US"/>
        </w:rPr>
        <w:t>Surveys</w:t>
      </w:r>
      <w:proofErr w:type="spellEnd"/>
      <w:r w:rsidRPr="00F83FF8">
        <w:rPr>
          <w:rFonts w:ascii="Calibri" w:eastAsia="Times New Roman" w:hAnsi="Calibri" w:cs="Calibri"/>
          <w:sz w:val="24"/>
          <w:szCs w:val="24"/>
          <w:lang w:eastAsia="en-US"/>
        </w:rPr>
        <w:t xml:space="preserve"> &amp; </w:t>
      </w:r>
      <w:proofErr w:type="spellStart"/>
      <w:r w:rsidRPr="00F83FF8">
        <w:rPr>
          <w:rFonts w:ascii="Calibri" w:eastAsia="Times New Roman" w:hAnsi="Calibri" w:cs="Calibri"/>
          <w:sz w:val="24"/>
          <w:szCs w:val="24"/>
          <w:lang w:eastAsia="en-US"/>
        </w:rPr>
        <w:t>Tutorials</w:t>
      </w:r>
      <w:proofErr w:type="spellEnd"/>
      <w:r w:rsidRPr="00F83FF8">
        <w:rPr>
          <w:rFonts w:ascii="Calibri" w:eastAsia="Times New Roman" w:hAnsi="Calibri" w:cs="Calibri"/>
          <w:sz w:val="24"/>
          <w:szCs w:val="24"/>
          <w:lang w:eastAsia="en-US"/>
        </w:rPr>
        <w:t>, vol. 20, núm. 4, pp. 3581–3606, 2018.</w:t>
      </w:r>
      <w:r w:rsidR="00B82050" w:rsidRPr="00B82050">
        <w:rPr>
          <w:rFonts w:ascii="ITC Avant Garde" w:hAnsi="ITC Avant Garde" w:cstheme="minorHAnsi"/>
          <w:b/>
          <w:bCs/>
          <w:smallCaps/>
          <w:noProof/>
          <w:color w:val="002060"/>
        </w:rPr>
        <w:t xml:space="preserve"> </w:t>
      </w:r>
    </w:p>
    <w:p w14:paraId="2E47B54F" w14:textId="77777777" w:rsidR="00F83FF8" w:rsidRDefault="00F83FF8" w:rsidP="000D126E">
      <w:pPr>
        <w:jc w:val="both"/>
        <w:rPr>
          <w:rFonts w:ascii="Calibri" w:eastAsia="Times New Roman" w:hAnsi="Calibri" w:cs="Calibri"/>
          <w:sz w:val="24"/>
          <w:szCs w:val="24"/>
          <w:lang w:eastAsia="en-US"/>
        </w:rPr>
      </w:pPr>
    </w:p>
    <w:p w14:paraId="71B1AF0C" w14:textId="62E60B2D" w:rsidR="000D126E" w:rsidRPr="00F83FF8" w:rsidRDefault="000D126E" w:rsidP="000D126E">
      <w:pPr>
        <w:jc w:val="both"/>
        <w:rPr>
          <w:rFonts w:ascii="Calibri" w:eastAsia="Times New Roman" w:hAnsi="Calibri" w:cs="Calibri"/>
          <w:sz w:val="24"/>
          <w:szCs w:val="24"/>
          <w:lang w:eastAsia="en-US"/>
        </w:rPr>
      </w:pPr>
      <w:r w:rsidRPr="00F83FF8">
        <w:rPr>
          <w:rFonts w:ascii="Calibri" w:eastAsia="Times New Roman" w:hAnsi="Calibri" w:cs="Calibri"/>
          <w:sz w:val="24"/>
          <w:szCs w:val="24"/>
          <w:lang w:eastAsia="en-US"/>
        </w:rPr>
        <w:t>[13]</w:t>
      </w:r>
      <w:r w:rsidRPr="00F83FF8">
        <w:rPr>
          <w:rFonts w:ascii="Calibri" w:eastAsia="Times New Roman" w:hAnsi="Calibri" w:cs="Calibri"/>
          <w:sz w:val="24"/>
          <w:szCs w:val="24"/>
          <w:lang w:eastAsia="en-US"/>
        </w:rPr>
        <w:tab/>
        <w:t xml:space="preserve">H. </w:t>
      </w:r>
      <w:proofErr w:type="spellStart"/>
      <w:r w:rsidRPr="00F83FF8">
        <w:rPr>
          <w:rFonts w:ascii="Calibri" w:eastAsia="Times New Roman" w:hAnsi="Calibri" w:cs="Calibri"/>
          <w:sz w:val="24"/>
          <w:szCs w:val="24"/>
          <w:lang w:eastAsia="en-US"/>
        </w:rPr>
        <w:t>Galperin</w:t>
      </w:r>
      <w:proofErr w:type="spellEnd"/>
      <w:r w:rsidRPr="00F83FF8">
        <w:rPr>
          <w:rFonts w:ascii="Calibri" w:eastAsia="Times New Roman" w:hAnsi="Calibri" w:cs="Calibri"/>
          <w:sz w:val="24"/>
          <w:szCs w:val="24"/>
          <w:lang w:eastAsia="en-US"/>
        </w:rPr>
        <w:t xml:space="preserve"> y B. </w:t>
      </w:r>
      <w:proofErr w:type="spellStart"/>
      <w:r w:rsidRPr="00F83FF8">
        <w:rPr>
          <w:rFonts w:ascii="Calibri" w:eastAsia="Times New Roman" w:hAnsi="Calibri" w:cs="Calibri"/>
          <w:sz w:val="24"/>
          <w:szCs w:val="24"/>
          <w:lang w:eastAsia="en-US"/>
        </w:rPr>
        <w:t>Girard</w:t>
      </w:r>
      <w:proofErr w:type="spellEnd"/>
      <w:r w:rsidRPr="00F83FF8">
        <w:rPr>
          <w:rFonts w:ascii="Calibri" w:eastAsia="Times New Roman" w:hAnsi="Calibri" w:cs="Calibri"/>
          <w:sz w:val="24"/>
          <w:szCs w:val="24"/>
          <w:lang w:eastAsia="en-US"/>
        </w:rPr>
        <w:t>, “</w:t>
      </w:r>
      <w:proofErr w:type="spellStart"/>
      <w:r w:rsidRPr="00F83FF8">
        <w:rPr>
          <w:rFonts w:ascii="Calibri" w:eastAsia="Times New Roman" w:hAnsi="Calibri" w:cs="Calibri"/>
          <w:sz w:val="24"/>
          <w:szCs w:val="24"/>
          <w:lang w:eastAsia="en-US"/>
        </w:rPr>
        <w:t>Microtelcos</w:t>
      </w:r>
      <w:proofErr w:type="spellEnd"/>
      <w:r w:rsidRPr="00F83FF8">
        <w:rPr>
          <w:rFonts w:ascii="Calibri" w:eastAsia="Times New Roman" w:hAnsi="Calibri" w:cs="Calibri"/>
          <w:sz w:val="24"/>
          <w:szCs w:val="24"/>
          <w:lang w:eastAsia="en-US"/>
        </w:rPr>
        <w:t xml:space="preserve"> in </w:t>
      </w:r>
      <w:proofErr w:type="spellStart"/>
      <w:r w:rsidRPr="00F83FF8">
        <w:rPr>
          <w:rFonts w:ascii="Calibri" w:eastAsia="Times New Roman" w:hAnsi="Calibri" w:cs="Calibri"/>
          <w:sz w:val="24"/>
          <w:szCs w:val="24"/>
          <w:lang w:eastAsia="en-US"/>
        </w:rPr>
        <w:t>Latin</w:t>
      </w:r>
      <w:proofErr w:type="spellEnd"/>
      <w:r w:rsidRPr="00F83FF8">
        <w:rPr>
          <w:rFonts w:ascii="Calibri" w:eastAsia="Times New Roman" w:hAnsi="Calibri" w:cs="Calibri"/>
          <w:sz w:val="24"/>
          <w:szCs w:val="24"/>
          <w:lang w:eastAsia="en-US"/>
        </w:rPr>
        <w:t xml:space="preserve"> </w:t>
      </w:r>
      <w:proofErr w:type="spellStart"/>
      <w:r w:rsidRPr="00F83FF8">
        <w:rPr>
          <w:rFonts w:ascii="Calibri" w:eastAsia="Times New Roman" w:hAnsi="Calibri" w:cs="Calibri"/>
          <w:sz w:val="24"/>
          <w:szCs w:val="24"/>
          <w:lang w:eastAsia="en-US"/>
        </w:rPr>
        <w:t>America</w:t>
      </w:r>
      <w:proofErr w:type="spellEnd"/>
      <w:r w:rsidRPr="00F83FF8">
        <w:rPr>
          <w:rFonts w:ascii="Calibri" w:eastAsia="Times New Roman" w:hAnsi="Calibri" w:cs="Calibri"/>
          <w:sz w:val="24"/>
          <w:szCs w:val="24"/>
          <w:lang w:eastAsia="en-US"/>
        </w:rPr>
        <w:t xml:space="preserve"> and </w:t>
      </w:r>
      <w:proofErr w:type="spellStart"/>
      <w:r w:rsidRPr="00F83FF8">
        <w:rPr>
          <w:rFonts w:ascii="Calibri" w:eastAsia="Times New Roman" w:hAnsi="Calibri" w:cs="Calibri"/>
          <w:sz w:val="24"/>
          <w:szCs w:val="24"/>
          <w:lang w:eastAsia="en-US"/>
        </w:rPr>
        <w:t>the</w:t>
      </w:r>
      <w:proofErr w:type="spellEnd"/>
      <w:r w:rsidRPr="00F83FF8">
        <w:rPr>
          <w:rFonts w:ascii="Calibri" w:eastAsia="Times New Roman" w:hAnsi="Calibri" w:cs="Calibri"/>
          <w:sz w:val="24"/>
          <w:szCs w:val="24"/>
          <w:lang w:eastAsia="en-US"/>
        </w:rPr>
        <w:t xml:space="preserve"> </w:t>
      </w:r>
      <w:proofErr w:type="spellStart"/>
      <w:r w:rsidRPr="00F83FF8">
        <w:rPr>
          <w:rFonts w:ascii="Calibri" w:eastAsia="Times New Roman" w:hAnsi="Calibri" w:cs="Calibri"/>
          <w:sz w:val="24"/>
          <w:szCs w:val="24"/>
          <w:lang w:eastAsia="en-US"/>
        </w:rPr>
        <w:t>Caribbean</w:t>
      </w:r>
      <w:proofErr w:type="spellEnd"/>
      <w:r w:rsidRPr="00F83FF8">
        <w:rPr>
          <w:rFonts w:ascii="Calibri" w:eastAsia="Times New Roman" w:hAnsi="Calibri" w:cs="Calibri"/>
          <w:sz w:val="24"/>
          <w:szCs w:val="24"/>
          <w:lang w:eastAsia="en-US"/>
        </w:rPr>
        <w:t xml:space="preserve">”, H. </w:t>
      </w:r>
      <w:proofErr w:type="spellStart"/>
      <w:r w:rsidRPr="00F83FF8">
        <w:rPr>
          <w:rFonts w:ascii="Calibri" w:eastAsia="Times New Roman" w:hAnsi="Calibri" w:cs="Calibri"/>
          <w:sz w:val="24"/>
          <w:szCs w:val="24"/>
          <w:lang w:eastAsia="en-US"/>
        </w:rPr>
        <w:t>Galperin</w:t>
      </w:r>
      <w:proofErr w:type="spellEnd"/>
      <w:r w:rsidRPr="00F83FF8">
        <w:rPr>
          <w:rFonts w:ascii="Calibri" w:eastAsia="Times New Roman" w:hAnsi="Calibri" w:cs="Calibri"/>
          <w:sz w:val="24"/>
          <w:szCs w:val="24"/>
          <w:lang w:eastAsia="en-US"/>
        </w:rPr>
        <w:t xml:space="preserve">, &amp; J. Mariscal, Digital </w:t>
      </w:r>
      <w:proofErr w:type="spellStart"/>
      <w:r w:rsidRPr="00F83FF8">
        <w:rPr>
          <w:rFonts w:ascii="Calibri" w:eastAsia="Times New Roman" w:hAnsi="Calibri" w:cs="Calibri"/>
          <w:sz w:val="24"/>
          <w:szCs w:val="24"/>
          <w:lang w:eastAsia="en-US"/>
        </w:rPr>
        <w:t>poverty</w:t>
      </w:r>
      <w:proofErr w:type="spellEnd"/>
      <w:r w:rsidRPr="00F83FF8">
        <w:rPr>
          <w:rFonts w:ascii="Calibri" w:eastAsia="Times New Roman" w:hAnsi="Calibri" w:cs="Calibri"/>
          <w:sz w:val="24"/>
          <w:szCs w:val="24"/>
          <w:lang w:eastAsia="en-US"/>
        </w:rPr>
        <w:t xml:space="preserve">: </w:t>
      </w:r>
      <w:proofErr w:type="spellStart"/>
      <w:r w:rsidRPr="00F83FF8">
        <w:rPr>
          <w:rFonts w:ascii="Calibri" w:eastAsia="Times New Roman" w:hAnsi="Calibri" w:cs="Calibri"/>
          <w:sz w:val="24"/>
          <w:szCs w:val="24"/>
          <w:lang w:eastAsia="en-US"/>
        </w:rPr>
        <w:t>Latin</w:t>
      </w:r>
      <w:proofErr w:type="spellEnd"/>
      <w:r w:rsidRPr="00F83FF8">
        <w:rPr>
          <w:rFonts w:ascii="Calibri" w:eastAsia="Times New Roman" w:hAnsi="Calibri" w:cs="Calibri"/>
          <w:sz w:val="24"/>
          <w:szCs w:val="24"/>
          <w:lang w:eastAsia="en-US"/>
        </w:rPr>
        <w:t xml:space="preserve"> American and </w:t>
      </w:r>
      <w:proofErr w:type="spellStart"/>
      <w:r w:rsidRPr="00F83FF8">
        <w:rPr>
          <w:rFonts w:ascii="Calibri" w:eastAsia="Times New Roman" w:hAnsi="Calibri" w:cs="Calibri"/>
          <w:sz w:val="24"/>
          <w:szCs w:val="24"/>
          <w:lang w:eastAsia="en-US"/>
        </w:rPr>
        <w:t>Caribbean</w:t>
      </w:r>
      <w:proofErr w:type="spellEnd"/>
      <w:r w:rsidRPr="00F83FF8">
        <w:rPr>
          <w:rFonts w:ascii="Calibri" w:eastAsia="Times New Roman" w:hAnsi="Calibri" w:cs="Calibri"/>
          <w:sz w:val="24"/>
          <w:szCs w:val="24"/>
          <w:lang w:eastAsia="en-US"/>
        </w:rPr>
        <w:t xml:space="preserve"> </w:t>
      </w:r>
      <w:proofErr w:type="spellStart"/>
      <w:r w:rsidRPr="00F83FF8">
        <w:rPr>
          <w:rFonts w:ascii="Calibri" w:eastAsia="Times New Roman" w:hAnsi="Calibri" w:cs="Calibri"/>
          <w:sz w:val="24"/>
          <w:szCs w:val="24"/>
          <w:lang w:eastAsia="en-US"/>
        </w:rPr>
        <w:t>perspectives</w:t>
      </w:r>
      <w:proofErr w:type="spellEnd"/>
      <w:r w:rsidRPr="00F83FF8">
        <w:rPr>
          <w:rFonts w:ascii="Calibri" w:eastAsia="Times New Roman" w:hAnsi="Calibri" w:cs="Calibri"/>
          <w:sz w:val="24"/>
          <w:szCs w:val="24"/>
          <w:lang w:eastAsia="en-US"/>
        </w:rPr>
        <w:t>, pp. 95–118, 2007.</w:t>
      </w:r>
    </w:p>
    <w:p w14:paraId="49191142" w14:textId="77777777" w:rsidR="000D126E" w:rsidRPr="00F83FF8" w:rsidRDefault="000D126E" w:rsidP="000D126E">
      <w:pPr>
        <w:jc w:val="both"/>
        <w:rPr>
          <w:rFonts w:ascii="Calibri" w:eastAsia="Times New Roman" w:hAnsi="Calibri" w:cs="Calibri"/>
          <w:sz w:val="24"/>
          <w:szCs w:val="24"/>
          <w:lang w:eastAsia="en-US"/>
        </w:rPr>
      </w:pPr>
    </w:p>
    <w:p w14:paraId="489540C4" w14:textId="282F21F2" w:rsidR="000D126E" w:rsidRPr="00F83FF8" w:rsidRDefault="000D126E" w:rsidP="000D126E">
      <w:pPr>
        <w:jc w:val="both"/>
        <w:rPr>
          <w:rFonts w:ascii="Calibri" w:eastAsia="Times New Roman" w:hAnsi="Calibri" w:cs="Calibri"/>
          <w:sz w:val="24"/>
          <w:szCs w:val="24"/>
          <w:lang w:eastAsia="en-US"/>
        </w:rPr>
      </w:pPr>
      <w:r w:rsidRPr="00F83FF8">
        <w:rPr>
          <w:rFonts w:ascii="Calibri" w:eastAsia="Times New Roman" w:hAnsi="Calibri" w:cs="Calibri"/>
          <w:sz w:val="24"/>
          <w:szCs w:val="24"/>
          <w:lang w:eastAsia="en-US"/>
        </w:rPr>
        <w:t>[14]</w:t>
      </w:r>
      <w:r w:rsidRPr="00F83FF8">
        <w:rPr>
          <w:rFonts w:ascii="Calibri" w:eastAsia="Times New Roman" w:hAnsi="Calibri" w:cs="Calibri"/>
          <w:sz w:val="24"/>
          <w:szCs w:val="24"/>
          <w:lang w:eastAsia="en-US"/>
        </w:rPr>
        <w:tab/>
        <w:t xml:space="preserve">G. B. </w:t>
      </w:r>
      <w:proofErr w:type="spellStart"/>
      <w:r w:rsidRPr="00F83FF8">
        <w:rPr>
          <w:rFonts w:ascii="Calibri" w:eastAsia="Times New Roman" w:hAnsi="Calibri" w:cs="Calibri"/>
          <w:sz w:val="24"/>
          <w:szCs w:val="24"/>
          <w:lang w:eastAsia="en-US"/>
        </w:rPr>
        <w:t>Laender</w:t>
      </w:r>
      <w:proofErr w:type="spellEnd"/>
      <w:r w:rsidRPr="00F83FF8">
        <w:rPr>
          <w:rFonts w:ascii="Calibri" w:eastAsia="Times New Roman" w:hAnsi="Calibri" w:cs="Calibri"/>
          <w:sz w:val="24"/>
          <w:szCs w:val="24"/>
          <w:lang w:eastAsia="en-US"/>
        </w:rPr>
        <w:t xml:space="preserve">, M. I. </w:t>
      </w:r>
      <w:proofErr w:type="spellStart"/>
      <w:r w:rsidRPr="00F83FF8">
        <w:rPr>
          <w:rFonts w:ascii="Calibri" w:eastAsia="Times New Roman" w:hAnsi="Calibri" w:cs="Calibri"/>
          <w:sz w:val="24"/>
          <w:szCs w:val="24"/>
          <w:lang w:eastAsia="en-US"/>
        </w:rPr>
        <w:t>Aranha</w:t>
      </w:r>
      <w:proofErr w:type="spellEnd"/>
      <w:r w:rsidRPr="00F83FF8">
        <w:rPr>
          <w:rFonts w:ascii="Calibri" w:eastAsia="Times New Roman" w:hAnsi="Calibri" w:cs="Calibri"/>
          <w:sz w:val="24"/>
          <w:szCs w:val="24"/>
          <w:lang w:eastAsia="en-US"/>
        </w:rPr>
        <w:t xml:space="preserve">, L. F. de Lira, y A. M. Gomes, “O uso da </w:t>
      </w:r>
      <w:proofErr w:type="spellStart"/>
      <w:r w:rsidRPr="00F83FF8">
        <w:rPr>
          <w:rFonts w:ascii="Calibri" w:eastAsia="Times New Roman" w:hAnsi="Calibri" w:cs="Calibri"/>
          <w:sz w:val="24"/>
          <w:szCs w:val="24"/>
          <w:lang w:eastAsia="en-US"/>
        </w:rPr>
        <w:t>radiofrequência</w:t>
      </w:r>
      <w:proofErr w:type="spellEnd"/>
      <w:r w:rsidRPr="00F83FF8">
        <w:rPr>
          <w:rFonts w:ascii="Calibri" w:eastAsia="Times New Roman" w:hAnsi="Calibri" w:cs="Calibri"/>
          <w:sz w:val="24"/>
          <w:szCs w:val="24"/>
          <w:lang w:eastAsia="en-US"/>
        </w:rPr>
        <w:t xml:space="preserve"> para a </w:t>
      </w:r>
      <w:proofErr w:type="spellStart"/>
      <w:r w:rsidRPr="00F83FF8">
        <w:rPr>
          <w:rFonts w:ascii="Calibri" w:eastAsia="Times New Roman" w:hAnsi="Calibri" w:cs="Calibri"/>
          <w:sz w:val="24"/>
          <w:szCs w:val="24"/>
          <w:lang w:eastAsia="en-US"/>
        </w:rPr>
        <w:t>inclusão</w:t>
      </w:r>
      <w:proofErr w:type="spellEnd"/>
      <w:r w:rsidRPr="00F83FF8">
        <w:rPr>
          <w:rFonts w:ascii="Calibri" w:eastAsia="Times New Roman" w:hAnsi="Calibri" w:cs="Calibri"/>
          <w:sz w:val="24"/>
          <w:szCs w:val="24"/>
          <w:lang w:eastAsia="en-US"/>
        </w:rPr>
        <w:t xml:space="preserve"> social: alternativas para o </w:t>
      </w:r>
      <w:proofErr w:type="spellStart"/>
      <w:r w:rsidRPr="00F83FF8">
        <w:rPr>
          <w:rFonts w:ascii="Calibri" w:eastAsia="Times New Roman" w:hAnsi="Calibri" w:cs="Calibri"/>
          <w:sz w:val="24"/>
          <w:szCs w:val="24"/>
          <w:lang w:eastAsia="en-US"/>
        </w:rPr>
        <w:t>regime</w:t>
      </w:r>
      <w:proofErr w:type="spellEnd"/>
      <w:r w:rsidRPr="00F83FF8">
        <w:rPr>
          <w:rFonts w:ascii="Calibri" w:eastAsia="Times New Roman" w:hAnsi="Calibri" w:cs="Calibri"/>
          <w:sz w:val="24"/>
          <w:szCs w:val="24"/>
          <w:lang w:eastAsia="en-US"/>
        </w:rPr>
        <w:t xml:space="preserve"> jurídico da </w:t>
      </w:r>
      <w:proofErr w:type="spellStart"/>
      <w:r w:rsidRPr="00F83FF8">
        <w:rPr>
          <w:rFonts w:ascii="Calibri" w:eastAsia="Times New Roman" w:hAnsi="Calibri" w:cs="Calibri"/>
          <w:sz w:val="24"/>
          <w:szCs w:val="24"/>
          <w:lang w:eastAsia="en-US"/>
        </w:rPr>
        <w:t>radiofrequência</w:t>
      </w:r>
      <w:proofErr w:type="spellEnd"/>
      <w:r w:rsidRPr="00F83FF8">
        <w:rPr>
          <w:rFonts w:ascii="Calibri" w:eastAsia="Times New Roman" w:hAnsi="Calibri" w:cs="Calibri"/>
          <w:sz w:val="24"/>
          <w:szCs w:val="24"/>
          <w:lang w:eastAsia="en-US"/>
        </w:rPr>
        <w:t xml:space="preserve"> no Brasil”, 2010.</w:t>
      </w:r>
    </w:p>
    <w:p w14:paraId="451AAEBC" w14:textId="298F2BBB" w:rsidR="000D126E" w:rsidRPr="00F83FF8" w:rsidRDefault="000D126E" w:rsidP="000D126E">
      <w:pPr>
        <w:jc w:val="both"/>
        <w:rPr>
          <w:rFonts w:ascii="Calibri" w:eastAsia="Times New Roman" w:hAnsi="Calibri" w:cs="Calibri"/>
          <w:sz w:val="24"/>
          <w:szCs w:val="24"/>
          <w:lang w:eastAsia="en-US"/>
        </w:rPr>
      </w:pPr>
    </w:p>
    <w:p w14:paraId="20E27E24" w14:textId="26DE9C30" w:rsidR="000D126E" w:rsidRPr="00F83FF8" w:rsidRDefault="000D126E" w:rsidP="000D126E">
      <w:pPr>
        <w:jc w:val="both"/>
        <w:rPr>
          <w:rFonts w:ascii="Calibri" w:eastAsia="Times New Roman" w:hAnsi="Calibri" w:cs="Calibri"/>
          <w:sz w:val="24"/>
          <w:szCs w:val="24"/>
          <w:lang w:eastAsia="en-US"/>
        </w:rPr>
      </w:pPr>
      <w:r w:rsidRPr="00F83FF8">
        <w:rPr>
          <w:rFonts w:ascii="Calibri" w:eastAsia="Times New Roman" w:hAnsi="Calibri" w:cs="Calibri"/>
          <w:sz w:val="24"/>
          <w:szCs w:val="24"/>
          <w:lang w:eastAsia="en-US"/>
        </w:rPr>
        <w:t>[15]</w:t>
      </w:r>
      <w:r w:rsidRPr="00F83FF8">
        <w:rPr>
          <w:rFonts w:ascii="Calibri" w:eastAsia="Times New Roman" w:hAnsi="Calibri" w:cs="Calibri"/>
          <w:sz w:val="24"/>
          <w:szCs w:val="24"/>
          <w:lang w:eastAsia="en-US"/>
        </w:rPr>
        <w:tab/>
        <w:t xml:space="preserve">C. </w:t>
      </w:r>
      <w:proofErr w:type="spellStart"/>
      <w:r w:rsidRPr="00F83FF8">
        <w:rPr>
          <w:rFonts w:ascii="Calibri" w:eastAsia="Times New Roman" w:hAnsi="Calibri" w:cs="Calibri"/>
          <w:sz w:val="24"/>
          <w:szCs w:val="24"/>
          <w:lang w:eastAsia="en-US"/>
        </w:rPr>
        <w:t>Blackman</w:t>
      </w:r>
      <w:proofErr w:type="spellEnd"/>
      <w:r w:rsidRPr="00F83FF8">
        <w:rPr>
          <w:rFonts w:ascii="Calibri" w:eastAsia="Times New Roman" w:hAnsi="Calibri" w:cs="Calibri"/>
          <w:sz w:val="24"/>
          <w:szCs w:val="24"/>
          <w:lang w:eastAsia="en-US"/>
        </w:rPr>
        <w:t xml:space="preserve"> y L. </w:t>
      </w:r>
      <w:proofErr w:type="spellStart"/>
      <w:r w:rsidRPr="00F83FF8">
        <w:rPr>
          <w:rFonts w:ascii="Calibri" w:eastAsia="Times New Roman" w:hAnsi="Calibri" w:cs="Calibri"/>
          <w:sz w:val="24"/>
          <w:szCs w:val="24"/>
          <w:lang w:eastAsia="en-US"/>
        </w:rPr>
        <w:t>Srivastava</w:t>
      </w:r>
      <w:proofErr w:type="spellEnd"/>
      <w:r w:rsidRPr="00F83FF8">
        <w:rPr>
          <w:rFonts w:ascii="Calibri" w:eastAsia="Times New Roman" w:hAnsi="Calibri" w:cs="Calibri"/>
          <w:sz w:val="24"/>
          <w:szCs w:val="24"/>
          <w:lang w:eastAsia="en-US"/>
        </w:rPr>
        <w:t xml:space="preserve">, </w:t>
      </w:r>
      <w:proofErr w:type="spellStart"/>
      <w:r w:rsidRPr="00F83FF8">
        <w:rPr>
          <w:rFonts w:ascii="Calibri" w:eastAsia="Times New Roman" w:hAnsi="Calibri" w:cs="Calibri"/>
          <w:sz w:val="24"/>
          <w:szCs w:val="24"/>
          <w:lang w:eastAsia="en-US"/>
        </w:rPr>
        <w:t>Telecommunications</w:t>
      </w:r>
      <w:proofErr w:type="spellEnd"/>
      <w:r w:rsidRPr="00F83FF8">
        <w:rPr>
          <w:rFonts w:ascii="Calibri" w:eastAsia="Times New Roman" w:hAnsi="Calibri" w:cs="Calibri"/>
          <w:sz w:val="24"/>
          <w:szCs w:val="24"/>
          <w:lang w:eastAsia="en-US"/>
        </w:rPr>
        <w:t xml:space="preserve"> </w:t>
      </w:r>
      <w:proofErr w:type="spellStart"/>
      <w:r w:rsidRPr="00F83FF8">
        <w:rPr>
          <w:rFonts w:ascii="Calibri" w:eastAsia="Times New Roman" w:hAnsi="Calibri" w:cs="Calibri"/>
          <w:sz w:val="24"/>
          <w:szCs w:val="24"/>
          <w:lang w:eastAsia="en-US"/>
        </w:rPr>
        <w:t>regulation</w:t>
      </w:r>
      <w:proofErr w:type="spellEnd"/>
      <w:r w:rsidRPr="00F83FF8">
        <w:rPr>
          <w:rFonts w:ascii="Calibri" w:eastAsia="Times New Roman" w:hAnsi="Calibri" w:cs="Calibri"/>
          <w:sz w:val="24"/>
          <w:szCs w:val="24"/>
          <w:lang w:eastAsia="en-US"/>
        </w:rPr>
        <w:t xml:space="preserve"> </w:t>
      </w:r>
      <w:proofErr w:type="spellStart"/>
      <w:r w:rsidRPr="00F83FF8">
        <w:rPr>
          <w:rFonts w:ascii="Calibri" w:eastAsia="Times New Roman" w:hAnsi="Calibri" w:cs="Calibri"/>
          <w:sz w:val="24"/>
          <w:szCs w:val="24"/>
          <w:lang w:eastAsia="en-US"/>
        </w:rPr>
        <w:t>handbook</w:t>
      </w:r>
      <w:proofErr w:type="spellEnd"/>
      <w:r w:rsidRPr="00F83FF8">
        <w:rPr>
          <w:rFonts w:ascii="Calibri" w:eastAsia="Times New Roman" w:hAnsi="Calibri" w:cs="Calibri"/>
          <w:sz w:val="24"/>
          <w:szCs w:val="24"/>
          <w:lang w:eastAsia="en-US"/>
        </w:rPr>
        <w:t xml:space="preserve">. </w:t>
      </w:r>
      <w:proofErr w:type="spellStart"/>
      <w:r w:rsidRPr="00F83FF8">
        <w:rPr>
          <w:rFonts w:ascii="Calibri" w:eastAsia="Times New Roman" w:hAnsi="Calibri" w:cs="Calibri"/>
          <w:sz w:val="24"/>
          <w:szCs w:val="24"/>
          <w:lang w:eastAsia="en-US"/>
        </w:rPr>
        <w:t>World</w:t>
      </w:r>
      <w:proofErr w:type="spellEnd"/>
      <w:r w:rsidRPr="00F83FF8">
        <w:rPr>
          <w:rFonts w:ascii="Calibri" w:eastAsia="Times New Roman" w:hAnsi="Calibri" w:cs="Calibri"/>
          <w:sz w:val="24"/>
          <w:szCs w:val="24"/>
          <w:lang w:eastAsia="en-US"/>
        </w:rPr>
        <w:t xml:space="preserve"> Bank and </w:t>
      </w:r>
      <w:proofErr w:type="spellStart"/>
      <w:r w:rsidRPr="00F83FF8">
        <w:rPr>
          <w:rFonts w:ascii="Calibri" w:eastAsia="Times New Roman" w:hAnsi="Calibri" w:cs="Calibri"/>
          <w:sz w:val="24"/>
          <w:szCs w:val="24"/>
          <w:lang w:eastAsia="en-US"/>
        </w:rPr>
        <w:t>the</w:t>
      </w:r>
      <w:proofErr w:type="spellEnd"/>
      <w:r w:rsidRPr="00F83FF8">
        <w:rPr>
          <w:rFonts w:ascii="Calibri" w:eastAsia="Times New Roman" w:hAnsi="Calibri" w:cs="Calibri"/>
          <w:sz w:val="24"/>
          <w:szCs w:val="24"/>
          <w:lang w:eastAsia="en-US"/>
        </w:rPr>
        <w:t xml:space="preserve"> International </w:t>
      </w:r>
      <w:proofErr w:type="spellStart"/>
      <w:r w:rsidRPr="00F83FF8">
        <w:rPr>
          <w:rFonts w:ascii="Calibri" w:eastAsia="Times New Roman" w:hAnsi="Calibri" w:cs="Calibri"/>
          <w:sz w:val="24"/>
          <w:szCs w:val="24"/>
          <w:lang w:eastAsia="en-US"/>
        </w:rPr>
        <w:t>Telecommunication</w:t>
      </w:r>
      <w:proofErr w:type="spellEnd"/>
      <w:r w:rsidRPr="00F83FF8">
        <w:rPr>
          <w:rFonts w:ascii="Calibri" w:eastAsia="Times New Roman" w:hAnsi="Calibri" w:cs="Calibri"/>
          <w:sz w:val="24"/>
          <w:szCs w:val="24"/>
          <w:lang w:eastAsia="en-US"/>
        </w:rPr>
        <w:t xml:space="preserve"> </w:t>
      </w:r>
      <w:proofErr w:type="spellStart"/>
      <w:r w:rsidRPr="00F83FF8">
        <w:rPr>
          <w:rFonts w:ascii="Calibri" w:eastAsia="Times New Roman" w:hAnsi="Calibri" w:cs="Calibri"/>
          <w:sz w:val="24"/>
          <w:szCs w:val="24"/>
          <w:lang w:eastAsia="en-US"/>
        </w:rPr>
        <w:t>Union</w:t>
      </w:r>
      <w:proofErr w:type="spellEnd"/>
      <w:r w:rsidRPr="00F83FF8">
        <w:rPr>
          <w:rFonts w:ascii="Calibri" w:eastAsia="Times New Roman" w:hAnsi="Calibri" w:cs="Calibri"/>
          <w:sz w:val="24"/>
          <w:szCs w:val="24"/>
          <w:lang w:eastAsia="en-US"/>
        </w:rPr>
        <w:t>, Washington, DC, 2011.</w:t>
      </w:r>
    </w:p>
    <w:p w14:paraId="2527238A" w14:textId="77777777" w:rsidR="000D126E" w:rsidRPr="00F83FF8" w:rsidRDefault="000D126E" w:rsidP="000D126E">
      <w:pPr>
        <w:jc w:val="both"/>
        <w:rPr>
          <w:rFonts w:ascii="Calibri" w:eastAsia="Times New Roman" w:hAnsi="Calibri" w:cs="Calibri"/>
          <w:sz w:val="24"/>
          <w:szCs w:val="24"/>
          <w:lang w:eastAsia="en-US"/>
        </w:rPr>
      </w:pPr>
    </w:p>
    <w:p w14:paraId="2C0DE3E0" w14:textId="601B6B23" w:rsidR="000D126E" w:rsidRPr="00F83FF8" w:rsidRDefault="000D126E" w:rsidP="000D126E">
      <w:pPr>
        <w:jc w:val="both"/>
        <w:rPr>
          <w:rFonts w:ascii="Calibri" w:eastAsia="Times New Roman" w:hAnsi="Calibri" w:cs="Calibri"/>
          <w:sz w:val="24"/>
          <w:szCs w:val="24"/>
          <w:lang w:eastAsia="en-US"/>
        </w:rPr>
      </w:pPr>
      <w:r w:rsidRPr="00F83FF8">
        <w:rPr>
          <w:rFonts w:ascii="Calibri" w:eastAsia="Times New Roman" w:hAnsi="Calibri" w:cs="Calibri"/>
          <w:sz w:val="24"/>
          <w:szCs w:val="24"/>
          <w:lang w:eastAsia="en-US"/>
        </w:rPr>
        <w:t>[16]</w:t>
      </w:r>
      <w:r w:rsidRPr="00F83FF8">
        <w:rPr>
          <w:rFonts w:ascii="Calibri" w:eastAsia="Times New Roman" w:hAnsi="Calibri" w:cs="Calibri"/>
          <w:sz w:val="24"/>
          <w:szCs w:val="24"/>
          <w:lang w:eastAsia="en-US"/>
        </w:rPr>
        <w:tab/>
        <w:t xml:space="preserve">Juan Manuel Roldan, Felipe Ordoñez, “ITU </w:t>
      </w:r>
      <w:proofErr w:type="spellStart"/>
      <w:r w:rsidRPr="00F83FF8">
        <w:rPr>
          <w:rFonts w:ascii="Calibri" w:eastAsia="Times New Roman" w:hAnsi="Calibri" w:cs="Calibri"/>
          <w:sz w:val="24"/>
          <w:szCs w:val="24"/>
          <w:lang w:eastAsia="en-US"/>
        </w:rPr>
        <w:t>Guidelines</w:t>
      </w:r>
      <w:proofErr w:type="spellEnd"/>
      <w:r w:rsidRPr="00F83FF8">
        <w:rPr>
          <w:rFonts w:ascii="Calibri" w:eastAsia="Times New Roman" w:hAnsi="Calibri" w:cs="Calibri"/>
          <w:sz w:val="24"/>
          <w:szCs w:val="24"/>
          <w:lang w:eastAsia="en-US"/>
        </w:rPr>
        <w:t xml:space="preserve"> </w:t>
      </w:r>
      <w:proofErr w:type="spellStart"/>
      <w:r w:rsidRPr="00F83FF8">
        <w:rPr>
          <w:rFonts w:ascii="Calibri" w:eastAsia="Times New Roman" w:hAnsi="Calibri" w:cs="Calibri"/>
          <w:sz w:val="24"/>
          <w:szCs w:val="24"/>
          <w:lang w:eastAsia="en-US"/>
        </w:rPr>
        <w:t>for</w:t>
      </w:r>
      <w:proofErr w:type="spellEnd"/>
      <w:r w:rsidRPr="00F83FF8">
        <w:rPr>
          <w:rFonts w:ascii="Calibri" w:eastAsia="Times New Roman" w:hAnsi="Calibri" w:cs="Calibri"/>
          <w:sz w:val="24"/>
          <w:szCs w:val="24"/>
          <w:lang w:eastAsia="en-US"/>
        </w:rPr>
        <w:t xml:space="preserve"> </w:t>
      </w:r>
      <w:proofErr w:type="spellStart"/>
      <w:r w:rsidRPr="00F83FF8">
        <w:rPr>
          <w:rFonts w:ascii="Calibri" w:eastAsia="Times New Roman" w:hAnsi="Calibri" w:cs="Calibri"/>
          <w:sz w:val="24"/>
          <w:szCs w:val="24"/>
          <w:lang w:eastAsia="en-US"/>
        </w:rPr>
        <w:t>national</w:t>
      </w:r>
      <w:proofErr w:type="spellEnd"/>
      <w:r w:rsidRPr="00F83FF8">
        <w:rPr>
          <w:rFonts w:ascii="Calibri" w:eastAsia="Times New Roman" w:hAnsi="Calibri" w:cs="Calibri"/>
          <w:sz w:val="24"/>
          <w:szCs w:val="24"/>
          <w:lang w:eastAsia="en-US"/>
        </w:rPr>
        <w:t xml:space="preserve"> </w:t>
      </w:r>
      <w:proofErr w:type="spellStart"/>
      <w:r w:rsidRPr="00F83FF8">
        <w:rPr>
          <w:rFonts w:ascii="Calibri" w:eastAsia="Times New Roman" w:hAnsi="Calibri" w:cs="Calibri"/>
          <w:sz w:val="24"/>
          <w:szCs w:val="24"/>
          <w:lang w:eastAsia="en-US"/>
        </w:rPr>
        <w:t>emergency</w:t>
      </w:r>
      <w:proofErr w:type="spellEnd"/>
      <w:r w:rsidRPr="00F83FF8">
        <w:rPr>
          <w:rFonts w:ascii="Calibri" w:eastAsia="Times New Roman" w:hAnsi="Calibri" w:cs="Calibri"/>
          <w:sz w:val="24"/>
          <w:szCs w:val="24"/>
          <w:lang w:eastAsia="en-US"/>
        </w:rPr>
        <w:t xml:space="preserve"> </w:t>
      </w:r>
      <w:proofErr w:type="spellStart"/>
      <w:r w:rsidRPr="00F83FF8">
        <w:rPr>
          <w:rFonts w:ascii="Calibri" w:eastAsia="Times New Roman" w:hAnsi="Calibri" w:cs="Calibri"/>
          <w:sz w:val="24"/>
          <w:szCs w:val="24"/>
          <w:lang w:eastAsia="en-US"/>
        </w:rPr>
        <w:t>telecommunication</w:t>
      </w:r>
      <w:proofErr w:type="spellEnd"/>
      <w:r w:rsidRPr="00F83FF8">
        <w:rPr>
          <w:rFonts w:ascii="Calibri" w:eastAsia="Times New Roman" w:hAnsi="Calibri" w:cs="Calibri"/>
          <w:sz w:val="24"/>
          <w:szCs w:val="24"/>
          <w:lang w:eastAsia="en-US"/>
        </w:rPr>
        <w:t xml:space="preserve"> </w:t>
      </w:r>
      <w:proofErr w:type="spellStart"/>
      <w:r w:rsidRPr="00F83FF8">
        <w:rPr>
          <w:rFonts w:ascii="Calibri" w:eastAsia="Times New Roman" w:hAnsi="Calibri" w:cs="Calibri"/>
          <w:sz w:val="24"/>
          <w:szCs w:val="24"/>
          <w:lang w:eastAsia="en-US"/>
        </w:rPr>
        <w:t>plans</w:t>
      </w:r>
      <w:proofErr w:type="spellEnd"/>
      <w:r w:rsidRPr="00F83FF8">
        <w:rPr>
          <w:rFonts w:ascii="Calibri" w:eastAsia="Times New Roman" w:hAnsi="Calibri" w:cs="Calibri"/>
          <w:sz w:val="24"/>
          <w:szCs w:val="24"/>
          <w:lang w:eastAsia="en-US"/>
        </w:rPr>
        <w:t xml:space="preserve">”, International </w:t>
      </w:r>
      <w:proofErr w:type="spellStart"/>
      <w:r w:rsidRPr="00F83FF8">
        <w:rPr>
          <w:rFonts w:ascii="Calibri" w:eastAsia="Times New Roman" w:hAnsi="Calibri" w:cs="Calibri"/>
          <w:sz w:val="24"/>
          <w:szCs w:val="24"/>
          <w:lang w:eastAsia="en-US"/>
        </w:rPr>
        <w:t>Telecommunications</w:t>
      </w:r>
      <w:proofErr w:type="spellEnd"/>
      <w:r w:rsidRPr="00F83FF8">
        <w:rPr>
          <w:rFonts w:ascii="Calibri" w:eastAsia="Times New Roman" w:hAnsi="Calibri" w:cs="Calibri"/>
          <w:sz w:val="24"/>
          <w:szCs w:val="24"/>
          <w:lang w:eastAsia="en-US"/>
        </w:rPr>
        <w:t xml:space="preserve"> </w:t>
      </w:r>
      <w:proofErr w:type="spellStart"/>
      <w:r w:rsidRPr="00F83FF8">
        <w:rPr>
          <w:rFonts w:ascii="Calibri" w:eastAsia="Times New Roman" w:hAnsi="Calibri" w:cs="Calibri"/>
          <w:sz w:val="24"/>
          <w:szCs w:val="24"/>
          <w:lang w:eastAsia="en-US"/>
        </w:rPr>
        <w:t>Union</w:t>
      </w:r>
      <w:proofErr w:type="spellEnd"/>
      <w:r w:rsidRPr="00F83FF8">
        <w:rPr>
          <w:rFonts w:ascii="Calibri" w:eastAsia="Times New Roman" w:hAnsi="Calibri" w:cs="Calibri"/>
          <w:sz w:val="24"/>
          <w:szCs w:val="24"/>
          <w:lang w:eastAsia="en-US"/>
        </w:rPr>
        <w:t>, 2020.</w:t>
      </w:r>
    </w:p>
    <w:p w14:paraId="16EA0784" w14:textId="77777777" w:rsidR="000D126E" w:rsidRPr="00F83FF8" w:rsidRDefault="000D126E" w:rsidP="000D126E">
      <w:pPr>
        <w:jc w:val="both"/>
        <w:rPr>
          <w:rFonts w:ascii="Calibri" w:eastAsia="Times New Roman" w:hAnsi="Calibri" w:cs="Calibri"/>
          <w:sz w:val="24"/>
          <w:szCs w:val="24"/>
          <w:lang w:eastAsia="en-US"/>
        </w:rPr>
      </w:pPr>
    </w:p>
    <w:p w14:paraId="2BEBD614" w14:textId="082B3061" w:rsidR="000D126E" w:rsidRPr="00F83FF8" w:rsidRDefault="000D126E" w:rsidP="000D126E">
      <w:pPr>
        <w:jc w:val="both"/>
        <w:rPr>
          <w:rFonts w:ascii="Calibri" w:eastAsia="Times New Roman" w:hAnsi="Calibri" w:cs="Calibri"/>
          <w:sz w:val="24"/>
          <w:szCs w:val="24"/>
          <w:lang w:eastAsia="en-US"/>
        </w:rPr>
      </w:pPr>
      <w:r w:rsidRPr="00F83FF8">
        <w:rPr>
          <w:rFonts w:ascii="Calibri" w:eastAsia="Times New Roman" w:hAnsi="Calibri" w:cs="Calibri"/>
          <w:sz w:val="24"/>
          <w:szCs w:val="24"/>
          <w:lang w:eastAsia="en-US"/>
        </w:rPr>
        <w:t>[17]</w:t>
      </w:r>
      <w:r w:rsidRPr="00F83FF8">
        <w:rPr>
          <w:rFonts w:ascii="Calibri" w:eastAsia="Times New Roman" w:hAnsi="Calibri" w:cs="Calibri"/>
          <w:sz w:val="24"/>
          <w:szCs w:val="24"/>
          <w:lang w:eastAsia="en-US"/>
        </w:rPr>
        <w:tab/>
        <w:t>IV Consejo Consultivo del Instituto Federal de Telecomunicaciones, “Recomendación sobre el aprovechamiento flexible en la banda de 6GHz”. Instituto Federal de Telecomunicaciones, 2019.</w:t>
      </w:r>
    </w:p>
    <w:p w14:paraId="7BEBB002" w14:textId="77777777" w:rsidR="000D126E" w:rsidRPr="00F83FF8" w:rsidRDefault="000D126E" w:rsidP="000D126E">
      <w:pPr>
        <w:jc w:val="both"/>
        <w:rPr>
          <w:rFonts w:ascii="Calibri" w:eastAsia="Times New Roman" w:hAnsi="Calibri" w:cs="Calibri"/>
          <w:sz w:val="24"/>
          <w:szCs w:val="24"/>
          <w:lang w:eastAsia="en-US"/>
        </w:rPr>
      </w:pPr>
    </w:p>
    <w:p w14:paraId="487D03CE" w14:textId="6CB57314" w:rsidR="000D126E" w:rsidRDefault="000D126E" w:rsidP="00BE5EA6">
      <w:pPr>
        <w:jc w:val="both"/>
        <w:rPr>
          <w:rFonts w:ascii="Calibri" w:eastAsia="Times New Roman" w:hAnsi="Calibri" w:cs="Calibri"/>
          <w:sz w:val="24"/>
          <w:szCs w:val="24"/>
          <w:lang w:eastAsia="en-US"/>
        </w:rPr>
      </w:pPr>
      <w:r w:rsidRPr="00F83FF8">
        <w:rPr>
          <w:rFonts w:ascii="Calibri" w:eastAsia="Times New Roman" w:hAnsi="Calibri" w:cs="Calibri"/>
          <w:sz w:val="24"/>
          <w:szCs w:val="24"/>
          <w:lang w:eastAsia="en-US"/>
        </w:rPr>
        <w:t>[18]</w:t>
      </w:r>
      <w:r w:rsidRPr="00F83FF8">
        <w:rPr>
          <w:rFonts w:ascii="Calibri" w:eastAsia="Times New Roman" w:hAnsi="Calibri" w:cs="Calibri"/>
          <w:sz w:val="24"/>
          <w:szCs w:val="24"/>
          <w:lang w:eastAsia="en-US"/>
        </w:rPr>
        <w:tab/>
        <w:t>Gobierno de México, Ley para el Desarrollo de la Competitividad de la Micro, Pequeña y Mediana Empresa. México. 2019.</w:t>
      </w:r>
    </w:p>
    <w:p w14:paraId="295A9A54" w14:textId="4EC7B358" w:rsidR="00016B50" w:rsidRPr="00BE5EA6" w:rsidRDefault="00016B50" w:rsidP="00BE5EA6">
      <w:pPr>
        <w:jc w:val="both"/>
        <w:rPr>
          <w:rFonts w:ascii="Calibri" w:eastAsia="Times New Roman" w:hAnsi="Calibri" w:cs="Calibri"/>
          <w:sz w:val="24"/>
          <w:szCs w:val="24"/>
          <w:lang w:eastAsia="en-US"/>
        </w:rPr>
      </w:pPr>
      <w:bookmarkStart w:id="0" w:name="_GoBack"/>
      <w:bookmarkEnd w:id="0"/>
    </w:p>
    <w:p w14:paraId="6C25E491" w14:textId="5B614CE0" w:rsidR="000D126E" w:rsidRDefault="000D126E" w:rsidP="000D126E">
      <w:pPr>
        <w:jc w:val="center"/>
        <w:rPr>
          <w:rFonts w:ascii="Calibri" w:eastAsia="Calibri" w:hAnsi="Calibri" w:cs="Calibri"/>
          <w:b/>
          <w:sz w:val="24"/>
          <w:szCs w:val="24"/>
        </w:rPr>
      </w:pPr>
    </w:p>
    <w:p w14:paraId="0C159885" w14:textId="193A4997" w:rsidR="000D126E" w:rsidRPr="000D126E" w:rsidRDefault="000D126E" w:rsidP="000D126E">
      <w:pPr>
        <w:jc w:val="center"/>
        <w:rPr>
          <w:rFonts w:ascii="Calibri" w:eastAsia="Calibri" w:hAnsi="Calibri" w:cs="Calibri"/>
          <w:b/>
          <w:sz w:val="24"/>
          <w:szCs w:val="24"/>
        </w:rPr>
      </w:pPr>
      <w:r w:rsidRPr="000D126E">
        <w:rPr>
          <w:rFonts w:ascii="Calibri" w:eastAsia="Calibri" w:hAnsi="Calibri" w:cs="Calibri"/>
          <w:b/>
          <w:sz w:val="24"/>
          <w:szCs w:val="24"/>
        </w:rPr>
        <w:t>Dr. Ernesto M. Flores-</w:t>
      </w:r>
      <w:proofErr w:type="spellStart"/>
      <w:r w:rsidRPr="000D126E">
        <w:rPr>
          <w:rFonts w:ascii="Calibri" w:eastAsia="Calibri" w:hAnsi="Calibri" w:cs="Calibri"/>
          <w:b/>
          <w:sz w:val="24"/>
          <w:szCs w:val="24"/>
        </w:rPr>
        <w:t>Roux</w:t>
      </w:r>
      <w:proofErr w:type="spellEnd"/>
    </w:p>
    <w:p w14:paraId="3873BB76" w14:textId="769B7F77" w:rsidR="000D126E" w:rsidRDefault="000D126E" w:rsidP="00BE5EA6">
      <w:pPr>
        <w:jc w:val="center"/>
        <w:rPr>
          <w:rFonts w:ascii="Calibri" w:eastAsia="Calibri" w:hAnsi="Calibri" w:cs="Calibri"/>
          <w:b/>
          <w:sz w:val="24"/>
          <w:szCs w:val="24"/>
        </w:rPr>
      </w:pPr>
      <w:r w:rsidRPr="000D126E">
        <w:rPr>
          <w:rFonts w:ascii="Calibri" w:eastAsia="Calibri" w:hAnsi="Calibri" w:cs="Calibri"/>
          <w:b/>
          <w:sz w:val="24"/>
          <w:szCs w:val="24"/>
        </w:rPr>
        <w:t>Presidente</w:t>
      </w:r>
    </w:p>
    <w:p w14:paraId="4675F403" w14:textId="77777777" w:rsidR="00BE5EA6" w:rsidRDefault="00BE5EA6" w:rsidP="00BE5EA6">
      <w:pPr>
        <w:jc w:val="center"/>
        <w:rPr>
          <w:rFonts w:ascii="Calibri" w:eastAsia="Calibri" w:hAnsi="Calibri" w:cs="Calibri"/>
          <w:b/>
          <w:sz w:val="24"/>
          <w:szCs w:val="24"/>
        </w:rPr>
      </w:pPr>
    </w:p>
    <w:p w14:paraId="51C7D60D" w14:textId="4F38D590" w:rsidR="00F0497F" w:rsidRPr="000D126E" w:rsidRDefault="00F0497F" w:rsidP="000D126E">
      <w:pPr>
        <w:jc w:val="center"/>
        <w:rPr>
          <w:rFonts w:ascii="Calibri" w:eastAsia="Calibri" w:hAnsi="Calibri" w:cs="Calibri"/>
          <w:b/>
          <w:sz w:val="24"/>
          <w:szCs w:val="24"/>
        </w:rPr>
      </w:pPr>
    </w:p>
    <w:p w14:paraId="43934C80" w14:textId="77777777" w:rsidR="000D126E" w:rsidRPr="000D126E" w:rsidRDefault="000D126E" w:rsidP="000D126E">
      <w:pPr>
        <w:jc w:val="center"/>
        <w:rPr>
          <w:rFonts w:ascii="Calibri" w:eastAsia="Calibri" w:hAnsi="Calibri" w:cs="Calibri"/>
          <w:b/>
          <w:sz w:val="24"/>
          <w:szCs w:val="24"/>
        </w:rPr>
      </w:pPr>
      <w:r w:rsidRPr="000D126E">
        <w:rPr>
          <w:rFonts w:ascii="Calibri" w:eastAsia="Calibri" w:hAnsi="Calibri" w:cs="Calibri"/>
          <w:b/>
          <w:sz w:val="24"/>
          <w:szCs w:val="24"/>
        </w:rPr>
        <w:t>Lic. Juan José Crispín Borbolla</w:t>
      </w:r>
    </w:p>
    <w:p w14:paraId="1891E3FA" w14:textId="1EE38012" w:rsidR="000D126E" w:rsidRDefault="000D126E" w:rsidP="000D126E">
      <w:pPr>
        <w:jc w:val="center"/>
        <w:rPr>
          <w:rFonts w:ascii="Calibri" w:eastAsia="Calibri" w:hAnsi="Calibri" w:cs="Calibri"/>
          <w:b/>
          <w:sz w:val="24"/>
          <w:szCs w:val="24"/>
        </w:rPr>
      </w:pPr>
      <w:r>
        <w:rPr>
          <w:rFonts w:ascii="Calibri" w:eastAsia="Calibri" w:hAnsi="Calibri" w:cs="Calibri"/>
          <w:b/>
          <w:sz w:val="24"/>
          <w:szCs w:val="24"/>
        </w:rPr>
        <w:t>Secretario</w:t>
      </w:r>
    </w:p>
    <w:p w14:paraId="5280C493" w14:textId="2A071FC2" w:rsidR="000D126E" w:rsidRDefault="000D126E" w:rsidP="000D126E">
      <w:pPr>
        <w:jc w:val="both"/>
        <w:rPr>
          <w:rFonts w:ascii="Calibri" w:eastAsia="Calibri" w:hAnsi="Calibri" w:cs="Calibri"/>
          <w:sz w:val="14"/>
          <w:szCs w:val="14"/>
        </w:rPr>
      </w:pPr>
    </w:p>
    <w:p w14:paraId="0EC42A28" w14:textId="7E900342" w:rsidR="000D126E" w:rsidRPr="000D126E" w:rsidRDefault="000D126E" w:rsidP="000D126E">
      <w:pPr>
        <w:jc w:val="both"/>
        <w:rPr>
          <w:rFonts w:ascii="Calibri" w:eastAsia="Calibri" w:hAnsi="Calibri" w:cs="Calibri"/>
          <w:sz w:val="14"/>
          <w:szCs w:val="14"/>
        </w:rPr>
      </w:pPr>
      <w:r w:rsidRPr="000D126E">
        <w:rPr>
          <w:rFonts w:ascii="Calibri" w:eastAsia="Calibri" w:hAnsi="Calibri" w:cs="Calibri"/>
          <w:sz w:val="14"/>
          <w:szCs w:val="14"/>
        </w:rPr>
        <w:t xml:space="preserve">La Recomendación fue aprobada por el V Consejo Consultivo del Instituto Federal de Telecomunicaciones por unanimidad de votos de los Consejeros Sara Gabriela Castellanos </w:t>
      </w:r>
      <w:proofErr w:type="spellStart"/>
      <w:r w:rsidRPr="000D126E">
        <w:rPr>
          <w:rFonts w:ascii="Calibri" w:eastAsia="Calibri" w:hAnsi="Calibri" w:cs="Calibri"/>
          <w:sz w:val="14"/>
          <w:szCs w:val="14"/>
        </w:rPr>
        <w:t>Pascacio</w:t>
      </w:r>
      <w:proofErr w:type="spellEnd"/>
      <w:r w:rsidRPr="000D126E">
        <w:rPr>
          <w:rFonts w:ascii="Calibri" w:eastAsia="Calibri" w:hAnsi="Calibri" w:cs="Calibri"/>
          <w:sz w:val="14"/>
          <w:szCs w:val="14"/>
        </w:rPr>
        <w:t>, Isabel Clavijo Mostajo, Mario de la Cruz Sarabia, Ernesto M. Flores-</w:t>
      </w:r>
      <w:proofErr w:type="spellStart"/>
      <w:r w:rsidRPr="000D126E">
        <w:rPr>
          <w:rFonts w:ascii="Calibri" w:eastAsia="Calibri" w:hAnsi="Calibri" w:cs="Calibri"/>
          <w:sz w:val="14"/>
          <w:szCs w:val="14"/>
        </w:rPr>
        <w:t>Roux</w:t>
      </w:r>
      <w:proofErr w:type="spellEnd"/>
      <w:r w:rsidRPr="000D126E">
        <w:rPr>
          <w:rFonts w:ascii="Calibri" w:eastAsia="Calibri" w:hAnsi="Calibri" w:cs="Calibri"/>
          <w:sz w:val="14"/>
          <w:szCs w:val="14"/>
        </w:rPr>
        <w:t>, Gerardo Francisco González Abarca, Erik Huesca Morales, Salvador Landeros Ayala, Luis Miguel Martínez Cervantes, Jorge Fernando Negrete Pacheco, Lucía Ojeda Cárdenas, María Catalina Ovando Chico, Euridice Palma Salas, Fabiola Alicia Peña Ahumada, Armida Sánchez Arellano y Salo</w:t>
      </w:r>
      <w:r w:rsidR="001E614A">
        <w:rPr>
          <w:rFonts w:ascii="Calibri" w:eastAsia="Calibri" w:hAnsi="Calibri" w:cs="Calibri"/>
          <w:sz w:val="14"/>
          <w:szCs w:val="14"/>
        </w:rPr>
        <w:t>món Woldenberg Esperón, en su I</w:t>
      </w:r>
      <w:r w:rsidRPr="000D126E">
        <w:rPr>
          <w:rFonts w:ascii="Calibri" w:eastAsia="Calibri" w:hAnsi="Calibri" w:cs="Calibri"/>
          <w:sz w:val="14"/>
          <w:szCs w:val="14"/>
        </w:rPr>
        <w:t>I</w:t>
      </w:r>
      <w:r w:rsidR="001E614A">
        <w:rPr>
          <w:rFonts w:ascii="Calibri" w:eastAsia="Calibri" w:hAnsi="Calibri" w:cs="Calibri"/>
          <w:sz w:val="14"/>
          <w:szCs w:val="14"/>
        </w:rPr>
        <w:t xml:space="preserve"> Sesión Ordinaria celebrada el 9 de juli</w:t>
      </w:r>
      <w:r w:rsidRPr="000D126E">
        <w:rPr>
          <w:rFonts w:ascii="Calibri" w:eastAsia="Calibri" w:hAnsi="Calibri" w:cs="Calibri"/>
          <w:sz w:val="14"/>
          <w:szCs w:val="14"/>
        </w:rPr>
        <w:t xml:space="preserve">o de </w:t>
      </w:r>
      <w:r w:rsidR="00E8393D">
        <w:rPr>
          <w:rFonts w:ascii="Calibri" w:eastAsia="Calibri" w:hAnsi="Calibri" w:cs="Calibri"/>
          <w:sz w:val="14"/>
          <w:szCs w:val="14"/>
        </w:rPr>
        <w:t>2020, mediante Acuerdo CC/IFT/090720/4</w:t>
      </w:r>
      <w:r w:rsidRPr="000D126E">
        <w:rPr>
          <w:rFonts w:ascii="Calibri" w:eastAsia="Calibri" w:hAnsi="Calibri" w:cs="Calibri"/>
          <w:sz w:val="14"/>
          <w:szCs w:val="14"/>
        </w:rPr>
        <w:t>.</w:t>
      </w:r>
    </w:p>
    <w:p w14:paraId="1691F98E" w14:textId="77777777" w:rsidR="000D126E" w:rsidRPr="000D126E" w:rsidRDefault="000D126E" w:rsidP="000D126E">
      <w:pPr>
        <w:jc w:val="both"/>
        <w:rPr>
          <w:rFonts w:ascii="Calibri" w:eastAsia="Calibri" w:hAnsi="Calibri" w:cs="Calibri"/>
          <w:sz w:val="14"/>
          <w:szCs w:val="14"/>
        </w:rPr>
      </w:pPr>
    </w:p>
    <w:p w14:paraId="561843A5" w14:textId="7DEC0DAD" w:rsidR="005E6022" w:rsidRPr="009921C0" w:rsidRDefault="000D126E" w:rsidP="000D126E">
      <w:pPr>
        <w:jc w:val="both"/>
        <w:rPr>
          <w:rFonts w:ascii="Calibri" w:eastAsia="Calibri" w:hAnsi="Calibri" w:cs="Calibri"/>
          <w:sz w:val="14"/>
          <w:szCs w:val="14"/>
        </w:rPr>
      </w:pPr>
      <w:r w:rsidRPr="000D126E">
        <w:rPr>
          <w:rFonts w:ascii="Calibri" w:eastAsia="Calibri" w:hAnsi="Calibri" w:cs="Calibri"/>
          <w:sz w:val="14"/>
          <w:szCs w:val="14"/>
        </w:rPr>
        <w:t>El proyecto de Recomendación fue desarrollado por el Consejero Luis Miguel Martínez Cervantes.</w:t>
      </w:r>
    </w:p>
    <w:sectPr w:rsidR="005E6022" w:rsidRPr="009921C0" w:rsidSect="003F31FA">
      <w:headerReference w:type="default" r:id="rId7"/>
      <w:footerReference w:type="default" r:id="rId8"/>
      <w:pgSz w:w="11909" w:h="16834"/>
      <w:pgMar w:top="1417" w:right="1701" w:bottom="1417" w:left="1701"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FC6BF" w14:textId="77777777" w:rsidR="00710D57" w:rsidRDefault="00710D57" w:rsidP="00720990">
      <w:pPr>
        <w:spacing w:line="240" w:lineRule="auto"/>
      </w:pPr>
      <w:r>
        <w:separator/>
      </w:r>
    </w:p>
  </w:endnote>
  <w:endnote w:type="continuationSeparator" w:id="0">
    <w:p w14:paraId="26DA58BE" w14:textId="77777777" w:rsidR="00710D57" w:rsidRDefault="00710D57" w:rsidP="007209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ITC Avant Garde">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Calibri"/>
        <w:sz w:val="18"/>
        <w:szCs w:val="18"/>
      </w:rPr>
      <w:id w:val="1449352512"/>
      <w:docPartObj>
        <w:docPartGallery w:val="Page Numbers (Bottom of Page)"/>
        <w:docPartUnique/>
      </w:docPartObj>
    </w:sdtPr>
    <w:sdtEndPr/>
    <w:sdtContent>
      <w:p w14:paraId="5CAC0352" w14:textId="1E230608" w:rsidR="00A74C67" w:rsidRPr="00A74C67" w:rsidRDefault="00A74C67">
        <w:pPr>
          <w:pStyle w:val="Piedepgina"/>
          <w:jc w:val="right"/>
          <w:rPr>
            <w:rFonts w:ascii="Calibri" w:hAnsi="Calibri" w:cs="Calibri"/>
            <w:sz w:val="18"/>
            <w:szCs w:val="18"/>
          </w:rPr>
        </w:pPr>
        <w:r w:rsidRPr="00A74C67">
          <w:rPr>
            <w:rFonts w:ascii="Calibri" w:hAnsi="Calibri" w:cs="Calibri"/>
            <w:sz w:val="18"/>
            <w:szCs w:val="18"/>
          </w:rPr>
          <w:fldChar w:fldCharType="begin"/>
        </w:r>
        <w:r w:rsidRPr="00A74C67">
          <w:rPr>
            <w:rFonts w:ascii="Calibri" w:hAnsi="Calibri" w:cs="Calibri"/>
            <w:sz w:val="18"/>
            <w:szCs w:val="18"/>
          </w:rPr>
          <w:instrText>PAGE   \* MERGEFORMAT</w:instrText>
        </w:r>
        <w:r w:rsidRPr="00A74C67">
          <w:rPr>
            <w:rFonts w:ascii="Calibri" w:hAnsi="Calibri" w:cs="Calibri"/>
            <w:sz w:val="18"/>
            <w:szCs w:val="18"/>
          </w:rPr>
          <w:fldChar w:fldCharType="separate"/>
        </w:r>
        <w:r w:rsidR="0088013A" w:rsidRPr="0088013A">
          <w:rPr>
            <w:rFonts w:ascii="Calibri" w:hAnsi="Calibri" w:cs="Calibri"/>
            <w:noProof/>
            <w:sz w:val="18"/>
            <w:szCs w:val="18"/>
            <w:lang w:val="es-ES"/>
          </w:rPr>
          <w:t>8</w:t>
        </w:r>
        <w:r w:rsidRPr="00A74C67">
          <w:rPr>
            <w:rFonts w:ascii="Calibri" w:hAnsi="Calibri" w:cs="Calibri"/>
            <w:sz w:val="18"/>
            <w:szCs w:val="18"/>
          </w:rPr>
          <w:fldChar w:fldCharType="end"/>
        </w:r>
      </w:p>
    </w:sdtContent>
  </w:sdt>
  <w:p w14:paraId="36E3F20C" w14:textId="77777777" w:rsidR="00A74C67" w:rsidRDefault="00A74C6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FA2CE" w14:textId="77777777" w:rsidR="00710D57" w:rsidRDefault="00710D57" w:rsidP="00720990">
      <w:pPr>
        <w:spacing w:line="240" w:lineRule="auto"/>
      </w:pPr>
      <w:r>
        <w:separator/>
      </w:r>
    </w:p>
  </w:footnote>
  <w:footnote w:type="continuationSeparator" w:id="0">
    <w:p w14:paraId="65A8B1D0" w14:textId="77777777" w:rsidR="00710D57" w:rsidRDefault="00710D57" w:rsidP="00720990">
      <w:pPr>
        <w:spacing w:line="240" w:lineRule="auto"/>
      </w:pPr>
      <w:r>
        <w:continuationSeparator/>
      </w:r>
    </w:p>
  </w:footnote>
  <w:footnote w:id="1">
    <w:p w14:paraId="22865B6C" w14:textId="13CE63DC" w:rsidR="00720990" w:rsidRPr="003F31FA" w:rsidRDefault="00720990" w:rsidP="003F31FA">
      <w:pPr>
        <w:pStyle w:val="Textonotapie"/>
        <w:jc w:val="both"/>
        <w:rPr>
          <w:rFonts w:ascii="Calibri" w:hAnsi="Calibri" w:cs="Calibri"/>
          <w:sz w:val="18"/>
          <w:szCs w:val="18"/>
          <w:lang w:val="es-ES"/>
        </w:rPr>
      </w:pPr>
      <w:r w:rsidRPr="003F31FA">
        <w:rPr>
          <w:rStyle w:val="Refdenotaalpie"/>
          <w:rFonts w:ascii="Calibri" w:hAnsi="Calibri" w:cs="Calibri"/>
          <w:sz w:val="18"/>
          <w:szCs w:val="18"/>
        </w:rPr>
        <w:footnoteRef/>
      </w:r>
      <w:r w:rsidRPr="003F31FA">
        <w:rPr>
          <w:rFonts w:ascii="Calibri" w:hAnsi="Calibri" w:cs="Calibri"/>
          <w:sz w:val="18"/>
          <w:szCs w:val="18"/>
        </w:rPr>
        <w:t xml:space="preserve"> </w:t>
      </w:r>
      <w:r w:rsidRPr="003F31FA">
        <w:rPr>
          <w:rFonts w:ascii="Calibri" w:hAnsi="Calibri" w:cs="Calibri"/>
          <w:sz w:val="18"/>
          <w:szCs w:val="18"/>
          <w:lang w:val="es-ES"/>
        </w:rPr>
        <w:t>Cfr. Comentarios y Recomendaciones al documento “Visión Regulatoria de las Telecomunicaciones y la Radiodifusión 2019-2023” (2019), Recomendación sobre el desarrollo de las telecomunicaciones y la radiodifusión para uso social comunitario e indígena (2019), Recomendación sobre el desarrollo de la radiodifusión sonora en México (2019), Recomendación sobre la Inclusión Digital en México (2018), Recomendación Acceso a Pueblos Indígenas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37023" w14:textId="64AE1B2E" w:rsidR="003F31FA" w:rsidRDefault="00710D57">
    <w:pPr>
      <w:pStyle w:val="Encabezado"/>
    </w:pPr>
    <w:r>
      <w:rPr>
        <w:noProof/>
      </w:rPr>
      <w:pict w14:anchorId="3440D1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506562" o:spid="_x0000_s2052" type="#_x0000_t75" style="position:absolute;margin-left:-85.2pt;margin-top:-70.1pt;width:609.6pt;height:793.9pt;z-index:-251658752;mso-position-horizontal-relative:margin;mso-position-vertical-relative:margin" o:allowincell="f">
          <v:imagedata r:id="rId1" o:title="V CC logo (hoj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D7B4D"/>
    <w:multiLevelType w:val="multilevel"/>
    <w:tmpl w:val="FFC2649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 w15:restartNumberingAfterBreak="0">
    <w:nsid w:val="67950705"/>
    <w:multiLevelType w:val="hybridMultilevel"/>
    <w:tmpl w:val="FAC4B844"/>
    <w:lvl w:ilvl="0" w:tplc="C11A9712">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69662F6F"/>
    <w:multiLevelType w:val="hybridMultilevel"/>
    <w:tmpl w:val="25E652F2"/>
    <w:lvl w:ilvl="0" w:tplc="C756CBEE">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9A8"/>
    <w:rsid w:val="00016B50"/>
    <w:rsid w:val="00097BC3"/>
    <w:rsid w:val="000D126E"/>
    <w:rsid w:val="000D675A"/>
    <w:rsid w:val="00130922"/>
    <w:rsid w:val="00152DE6"/>
    <w:rsid w:val="0017125E"/>
    <w:rsid w:val="00190B99"/>
    <w:rsid w:val="001A3191"/>
    <w:rsid w:val="001B6E10"/>
    <w:rsid w:val="001E614A"/>
    <w:rsid w:val="002753F1"/>
    <w:rsid w:val="002A59A1"/>
    <w:rsid w:val="00306341"/>
    <w:rsid w:val="003F31FA"/>
    <w:rsid w:val="004841BB"/>
    <w:rsid w:val="004849AF"/>
    <w:rsid w:val="005E6022"/>
    <w:rsid w:val="00687415"/>
    <w:rsid w:val="006F2159"/>
    <w:rsid w:val="00710D57"/>
    <w:rsid w:val="00720990"/>
    <w:rsid w:val="00723C76"/>
    <w:rsid w:val="007261C6"/>
    <w:rsid w:val="00766D8C"/>
    <w:rsid w:val="00796CFB"/>
    <w:rsid w:val="00834AF3"/>
    <w:rsid w:val="0088013A"/>
    <w:rsid w:val="008E132B"/>
    <w:rsid w:val="009921C0"/>
    <w:rsid w:val="0099419D"/>
    <w:rsid w:val="009A79A8"/>
    <w:rsid w:val="009B172E"/>
    <w:rsid w:val="009C17FD"/>
    <w:rsid w:val="009C2CAA"/>
    <w:rsid w:val="00A04DF4"/>
    <w:rsid w:val="00A70DA0"/>
    <w:rsid w:val="00A74C67"/>
    <w:rsid w:val="00A75511"/>
    <w:rsid w:val="00AC7694"/>
    <w:rsid w:val="00B15559"/>
    <w:rsid w:val="00B82050"/>
    <w:rsid w:val="00B9178B"/>
    <w:rsid w:val="00BB5B12"/>
    <w:rsid w:val="00BE5EA6"/>
    <w:rsid w:val="00C43636"/>
    <w:rsid w:val="00C7391E"/>
    <w:rsid w:val="00D223C8"/>
    <w:rsid w:val="00E67ECC"/>
    <w:rsid w:val="00E8393D"/>
    <w:rsid w:val="00F0497F"/>
    <w:rsid w:val="00F514D8"/>
    <w:rsid w:val="00F83FF8"/>
    <w:rsid w:val="00FE2F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E92C5FA"/>
  <w15:docId w15:val="{AB0CD620-D3C0-4784-9E52-30B1D13F0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Refdecomentario">
    <w:name w:val="annotation reference"/>
    <w:basedOn w:val="Fuentedeprrafopredeter"/>
    <w:uiPriority w:val="99"/>
    <w:semiHidden/>
    <w:unhideWhenUsed/>
    <w:rsid w:val="004849AF"/>
    <w:rPr>
      <w:sz w:val="16"/>
      <w:szCs w:val="16"/>
    </w:rPr>
  </w:style>
  <w:style w:type="paragraph" w:styleId="Textocomentario">
    <w:name w:val="annotation text"/>
    <w:basedOn w:val="Normal"/>
    <w:link w:val="TextocomentarioCar"/>
    <w:uiPriority w:val="99"/>
    <w:semiHidden/>
    <w:unhideWhenUsed/>
    <w:rsid w:val="004849A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849AF"/>
    <w:rPr>
      <w:sz w:val="20"/>
      <w:szCs w:val="20"/>
    </w:rPr>
  </w:style>
  <w:style w:type="paragraph" w:styleId="Asuntodelcomentario">
    <w:name w:val="annotation subject"/>
    <w:basedOn w:val="Textocomentario"/>
    <w:next w:val="Textocomentario"/>
    <w:link w:val="AsuntodelcomentarioCar"/>
    <w:uiPriority w:val="99"/>
    <w:semiHidden/>
    <w:unhideWhenUsed/>
    <w:rsid w:val="004849AF"/>
    <w:rPr>
      <w:b/>
      <w:bCs/>
    </w:rPr>
  </w:style>
  <w:style w:type="character" w:customStyle="1" w:styleId="AsuntodelcomentarioCar">
    <w:name w:val="Asunto del comentario Car"/>
    <w:basedOn w:val="TextocomentarioCar"/>
    <w:link w:val="Asuntodelcomentario"/>
    <w:uiPriority w:val="99"/>
    <w:semiHidden/>
    <w:rsid w:val="004849AF"/>
    <w:rPr>
      <w:b/>
      <w:bCs/>
      <w:sz w:val="20"/>
      <w:szCs w:val="20"/>
    </w:rPr>
  </w:style>
  <w:style w:type="paragraph" w:styleId="Textodeglobo">
    <w:name w:val="Balloon Text"/>
    <w:basedOn w:val="Normal"/>
    <w:link w:val="TextodegloboCar"/>
    <w:uiPriority w:val="99"/>
    <w:semiHidden/>
    <w:unhideWhenUsed/>
    <w:rsid w:val="004849AF"/>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849AF"/>
    <w:rPr>
      <w:rFonts w:ascii="Segoe UI" w:hAnsi="Segoe UI" w:cs="Segoe UI"/>
      <w:sz w:val="18"/>
      <w:szCs w:val="18"/>
    </w:rPr>
  </w:style>
  <w:style w:type="paragraph" w:styleId="Prrafodelista">
    <w:name w:val="List Paragraph"/>
    <w:basedOn w:val="Normal"/>
    <w:uiPriority w:val="34"/>
    <w:qFormat/>
    <w:rsid w:val="00190B99"/>
    <w:pPr>
      <w:ind w:left="720"/>
      <w:contextualSpacing/>
    </w:pPr>
  </w:style>
  <w:style w:type="character" w:styleId="Hipervnculo">
    <w:name w:val="Hyperlink"/>
    <w:basedOn w:val="Fuentedeprrafopredeter"/>
    <w:uiPriority w:val="99"/>
    <w:semiHidden/>
    <w:unhideWhenUsed/>
    <w:rsid w:val="00152DE6"/>
    <w:rPr>
      <w:color w:val="0000FF"/>
      <w:u w:val="single"/>
    </w:rPr>
  </w:style>
  <w:style w:type="paragraph" w:styleId="Textonotapie">
    <w:name w:val="footnote text"/>
    <w:basedOn w:val="Normal"/>
    <w:link w:val="TextonotapieCar"/>
    <w:uiPriority w:val="99"/>
    <w:semiHidden/>
    <w:unhideWhenUsed/>
    <w:rsid w:val="00720990"/>
    <w:pPr>
      <w:spacing w:line="240" w:lineRule="auto"/>
    </w:pPr>
    <w:rPr>
      <w:sz w:val="20"/>
      <w:szCs w:val="20"/>
    </w:rPr>
  </w:style>
  <w:style w:type="character" w:customStyle="1" w:styleId="TextonotapieCar">
    <w:name w:val="Texto nota pie Car"/>
    <w:basedOn w:val="Fuentedeprrafopredeter"/>
    <w:link w:val="Textonotapie"/>
    <w:uiPriority w:val="99"/>
    <w:semiHidden/>
    <w:rsid w:val="00720990"/>
    <w:rPr>
      <w:sz w:val="20"/>
      <w:szCs w:val="20"/>
    </w:rPr>
  </w:style>
  <w:style w:type="character" w:styleId="Refdenotaalpie">
    <w:name w:val="footnote reference"/>
    <w:basedOn w:val="Fuentedeprrafopredeter"/>
    <w:uiPriority w:val="99"/>
    <w:semiHidden/>
    <w:unhideWhenUsed/>
    <w:rsid w:val="00720990"/>
    <w:rPr>
      <w:vertAlign w:val="superscript"/>
    </w:rPr>
  </w:style>
  <w:style w:type="table" w:styleId="Tablaconcuadrcula">
    <w:name w:val="Table Grid"/>
    <w:basedOn w:val="Tablanormal"/>
    <w:uiPriority w:val="39"/>
    <w:rsid w:val="0072099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9419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9419D"/>
  </w:style>
  <w:style w:type="paragraph" w:styleId="Piedepgina">
    <w:name w:val="footer"/>
    <w:basedOn w:val="Normal"/>
    <w:link w:val="PiedepginaCar"/>
    <w:uiPriority w:val="99"/>
    <w:unhideWhenUsed/>
    <w:rsid w:val="0099419D"/>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94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71302">
      <w:bodyDiv w:val="1"/>
      <w:marLeft w:val="0"/>
      <w:marRight w:val="0"/>
      <w:marTop w:val="0"/>
      <w:marBottom w:val="0"/>
      <w:divBdr>
        <w:top w:val="none" w:sz="0" w:space="0" w:color="auto"/>
        <w:left w:val="none" w:sz="0" w:space="0" w:color="auto"/>
        <w:bottom w:val="none" w:sz="0" w:space="0" w:color="auto"/>
        <w:right w:val="none" w:sz="0" w:space="0" w:color="auto"/>
      </w:divBdr>
      <w:divsChild>
        <w:div w:id="2074618449">
          <w:marLeft w:val="0"/>
          <w:marRight w:val="0"/>
          <w:marTop w:val="0"/>
          <w:marBottom w:val="0"/>
          <w:divBdr>
            <w:top w:val="none" w:sz="0" w:space="0" w:color="auto"/>
            <w:left w:val="none" w:sz="0" w:space="0" w:color="auto"/>
            <w:bottom w:val="none" w:sz="0" w:space="0" w:color="auto"/>
            <w:right w:val="none" w:sz="0" w:space="0" w:color="auto"/>
          </w:divBdr>
          <w:divsChild>
            <w:div w:id="26105211">
              <w:marLeft w:val="0"/>
              <w:marRight w:val="0"/>
              <w:marTop w:val="0"/>
              <w:marBottom w:val="0"/>
              <w:divBdr>
                <w:top w:val="none" w:sz="0" w:space="0" w:color="auto"/>
                <w:left w:val="none" w:sz="0" w:space="0" w:color="auto"/>
                <w:bottom w:val="none" w:sz="0" w:space="0" w:color="auto"/>
                <w:right w:val="none" w:sz="0" w:space="0" w:color="auto"/>
              </w:divBdr>
              <w:divsChild>
                <w:div w:id="120528661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52454981">
      <w:bodyDiv w:val="1"/>
      <w:marLeft w:val="0"/>
      <w:marRight w:val="0"/>
      <w:marTop w:val="0"/>
      <w:marBottom w:val="0"/>
      <w:divBdr>
        <w:top w:val="none" w:sz="0" w:space="0" w:color="auto"/>
        <w:left w:val="none" w:sz="0" w:space="0" w:color="auto"/>
        <w:bottom w:val="none" w:sz="0" w:space="0" w:color="auto"/>
        <w:right w:val="none" w:sz="0" w:space="0" w:color="auto"/>
      </w:divBdr>
      <w:divsChild>
        <w:div w:id="677848193">
          <w:marLeft w:val="0"/>
          <w:marRight w:val="0"/>
          <w:marTop w:val="0"/>
          <w:marBottom w:val="0"/>
          <w:divBdr>
            <w:top w:val="none" w:sz="0" w:space="0" w:color="auto"/>
            <w:left w:val="none" w:sz="0" w:space="0" w:color="auto"/>
            <w:bottom w:val="none" w:sz="0" w:space="0" w:color="auto"/>
            <w:right w:val="none" w:sz="0" w:space="0" w:color="auto"/>
          </w:divBdr>
          <w:divsChild>
            <w:div w:id="454105411">
              <w:marLeft w:val="0"/>
              <w:marRight w:val="0"/>
              <w:marTop w:val="0"/>
              <w:marBottom w:val="0"/>
              <w:divBdr>
                <w:top w:val="none" w:sz="0" w:space="0" w:color="auto"/>
                <w:left w:val="none" w:sz="0" w:space="0" w:color="auto"/>
                <w:bottom w:val="none" w:sz="0" w:space="0" w:color="auto"/>
                <w:right w:val="none" w:sz="0" w:space="0" w:color="auto"/>
              </w:divBdr>
              <w:divsChild>
                <w:div w:id="129251592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30606734">
      <w:bodyDiv w:val="1"/>
      <w:marLeft w:val="0"/>
      <w:marRight w:val="0"/>
      <w:marTop w:val="0"/>
      <w:marBottom w:val="0"/>
      <w:divBdr>
        <w:top w:val="none" w:sz="0" w:space="0" w:color="auto"/>
        <w:left w:val="none" w:sz="0" w:space="0" w:color="auto"/>
        <w:bottom w:val="none" w:sz="0" w:space="0" w:color="auto"/>
        <w:right w:val="none" w:sz="0" w:space="0" w:color="auto"/>
      </w:divBdr>
      <w:divsChild>
        <w:div w:id="1503354454">
          <w:marLeft w:val="0"/>
          <w:marRight w:val="0"/>
          <w:marTop w:val="0"/>
          <w:marBottom w:val="0"/>
          <w:divBdr>
            <w:top w:val="none" w:sz="0" w:space="0" w:color="auto"/>
            <w:left w:val="none" w:sz="0" w:space="0" w:color="auto"/>
            <w:bottom w:val="none" w:sz="0" w:space="0" w:color="auto"/>
            <w:right w:val="none" w:sz="0" w:space="0" w:color="auto"/>
          </w:divBdr>
          <w:divsChild>
            <w:div w:id="1499692450">
              <w:marLeft w:val="0"/>
              <w:marRight w:val="0"/>
              <w:marTop w:val="0"/>
              <w:marBottom w:val="0"/>
              <w:divBdr>
                <w:top w:val="none" w:sz="0" w:space="0" w:color="auto"/>
                <w:left w:val="none" w:sz="0" w:space="0" w:color="auto"/>
                <w:bottom w:val="none" w:sz="0" w:space="0" w:color="auto"/>
                <w:right w:val="none" w:sz="0" w:space="0" w:color="auto"/>
              </w:divBdr>
              <w:divsChild>
                <w:div w:id="211412899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688331462">
      <w:bodyDiv w:val="1"/>
      <w:marLeft w:val="0"/>
      <w:marRight w:val="0"/>
      <w:marTop w:val="0"/>
      <w:marBottom w:val="0"/>
      <w:divBdr>
        <w:top w:val="none" w:sz="0" w:space="0" w:color="auto"/>
        <w:left w:val="none" w:sz="0" w:space="0" w:color="auto"/>
        <w:bottom w:val="none" w:sz="0" w:space="0" w:color="auto"/>
        <w:right w:val="none" w:sz="0" w:space="0" w:color="auto"/>
      </w:divBdr>
      <w:divsChild>
        <w:div w:id="1428186801">
          <w:marLeft w:val="0"/>
          <w:marRight w:val="0"/>
          <w:marTop w:val="0"/>
          <w:marBottom w:val="0"/>
          <w:divBdr>
            <w:top w:val="none" w:sz="0" w:space="0" w:color="auto"/>
            <w:left w:val="none" w:sz="0" w:space="0" w:color="auto"/>
            <w:bottom w:val="none" w:sz="0" w:space="0" w:color="auto"/>
            <w:right w:val="none" w:sz="0" w:space="0" w:color="auto"/>
          </w:divBdr>
          <w:divsChild>
            <w:div w:id="1565220753">
              <w:marLeft w:val="0"/>
              <w:marRight w:val="0"/>
              <w:marTop w:val="0"/>
              <w:marBottom w:val="0"/>
              <w:divBdr>
                <w:top w:val="none" w:sz="0" w:space="0" w:color="auto"/>
                <w:left w:val="none" w:sz="0" w:space="0" w:color="auto"/>
                <w:bottom w:val="none" w:sz="0" w:space="0" w:color="auto"/>
                <w:right w:val="none" w:sz="0" w:space="0" w:color="auto"/>
              </w:divBdr>
              <w:divsChild>
                <w:div w:id="78500799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31215410">
      <w:bodyDiv w:val="1"/>
      <w:marLeft w:val="0"/>
      <w:marRight w:val="0"/>
      <w:marTop w:val="0"/>
      <w:marBottom w:val="0"/>
      <w:divBdr>
        <w:top w:val="none" w:sz="0" w:space="0" w:color="auto"/>
        <w:left w:val="none" w:sz="0" w:space="0" w:color="auto"/>
        <w:bottom w:val="none" w:sz="0" w:space="0" w:color="auto"/>
        <w:right w:val="none" w:sz="0" w:space="0" w:color="auto"/>
      </w:divBdr>
    </w:div>
    <w:div w:id="831528017">
      <w:bodyDiv w:val="1"/>
      <w:marLeft w:val="0"/>
      <w:marRight w:val="0"/>
      <w:marTop w:val="0"/>
      <w:marBottom w:val="0"/>
      <w:divBdr>
        <w:top w:val="none" w:sz="0" w:space="0" w:color="auto"/>
        <w:left w:val="none" w:sz="0" w:space="0" w:color="auto"/>
        <w:bottom w:val="none" w:sz="0" w:space="0" w:color="auto"/>
        <w:right w:val="none" w:sz="0" w:space="0" w:color="auto"/>
      </w:divBdr>
      <w:divsChild>
        <w:div w:id="1372221285">
          <w:marLeft w:val="0"/>
          <w:marRight w:val="0"/>
          <w:marTop w:val="0"/>
          <w:marBottom w:val="0"/>
          <w:divBdr>
            <w:top w:val="none" w:sz="0" w:space="0" w:color="auto"/>
            <w:left w:val="none" w:sz="0" w:space="0" w:color="auto"/>
            <w:bottom w:val="none" w:sz="0" w:space="0" w:color="auto"/>
            <w:right w:val="none" w:sz="0" w:space="0" w:color="auto"/>
          </w:divBdr>
          <w:divsChild>
            <w:div w:id="1453942870">
              <w:marLeft w:val="0"/>
              <w:marRight w:val="0"/>
              <w:marTop w:val="0"/>
              <w:marBottom w:val="0"/>
              <w:divBdr>
                <w:top w:val="none" w:sz="0" w:space="0" w:color="auto"/>
                <w:left w:val="none" w:sz="0" w:space="0" w:color="auto"/>
                <w:bottom w:val="none" w:sz="0" w:space="0" w:color="auto"/>
                <w:right w:val="none" w:sz="0" w:space="0" w:color="auto"/>
              </w:divBdr>
              <w:divsChild>
                <w:div w:id="172976733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31550870">
      <w:bodyDiv w:val="1"/>
      <w:marLeft w:val="0"/>
      <w:marRight w:val="0"/>
      <w:marTop w:val="0"/>
      <w:marBottom w:val="0"/>
      <w:divBdr>
        <w:top w:val="none" w:sz="0" w:space="0" w:color="auto"/>
        <w:left w:val="none" w:sz="0" w:space="0" w:color="auto"/>
        <w:bottom w:val="none" w:sz="0" w:space="0" w:color="auto"/>
        <w:right w:val="none" w:sz="0" w:space="0" w:color="auto"/>
      </w:divBdr>
      <w:divsChild>
        <w:div w:id="496387528">
          <w:marLeft w:val="0"/>
          <w:marRight w:val="0"/>
          <w:marTop w:val="0"/>
          <w:marBottom w:val="0"/>
          <w:divBdr>
            <w:top w:val="none" w:sz="0" w:space="0" w:color="auto"/>
            <w:left w:val="none" w:sz="0" w:space="0" w:color="auto"/>
            <w:bottom w:val="none" w:sz="0" w:space="0" w:color="auto"/>
            <w:right w:val="none" w:sz="0" w:space="0" w:color="auto"/>
          </w:divBdr>
          <w:divsChild>
            <w:div w:id="1668242746">
              <w:marLeft w:val="0"/>
              <w:marRight w:val="0"/>
              <w:marTop w:val="0"/>
              <w:marBottom w:val="0"/>
              <w:divBdr>
                <w:top w:val="none" w:sz="0" w:space="0" w:color="auto"/>
                <w:left w:val="none" w:sz="0" w:space="0" w:color="auto"/>
                <w:bottom w:val="none" w:sz="0" w:space="0" w:color="auto"/>
                <w:right w:val="none" w:sz="0" w:space="0" w:color="auto"/>
              </w:divBdr>
              <w:divsChild>
                <w:div w:id="984544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163661442">
      <w:bodyDiv w:val="1"/>
      <w:marLeft w:val="0"/>
      <w:marRight w:val="0"/>
      <w:marTop w:val="0"/>
      <w:marBottom w:val="0"/>
      <w:divBdr>
        <w:top w:val="none" w:sz="0" w:space="0" w:color="auto"/>
        <w:left w:val="none" w:sz="0" w:space="0" w:color="auto"/>
        <w:bottom w:val="none" w:sz="0" w:space="0" w:color="auto"/>
        <w:right w:val="none" w:sz="0" w:space="0" w:color="auto"/>
      </w:divBdr>
      <w:divsChild>
        <w:div w:id="1671105952">
          <w:marLeft w:val="0"/>
          <w:marRight w:val="0"/>
          <w:marTop w:val="0"/>
          <w:marBottom w:val="0"/>
          <w:divBdr>
            <w:top w:val="none" w:sz="0" w:space="0" w:color="auto"/>
            <w:left w:val="none" w:sz="0" w:space="0" w:color="auto"/>
            <w:bottom w:val="none" w:sz="0" w:space="0" w:color="auto"/>
            <w:right w:val="none" w:sz="0" w:space="0" w:color="auto"/>
          </w:divBdr>
          <w:divsChild>
            <w:div w:id="1334382742">
              <w:marLeft w:val="0"/>
              <w:marRight w:val="0"/>
              <w:marTop w:val="0"/>
              <w:marBottom w:val="0"/>
              <w:divBdr>
                <w:top w:val="none" w:sz="0" w:space="0" w:color="auto"/>
                <w:left w:val="none" w:sz="0" w:space="0" w:color="auto"/>
                <w:bottom w:val="none" w:sz="0" w:space="0" w:color="auto"/>
                <w:right w:val="none" w:sz="0" w:space="0" w:color="auto"/>
              </w:divBdr>
              <w:divsChild>
                <w:div w:id="139782115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179352427">
      <w:bodyDiv w:val="1"/>
      <w:marLeft w:val="0"/>
      <w:marRight w:val="0"/>
      <w:marTop w:val="0"/>
      <w:marBottom w:val="0"/>
      <w:divBdr>
        <w:top w:val="none" w:sz="0" w:space="0" w:color="auto"/>
        <w:left w:val="none" w:sz="0" w:space="0" w:color="auto"/>
        <w:bottom w:val="none" w:sz="0" w:space="0" w:color="auto"/>
        <w:right w:val="none" w:sz="0" w:space="0" w:color="auto"/>
      </w:divBdr>
      <w:divsChild>
        <w:div w:id="1174951824">
          <w:marLeft w:val="0"/>
          <w:marRight w:val="0"/>
          <w:marTop w:val="0"/>
          <w:marBottom w:val="0"/>
          <w:divBdr>
            <w:top w:val="none" w:sz="0" w:space="0" w:color="auto"/>
            <w:left w:val="none" w:sz="0" w:space="0" w:color="auto"/>
            <w:bottom w:val="none" w:sz="0" w:space="0" w:color="auto"/>
            <w:right w:val="none" w:sz="0" w:space="0" w:color="auto"/>
          </w:divBdr>
          <w:divsChild>
            <w:div w:id="66195285">
              <w:marLeft w:val="0"/>
              <w:marRight w:val="0"/>
              <w:marTop w:val="0"/>
              <w:marBottom w:val="0"/>
              <w:divBdr>
                <w:top w:val="none" w:sz="0" w:space="0" w:color="auto"/>
                <w:left w:val="none" w:sz="0" w:space="0" w:color="auto"/>
                <w:bottom w:val="none" w:sz="0" w:space="0" w:color="auto"/>
                <w:right w:val="none" w:sz="0" w:space="0" w:color="auto"/>
              </w:divBdr>
              <w:divsChild>
                <w:div w:id="35299919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191919055">
      <w:bodyDiv w:val="1"/>
      <w:marLeft w:val="0"/>
      <w:marRight w:val="0"/>
      <w:marTop w:val="0"/>
      <w:marBottom w:val="0"/>
      <w:divBdr>
        <w:top w:val="none" w:sz="0" w:space="0" w:color="auto"/>
        <w:left w:val="none" w:sz="0" w:space="0" w:color="auto"/>
        <w:bottom w:val="none" w:sz="0" w:space="0" w:color="auto"/>
        <w:right w:val="none" w:sz="0" w:space="0" w:color="auto"/>
      </w:divBdr>
    </w:div>
    <w:div w:id="1576935116">
      <w:bodyDiv w:val="1"/>
      <w:marLeft w:val="0"/>
      <w:marRight w:val="0"/>
      <w:marTop w:val="0"/>
      <w:marBottom w:val="0"/>
      <w:divBdr>
        <w:top w:val="none" w:sz="0" w:space="0" w:color="auto"/>
        <w:left w:val="none" w:sz="0" w:space="0" w:color="auto"/>
        <w:bottom w:val="none" w:sz="0" w:space="0" w:color="auto"/>
        <w:right w:val="none" w:sz="0" w:space="0" w:color="auto"/>
      </w:divBdr>
      <w:divsChild>
        <w:div w:id="376123928">
          <w:marLeft w:val="0"/>
          <w:marRight w:val="0"/>
          <w:marTop w:val="0"/>
          <w:marBottom w:val="0"/>
          <w:divBdr>
            <w:top w:val="none" w:sz="0" w:space="0" w:color="auto"/>
            <w:left w:val="none" w:sz="0" w:space="0" w:color="auto"/>
            <w:bottom w:val="none" w:sz="0" w:space="0" w:color="auto"/>
            <w:right w:val="none" w:sz="0" w:space="0" w:color="auto"/>
          </w:divBdr>
          <w:divsChild>
            <w:div w:id="1945913573">
              <w:marLeft w:val="0"/>
              <w:marRight w:val="0"/>
              <w:marTop w:val="0"/>
              <w:marBottom w:val="0"/>
              <w:divBdr>
                <w:top w:val="none" w:sz="0" w:space="0" w:color="auto"/>
                <w:left w:val="none" w:sz="0" w:space="0" w:color="auto"/>
                <w:bottom w:val="none" w:sz="0" w:space="0" w:color="auto"/>
                <w:right w:val="none" w:sz="0" w:space="0" w:color="auto"/>
              </w:divBdr>
              <w:divsChild>
                <w:div w:id="129547973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711420403">
      <w:bodyDiv w:val="1"/>
      <w:marLeft w:val="0"/>
      <w:marRight w:val="0"/>
      <w:marTop w:val="0"/>
      <w:marBottom w:val="0"/>
      <w:divBdr>
        <w:top w:val="none" w:sz="0" w:space="0" w:color="auto"/>
        <w:left w:val="none" w:sz="0" w:space="0" w:color="auto"/>
        <w:bottom w:val="none" w:sz="0" w:space="0" w:color="auto"/>
        <w:right w:val="none" w:sz="0" w:space="0" w:color="auto"/>
      </w:divBdr>
      <w:divsChild>
        <w:div w:id="829714289">
          <w:marLeft w:val="0"/>
          <w:marRight w:val="0"/>
          <w:marTop w:val="0"/>
          <w:marBottom w:val="0"/>
          <w:divBdr>
            <w:top w:val="none" w:sz="0" w:space="0" w:color="auto"/>
            <w:left w:val="none" w:sz="0" w:space="0" w:color="auto"/>
            <w:bottom w:val="none" w:sz="0" w:space="0" w:color="auto"/>
            <w:right w:val="none" w:sz="0" w:space="0" w:color="auto"/>
          </w:divBdr>
          <w:divsChild>
            <w:div w:id="311257797">
              <w:marLeft w:val="0"/>
              <w:marRight w:val="0"/>
              <w:marTop w:val="0"/>
              <w:marBottom w:val="0"/>
              <w:divBdr>
                <w:top w:val="none" w:sz="0" w:space="0" w:color="auto"/>
                <w:left w:val="none" w:sz="0" w:space="0" w:color="auto"/>
                <w:bottom w:val="none" w:sz="0" w:space="0" w:color="auto"/>
                <w:right w:val="none" w:sz="0" w:space="0" w:color="auto"/>
              </w:divBdr>
              <w:divsChild>
                <w:div w:id="90992375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45454909">
      <w:bodyDiv w:val="1"/>
      <w:marLeft w:val="0"/>
      <w:marRight w:val="0"/>
      <w:marTop w:val="0"/>
      <w:marBottom w:val="0"/>
      <w:divBdr>
        <w:top w:val="none" w:sz="0" w:space="0" w:color="auto"/>
        <w:left w:val="none" w:sz="0" w:space="0" w:color="auto"/>
        <w:bottom w:val="none" w:sz="0" w:space="0" w:color="auto"/>
        <w:right w:val="none" w:sz="0" w:space="0" w:color="auto"/>
      </w:divBdr>
      <w:divsChild>
        <w:div w:id="1020202308">
          <w:marLeft w:val="0"/>
          <w:marRight w:val="0"/>
          <w:marTop w:val="0"/>
          <w:marBottom w:val="0"/>
          <w:divBdr>
            <w:top w:val="none" w:sz="0" w:space="0" w:color="auto"/>
            <w:left w:val="none" w:sz="0" w:space="0" w:color="auto"/>
            <w:bottom w:val="none" w:sz="0" w:space="0" w:color="auto"/>
            <w:right w:val="none" w:sz="0" w:space="0" w:color="auto"/>
          </w:divBdr>
          <w:divsChild>
            <w:div w:id="1591115366">
              <w:marLeft w:val="0"/>
              <w:marRight w:val="0"/>
              <w:marTop w:val="0"/>
              <w:marBottom w:val="0"/>
              <w:divBdr>
                <w:top w:val="none" w:sz="0" w:space="0" w:color="auto"/>
                <w:left w:val="none" w:sz="0" w:space="0" w:color="auto"/>
                <w:bottom w:val="none" w:sz="0" w:space="0" w:color="auto"/>
                <w:right w:val="none" w:sz="0" w:space="0" w:color="auto"/>
              </w:divBdr>
              <w:divsChild>
                <w:div w:id="40792215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111658510">
      <w:bodyDiv w:val="1"/>
      <w:marLeft w:val="0"/>
      <w:marRight w:val="0"/>
      <w:marTop w:val="0"/>
      <w:marBottom w:val="0"/>
      <w:divBdr>
        <w:top w:val="none" w:sz="0" w:space="0" w:color="auto"/>
        <w:left w:val="none" w:sz="0" w:space="0" w:color="auto"/>
        <w:bottom w:val="none" w:sz="0" w:space="0" w:color="auto"/>
        <w:right w:val="none" w:sz="0" w:space="0" w:color="auto"/>
      </w:divBdr>
      <w:divsChild>
        <w:div w:id="1429814676">
          <w:marLeft w:val="0"/>
          <w:marRight w:val="0"/>
          <w:marTop w:val="0"/>
          <w:marBottom w:val="0"/>
          <w:divBdr>
            <w:top w:val="none" w:sz="0" w:space="0" w:color="auto"/>
            <w:left w:val="none" w:sz="0" w:space="0" w:color="auto"/>
            <w:bottom w:val="none" w:sz="0" w:space="0" w:color="auto"/>
            <w:right w:val="none" w:sz="0" w:space="0" w:color="auto"/>
          </w:divBdr>
          <w:divsChild>
            <w:div w:id="723723606">
              <w:marLeft w:val="0"/>
              <w:marRight w:val="0"/>
              <w:marTop w:val="0"/>
              <w:marBottom w:val="0"/>
              <w:divBdr>
                <w:top w:val="none" w:sz="0" w:space="0" w:color="auto"/>
                <w:left w:val="none" w:sz="0" w:space="0" w:color="auto"/>
                <w:bottom w:val="none" w:sz="0" w:space="0" w:color="auto"/>
                <w:right w:val="none" w:sz="0" w:space="0" w:color="auto"/>
              </w:divBdr>
              <w:divsChild>
                <w:div w:id="81364703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3004</Words>
  <Characters>16523</Characters>
  <Application>Microsoft Office Word</Application>
  <DocSecurity>0</DocSecurity>
  <Lines>137</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Ernesto Flores</dc:creator>
  <cp:lastModifiedBy>Eunice Rosales Cruz</cp:lastModifiedBy>
  <cp:revision>5</cp:revision>
  <cp:lastPrinted>2020-09-21T01:48:00Z</cp:lastPrinted>
  <dcterms:created xsi:type="dcterms:W3CDTF">2020-09-22T16:20:00Z</dcterms:created>
  <dcterms:modified xsi:type="dcterms:W3CDTF">2020-09-22T20:59:00Z</dcterms:modified>
</cp:coreProperties>
</file>