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2191F" w14:textId="31E47F07" w:rsidR="000E6201" w:rsidRDefault="00CF4588" w:rsidP="008E4779">
      <w:pPr>
        <w:spacing w:after="0"/>
        <w:jc w:val="both"/>
        <w:rPr>
          <w:rFonts w:asciiTheme="majorHAnsi" w:hAnsiTheme="majorHAnsi"/>
          <w:b/>
        </w:rPr>
      </w:pPr>
      <w:r w:rsidRPr="00B57E3C">
        <w:rPr>
          <w:rFonts w:asciiTheme="majorHAnsi" w:hAnsiTheme="majorHAnsi"/>
          <w:b/>
        </w:rPr>
        <w:t xml:space="preserve">COMENTARIOS Y </w:t>
      </w:r>
      <w:r w:rsidR="00B57E3C" w:rsidRPr="00B57E3C">
        <w:rPr>
          <w:rFonts w:asciiTheme="majorHAnsi" w:hAnsiTheme="majorHAnsi"/>
          <w:b/>
        </w:rPr>
        <w:t xml:space="preserve">RECOMENDACIONES QUE EMITE EL </w:t>
      </w:r>
      <w:r w:rsidRPr="00B57E3C">
        <w:rPr>
          <w:rFonts w:asciiTheme="majorHAnsi" w:hAnsiTheme="majorHAnsi"/>
          <w:b/>
        </w:rPr>
        <w:t>CONSEJO CONSULTIVO DEL INSTITUTO FEDERAL DE TELECOMUNICACIONES AL DOCUMENTO “VISIÓN REGULATORIA DE LAS TELECOMUNICACIONES Y LA RADIODIFUSIÓN 2019-2023”</w:t>
      </w:r>
      <w:r w:rsidR="002164A2" w:rsidRPr="00B57E3C">
        <w:rPr>
          <w:rFonts w:asciiTheme="majorHAnsi" w:hAnsiTheme="majorHAnsi"/>
          <w:b/>
        </w:rPr>
        <w:t>.</w:t>
      </w:r>
    </w:p>
    <w:p w14:paraId="06DA097E" w14:textId="3C26E527" w:rsidR="00EB462C" w:rsidRPr="00EB462C" w:rsidRDefault="00EB462C" w:rsidP="008E4779">
      <w:pPr>
        <w:spacing w:after="0"/>
        <w:jc w:val="both"/>
        <w:rPr>
          <w:rFonts w:asciiTheme="majorHAnsi" w:hAnsiTheme="majorHAnsi"/>
          <w:sz w:val="22"/>
          <w:szCs w:val="22"/>
        </w:rPr>
      </w:pPr>
    </w:p>
    <w:sdt>
      <w:sdtPr>
        <w:rPr>
          <w:rFonts w:asciiTheme="minorHAnsi" w:eastAsiaTheme="minorEastAsia" w:hAnsiTheme="minorHAnsi" w:cstheme="minorBidi"/>
          <w:color w:val="auto"/>
          <w:sz w:val="22"/>
          <w:szCs w:val="22"/>
          <w:lang w:val="es-ES" w:eastAsia="en-US"/>
        </w:rPr>
        <w:id w:val="1797489331"/>
        <w:docPartObj>
          <w:docPartGallery w:val="Table of Contents"/>
          <w:docPartUnique/>
        </w:docPartObj>
      </w:sdtPr>
      <w:sdtEndPr>
        <w:rPr>
          <w:b/>
          <w:bCs/>
          <w:sz w:val="24"/>
          <w:szCs w:val="24"/>
        </w:rPr>
      </w:sdtEndPr>
      <w:sdtContent>
        <w:p w14:paraId="650B8273" w14:textId="5E66193E" w:rsidR="00EB462C" w:rsidRPr="00EB462C" w:rsidRDefault="00EB462C">
          <w:pPr>
            <w:pStyle w:val="TtuloTDC"/>
            <w:rPr>
              <w:b/>
              <w:color w:val="auto"/>
              <w:sz w:val="22"/>
              <w:szCs w:val="22"/>
            </w:rPr>
          </w:pPr>
          <w:r w:rsidRPr="00EB462C">
            <w:rPr>
              <w:b/>
              <w:color w:val="auto"/>
              <w:sz w:val="22"/>
              <w:szCs w:val="22"/>
              <w:lang w:val="es-ES"/>
            </w:rPr>
            <w:t>Índice</w:t>
          </w:r>
        </w:p>
        <w:p w14:paraId="1469D317" w14:textId="1FEBE6B8" w:rsidR="00EB462C" w:rsidRPr="00EB462C" w:rsidRDefault="00EB462C">
          <w:pPr>
            <w:pStyle w:val="TDC1"/>
            <w:tabs>
              <w:tab w:val="left" w:pos="440"/>
              <w:tab w:val="right" w:leader="dot" w:pos="9345"/>
            </w:tabs>
            <w:rPr>
              <w:rFonts w:asciiTheme="majorHAnsi" w:hAnsiTheme="majorHAnsi"/>
              <w:noProof/>
              <w:sz w:val="22"/>
              <w:szCs w:val="22"/>
            </w:rPr>
          </w:pPr>
          <w:r w:rsidRPr="00EB462C">
            <w:rPr>
              <w:rFonts w:asciiTheme="majorHAnsi" w:hAnsiTheme="majorHAnsi"/>
              <w:sz w:val="22"/>
              <w:szCs w:val="22"/>
            </w:rPr>
            <w:fldChar w:fldCharType="begin"/>
          </w:r>
          <w:r w:rsidRPr="00EB462C">
            <w:rPr>
              <w:rFonts w:asciiTheme="majorHAnsi" w:hAnsiTheme="majorHAnsi"/>
              <w:sz w:val="22"/>
              <w:szCs w:val="22"/>
            </w:rPr>
            <w:instrText xml:space="preserve"> TOC \o "1-3" \h \z \u </w:instrText>
          </w:r>
          <w:r w:rsidRPr="00EB462C">
            <w:rPr>
              <w:rFonts w:asciiTheme="majorHAnsi" w:hAnsiTheme="majorHAnsi"/>
              <w:sz w:val="22"/>
              <w:szCs w:val="22"/>
            </w:rPr>
            <w:fldChar w:fldCharType="separate"/>
          </w:r>
          <w:hyperlink w:anchor="_Toc25749698" w:history="1">
            <w:r w:rsidRPr="00EB462C">
              <w:rPr>
                <w:rStyle w:val="Hipervnculo"/>
                <w:rFonts w:asciiTheme="majorHAnsi" w:hAnsiTheme="majorHAnsi" w:cs="Arial"/>
                <w:bCs/>
                <w:noProof/>
                <w:color w:val="auto"/>
                <w:sz w:val="22"/>
                <w:szCs w:val="22"/>
                <w:lang w:val="es-ES"/>
              </w:rPr>
              <w:t>I.</w:t>
            </w:r>
            <w:r w:rsidRPr="00EB462C">
              <w:rPr>
                <w:rFonts w:asciiTheme="majorHAnsi" w:hAnsiTheme="majorHAnsi"/>
                <w:noProof/>
                <w:sz w:val="22"/>
                <w:szCs w:val="22"/>
              </w:rPr>
              <w:tab/>
            </w:r>
            <w:r w:rsidRPr="00EB462C">
              <w:rPr>
                <w:rStyle w:val="Hipervnculo"/>
                <w:rFonts w:asciiTheme="majorHAnsi" w:hAnsiTheme="majorHAnsi" w:cs="Arial"/>
                <w:bCs/>
                <w:noProof/>
                <w:color w:val="auto"/>
                <w:sz w:val="22"/>
                <w:szCs w:val="22"/>
                <w:lang w:val="es-ES"/>
              </w:rPr>
              <w:t>Contexto</w:t>
            </w:r>
            <w:r w:rsidRPr="00EB462C">
              <w:rPr>
                <w:rFonts w:asciiTheme="majorHAnsi" w:hAnsiTheme="majorHAnsi"/>
                <w:noProof/>
                <w:webHidden/>
                <w:sz w:val="22"/>
                <w:szCs w:val="22"/>
              </w:rPr>
              <w:tab/>
            </w:r>
            <w:r w:rsidRPr="00EB462C">
              <w:rPr>
                <w:rFonts w:asciiTheme="majorHAnsi" w:hAnsiTheme="majorHAnsi"/>
                <w:noProof/>
                <w:webHidden/>
                <w:sz w:val="22"/>
                <w:szCs w:val="22"/>
              </w:rPr>
              <w:fldChar w:fldCharType="begin"/>
            </w:r>
            <w:r w:rsidRPr="00EB462C">
              <w:rPr>
                <w:rFonts w:asciiTheme="majorHAnsi" w:hAnsiTheme="majorHAnsi"/>
                <w:noProof/>
                <w:webHidden/>
                <w:sz w:val="22"/>
                <w:szCs w:val="22"/>
              </w:rPr>
              <w:instrText xml:space="preserve"> PAGEREF _Toc25749698 \h </w:instrText>
            </w:r>
            <w:r w:rsidRPr="00EB462C">
              <w:rPr>
                <w:rFonts w:asciiTheme="majorHAnsi" w:hAnsiTheme="majorHAnsi"/>
                <w:noProof/>
                <w:webHidden/>
                <w:sz w:val="22"/>
                <w:szCs w:val="22"/>
              </w:rPr>
            </w:r>
            <w:r w:rsidRPr="00EB462C">
              <w:rPr>
                <w:rFonts w:asciiTheme="majorHAnsi" w:hAnsiTheme="majorHAnsi"/>
                <w:noProof/>
                <w:webHidden/>
                <w:sz w:val="22"/>
                <w:szCs w:val="22"/>
              </w:rPr>
              <w:fldChar w:fldCharType="separate"/>
            </w:r>
            <w:r w:rsidR="00831794">
              <w:rPr>
                <w:rFonts w:asciiTheme="majorHAnsi" w:hAnsiTheme="majorHAnsi"/>
                <w:noProof/>
                <w:webHidden/>
                <w:sz w:val="22"/>
                <w:szCs w:val="22"/>
              </w:rPr>
              <w:t>1</w:t>
            </w:r>
            <w:r w:rsidRPr="00EB462C">
              <w:rPr>
                <w:rFonts w:asciiTheme="majorHAnsi" w:hAnsiTheme="majorHAnsi"/>
                <w:noProof/>
                <w:webHidden/>
                <w:sz w:val="22"/>
                <w:szCs w:val="22"/>
              </w:rPr>
              <w:fldChar w:fldCharType="end"/>
            </w:r>
          </w:hyperlink>
        </w:p>
        <w:p w14:paraId="3AD3CE1B" w14:textId="7A35214C" w:rsidR="00EB462C" w:rsidRPr="00EB462C" w:rsidRDefault="00176510">
          <w:pPr>
            <w:pStyle w:val="TDC1"/>
            <w:tabs>
              <w:tab w:val="left" w:pos="440"/>
              <w:tab w:val="right" w:leader="dot" w:pos="9345"/>
            </w:tabs>
            <w:rPr>
              <w:rFonts w:asciiTheme="majorHAnsi" w:hAnsiTheme="majorHAnsi"/>
              <w:noProof/>
              <w:sz w:val="22"/>
              <w:szCs w:val="22"/>
            </w:rPr>
          </w:pPr>
          <w:hyperlink w:anchor="_Toc25749699" w:history="1">
            <w:r w:rsidR="00EB462C" w:rsidRPr="00EB462C">
              <w:rPr>
                <w:rStyle w:val="Hipervnculo"/>
                <w:rFonts w:asciiTheme="majorHAnsi" w:hAnsiTheme="majorHAnsi" w:cs="Arial"/>
                <w:bCs/>
                <w:noProof/>
                <w:color w:val="auto"/>
                <w:sz w:val="22"/>
                <w:szCs w:val="22"/>
                <w:lang w:val="es-ES"/>
              </w:rPr>
              <w:t>II.</w:t>
            </w:r>
            <w:r w:rsidR="00EB462C" w:rsidRPr="00EB462C">
              <w:rPr>
                <w:rFonts w:asciiTheme="majorHAnsi" w:hAnsiTheme="majorHAnsi"/>
                <w:noProof/>
                <w:sz w:val="22"/>
                <w:szCs w:val="22"/>
              </w:rPr>
              <w:tab/>
            </w:r>
            <w:r w:rsidR="00EB462C" w:rsidRPr="00EB462C">
              <w:rPr>
                <w:rStyle w:val="Hipervnculo"/>
                <w:rFonts w:asciiTheme="majorHAnsi" w:hAnsiTheme="majorHAnsi" w:cs="Arial"/>
                <w:bCs/>
                <w:noProof/>
                <w:color w:val="auto"/>
                <w:sz w:val="22"/>
                <w:szCs w:val="22"/>
                <w:lang w:val="es-ES"/>
              </w:rPr>
              <w:t>Recomendación</w:t>
            </w:r>
            <w:r w:rsidR="00EB462C" w:rsidRPr="00EB462C">
              <w:rPr>
                <w:rFonts w:asciiTheme="majorHAnsi" w:hAnsiTheme="majorHAnsi"/>
                <w:noProof/>
                <w:webHidden/>
                <w:sz w:val="22"/>
                <w:szCs w:val="22"/>
              </w:rPr>
              <w:tab/>
            </w:r>
            <w:r w:rsidR="00EB462C" w:rsidRPr="00EB462C">
              <w:rPr>
                <w:rFonts w:asciiTheme="majorHAnsi" w:hAnsiTheme="majorHAnsi"/>
                <w:noProof/>
                <w:webHidden/>
                <w:sz w:val="22"/>
                <w:szCs w:val="22"/>
              </w:rPr>
              <w:fldChar w:fldCharType="begin"/>
            </w:r>
            <w:r w:rsidR="00EB462C" w:rsidRPr="00EB462C">
              <w:rPr>
                <w:rFonts w:asciiTheme="majorHAnsi" w:hAnsiTheme="majorHAnsi"/>
                <w:noProof/>
                <w:webHidden/>
                <w:sz w:val="22"/>
                <w:szCs w:val="22"/>
              </w:rPr>
              <w:instrText xml:space="preserve"> PAGEREF _Toc25749699 \h </w:instrText>
            </w:r>
            <w:r w:rsidR="00EB462C" w:rsidRPr="00EB462C">
              <w:rPr>
                <w:rFonts w:asciiTheme="majorHAnsi" w:hAnsiTheme="majorHAnsi"/>
                <w:noProof/>
                <w:webHidden/>
                <w:sz w:val="22"/>
                <w:szCs w:val="22"/>
              </w:rPr>
            </w:r>
            <w:r w:rsidR="00EB462C" w:rsidRPr="00EB462C">
              <w:rPr>
                <w:rFonts w:asciiTheme="majorHAnsi" w:hAnsiTheme="majorHAnsi"/>
                <w:noProof/>
                <w:webHidden/>
                <w:sz w:val="22"/>
                <w:szCs w:val="22"/>
              </w:rPr>
              <w:fldChar w:fldCharType="separate"/>
            </w:r>
            <w:r w:rsidR="00831794">
              <w:rPr>
                <w:rFonts w:asciiTheme="majorHAnsi" w:hAnsiTheme="majorHAnsi"/>
                <w:noProof/>
                <w:webHidden/>
                <w:sz w:val="22"/>
                <w:szCs w:val="22"/>
              </w:rPr>
              <w:t>2</w:t>
            </w:r>
            <w:r w:rsidR="00EB462C" w:rsidRPr="00EB462C">
              <w:rPr>
                <w:rFonts w:asciiTheme="majorHAnsi" w:hAnsiTheme="majorHAnsi"/>
                <w:noProof/>
                <w:webHidden/>
                <w:sz w:val="22"/>
                <w:szCs w:val="22"/>
              </w:rPr>
              <w:fldChar w:fldCharType="end"/>
            </w:r>
          </w:hyperlink>
        </w:p>
        <w:p w14:paraId="5A1AC393" w14:textId="4EAB1648" w:rsidR="00DC798C" w:rsidRPr="00EB462C" w:rsidRDefault="00EB462C" w:rsidP="00EB462C">
          <w:r w:rsidRPr="00EB462C">
            <w:rPr>
              <w:rFonts w:asciiTheme="majorHAnsi" w:hAnsiTheme="majorHAnsi"/>
              <w:bCs/>
              <w:sz w:val="22"/>
              <w:szCs w:val="22"/>
              <w:lang w:val="es-ES"/>
            </w:rPr>
            <w:fldChar w:fldCharType="end"/>
          </w:r>
        </w:p>
      </w:sdtContent>
    </w:sdt>
    <w:p w14:paraId="18F3BEBE" w14:textId="3DEAB170" w:rsidR="00CF388E" w:rsidRPr="00B57E3C" w:rsidRDefault="002D30F2" w:rsidP="00BA743E">
      <w:pPr>
        <w:pStyle w:val="Prrafodelista"/>
        <w:numPr>
          <w:ilvl w:val="0"/>
          <w:numId w:val="1"/>
        </w:numPr>
        <w:spacing w:after="0"/>
        <w:ind w:left="567" w:hanging="567"/>
        <w:outlineLvl w:val="0"/>
        <w:rPr>
          <w:rFonts w:asciiTheme="majorHAnsi" w:hAnsiTheme="majorHAnsi" w:cs="Arial"/>
          <w:b/>
          <w:bCs/>
          <w:u w:val="single"/>
          <w:lang w:val="es-ES"/>
        </w:rPr>
      </w:pPr>
      <w:bookmarkStart w:id="0" w:name="_Toc25749698"/>
      <w:r w:rsidRPr="00B57E3C">
        <w:rPr>
          <w:rFonts w:asciiTheme="majorHAnsi" w:hAnsiTheme="majorHAnsi" w:cs="Arial"/>
          <w:b/>
          <w:bCs/>
          <w:u w:val="single"/>
          <w:lang w:val="es-ES"/>
        </w:rPr>
        <w:t>Contexto</w:t>
      </w:r>
      <w:bookmarkEnd w:id="0"/>
    </w:p>
    <w:p w14:paraId="63099E5E" w14:textId="77777777" w:rsidR="00B41B4B" w:rsidRPr="00B57E3C" w:rsidRDefault="00B41B4B" w:rsidP="008E4779">
      <w:pPr>
        <w:pStyle w:val="Prrafodelista"/>
        <w:spacing w:after="0"/>
        <w:ind w:left="567"/>
        <w:rPr>
          <w:rFonts w:asciiTheme="majorHAnsi" w:hAnsiTheme="majorHAnsi" w:cs="Arial"/>
          <w:b/>
          <w:bCs/>
          <w:u w:val="single"/>
          <w:lang w:val="es-ES"/>
        </w:rPr>
      </w:pPr>
    </w:p>
    <w:p w14:paraId="6E54D600" w14:textId="43691015" w:rsidR="00D22CE0" w:rsidRDefault="00D22CE0" w:rsidP="00BA743E">
      <w:pPr>
        <w:pStyle w:val="Prrafodelista"/>
        <w:numPr>
          <w:ilvl w:val="0"/>
          <w:numId w:val="2"/>
        </w:numPr>
        <w:spacing w:after="0"/>
        <w:jc w:val="both"/>
        <w:rPr>
          <w:rFonts w:asciiTheme="majorHAnsi" w:hAnsiTheme="majorHAnsi"/>
          <w:lang w:val="es-ES"/>
        </w:rPr>
      </w:pPr>
      <w:r w:rsidRPr="00B57E3C">
        <w:rPr>
          <w:rFonts w:asciiTheme="majorHAnsi" w:hAnsiTheme="majorHAnsi"/>
          <w:lang w:val="es-ES"/>
        </w:rPr>
        <w:t xml:space="preserve">En septiembre de 2018 el Instituto Federal de Telecomunicaciones publicó un documento denominado “Visión regulatoria de las telecomunicaciones y la radiodifusión, 2019-2023”. Es un documento que reconoce que el cumplimiento del mandato constitucional de acceso a internet, bajo la condición de conectado siempre y en todo lugar, las tecnologías denominadas </w:t>
      </w:r>
      <w:r w:rsidR="003C0610" w:rsidRPr="00B57E3C">
        <w:rPr>
          <w:rFonts w:asciiTheme="majorHAnsi" w:hAnsiTheme="majorHAnsi"/>
          <w:lang w:val="es-ES"/>
        </w:rPr>
        <w:t>i</w:t>
      </w:r>
      <w:r w:rsidRPr="00B57E3C">
        <w:rPr>
          <w:rFonts w:asciiTheme="majorHAnsi" w:hAnsiTheme="majorHAnsi"/>
          <w:lang w:val="es-ES"/>
        </w:rPr>
        <w:t xml:space="preserve">nternet de las cosas, análisis de los grandes datos, </w:t>
      </w:r>
      <w:r w:rsidR="003C0610" w:rsidRPr="00B57E3C">
        <w:rPr>
          <w:rFonts w:asciiTheme="majorHAnsi" w:hAnsiTheme="majorHAnsi"/>
          <w:lang w:val="es-ES"/>
        </w:rPr>
        <w:t>i</w:t>
      </w:r>
      <w:r w:rsidRPr="00B57E3C">
        <w:rPr>
          <w:rFonts w:asciiTheme="majorHAnsi" w:hAnsiTheme="majorHAnsi"/>
          <w:lang w:val="es-ES"/>
        </w:rPr>
        <w:t xml:space="preserve">nteligencia </w:t>
      </w:r>
      <w:r w:rsidR="003C0610" w:rsidRPr="00B57E3C">
        <w:rPr>
          <w:rFonts w:asciiTheme="majorHAnsi" w:hAnsiTheme="majorHAnsi"/>
          <w:lang w:val="es-ES"/>
        </w:rPr>
        <w:t>a</w:t>
      </w:r>
      <w:r w:rsidRPr="00B57E3C">
        <w:rPr>
          <w:rFonts w:asciiTheme="majorHAnsi" w:hAnsiTheme="majorHAnsi"/>
          <w:lang w:val="es-ES"/>
        </w:rPr>
        <w:t>rtificial y la nube, entre otras tecnologías, están transformando el sector de la radiodifusión y las telecomunicaciones.</w:t>
      </w:r>
    </w:p>
    <w:p w14:paraId="309ADEE8" w14:textId="77777777" w:rsidR="00EB462C" w:rsidRPr="00B57E3C" w:rsidRDefault="00EB462C" w:rsidP="00EB462C">
      <w:pPr>
        <w:pStyle w:val="Prrafodelista"/>
        <w:spacing w:after="0"/>
        <w:ind w:left="1080"/>
        <w:jc w:val="both"/>
        <w:rPr>
          <w:rFonts w:asciiTheme="majorHAnsi" w:hAnsiTheme="majorHAnsi"/>
          <w:lang w:val="es-ES"/>
        </w:rPr>
      </w:pPr>
    </w:p>
    <w:p w14:paraId="29A5A0E4" w14:textId="406625A0" w:rsidR="00D22CE0" w:rsidRDefault="00D22CE0" w:rsidP="00BA743E">
      <w:pPr>
        <w:pStyle w:val="Prrafodelista"/>
        <w:numPr>
          <w:ilvl w:val="0"/>
          <w:numId w:val="2"/>
        </w:numPr>
        <w:spacing w:after="0"/>
        <w:jc w:val="both"/>
        <w:rPr>
          <w:rFonts w:asciiTheme="majorHAnsi" w:hAnsiTheme="majorHAnsi"/>
          <w:lang w:val="es-ES"/>
        </w:rPr>
      </w:pPr>
      <w:r w:rsidRPr="00B57E3C">
        <w:rPr>
          <w:rFonts w:asciiTheme="majorHAnsi" w:hAnsiTheme="majorHAnsi"/>
          <w:lang w:val="es-ES"/>
        </w:rPr>
        <w:t>Identifica que, si bien sigue siendo un objetivo la expansión de las redes y el ofrecimiento de servicios a precios asequibles, también se expresan preocupaciones como el impulso a la innovación, nuevos servicios y el fortalecimiento de los procesos de competencia. Culmina con una afirmación en materia de transformación digital y concluye el carácter prioritario de este proceso. Determina la responsabilidad de gobiernos y sociedad para adoptar aceleradamente esta transformación.</w:t>
      </w:r>
    </w:p>
    <w:p w14:paraId="29BE3F92" w14:textId="77777777" w:rsidR="00EB462C" w:rsidRPr="00B57E3C" w:rsidRDefault="00EB462C" w:rsidP="00EB462C">
      <w:pPr>
        <w:pStyle w:val="Prrafodelista"/>
        <w:spacing w:after="0"/>
        <w:ind w:left="1080"/>
        <w:jc w:val="both"/>
        <w:rPr>
          <w:rFonts w:asciiTheme="majorHAnsi" w:hAnsiTheme="majorHAnsi"/>
          <w:lang w:val="es-ES"/>
        </w:rPr>
      </w:pPr>
    </w:p>
    <w:p w14:paraId="76D99979" w14:textId="7AB8D8B4" w:rsidR="00D22CE0" w:rsidRDefault="00D22CE0" w:rsidP="00BA743E">
      <w:pPr>
        <w:pStyle w:val="Prrafodelista"/>
        <w:numPr>
          <w:ilvl w:val="0"/>
          <w:numId w:val="2"/>
        </w:numPr>
        <w:spacing w:after="0"/>
        <w:jc w:val="both"/>
        <w:rPr>
          <w:rFonts w:asciiTheme="majorHAnsi" w:hAnsiTheme="majorHAnsi"/>
          <w:lang w:val="es-ES"/>
        </w:rPr>
      </w:pPr>
      <w:r w:rsidRPr="00B57E3C">
        <w:rPr>
          <w:rFonts w:asciiTheme="majorHAnsi" w:hAnsiTheme="majorHAnsi"/>
          <w:lang w:val="es-ES"/>
        </w:rPr>
        <w:t>El documento “presenta los elementos para identificar las líneas de acción regulatoria que el Instituto Federal de Telecomunicaciones (IFT) prevé adoptar durante el periodo 2019-2023, a efectos de cumplir con sus funciones respecto a los temas regulatorios que tendrán un carácter estratégico o prioritario en el mediano y largo plazos, con base en un ejercicio prospectivo y considerando la experiencia internacional, así como la literatura académica”.</w:t>
      </w:r>
    </w:p>
    <w:p w14:paraId="205E65AE" w14:textId="77777777" w:rsidR="00EB462C" w:rsidRPr="00B57E3C" w:rsidRDefault="00EB462C" w:rsidP="00EB462C">
      <w:pPr>
        <w:pStyle w:val="Prrafodelista"/>
        <w:spacing w:after="0"/>
        <w:ind w:left="1080"/>
        <w:jc w:val="both"/>
        <w:rPr>
          <w:rFonts w:asciiTheme="majorHAnsi" w:hAnsiTheme="majorHAnsi"/>
          <w:lang w:val="es-ES"/>
        </w:rPr>
      </w:pPr>
    </w:p>
    <w:p w14:paraId="50E3E273" w14:textId="606F9A74" w:rsidR="00D22CE0" w:rsidRDefault="00D22CE0" w:rsidP="00BA743E">
      <w:pPr>
        <w:pStyle w:val="Prrafodelista"/>
        <w:numPr>
          <w:ilvl w:val="0"/>
          <w:numId w:val="2"/>
        </w:numPr>
        <w:spacing w:after="0"/>
        <w:jc w:val="both"/>
        <w:rPr>
          <w:rFonts w:asciiTheme="majorHAnsi" w:hAnsiTheme="majorHAnsi"/>
          <w:lang w:val="es-ES"/>
        </w:rPr>
      </w:pPr>
      <w:r w:rsidRPr="00B57E3C">
        <w:rPr>
          <w:rFonts w:asciiTheme="majorHAnsi" w:hAnsiTheme="majorHAnsi"/>
          <w:lang w:val="es-ES"/>
        </w:rPr>
        <w:t>Esta recomendación parte del concepto de que, como en telecomunicaciones no hay derechos fundamentales sin redes e infraestructura, se necesita una nueva generación de regulación en virtud de la nueva realidad tecnológica de las redes.</w:t>
      </w:r>
      <w:r w:rsidR="003C0610" w:rsidRPr="00B57E3C">
        <w:rPr>
          <w:rFonts w:asciiTheme="majorHAnsi" w:hAnsiTheme="majorHAnsi"/>
          <w:lang w:val="es-ES"/>
        </w:rPr>
        <w:t xml:space="preserve"> </w:t>
      </w:r>
      <w:r w:rsidRPr="00B57E3C">
        <w:rPr>
          <w:rFonts w:asciiTheme="majorHAnsi" w:hAnsiTheme="majorHAnsi"/>
          <w:lang w:val="es-ES"/>
        </w:rPr>
        <w:t xml:space="preserve">Estamos en un momento excepcional de la historia de las comunicaciones, ya que el nuevo ecosistema digital viene acompañado de nueva infraestructura. La vieja regulación en materia de competencia, espectro e insumos de telecomunicaciones que retrase o conculque la conectividad </w:t>
      </w:r>
      <w:r w:rsidR="003C0610" w:rsidRPr="00B57E3C">
        <w:rPr>
          <w:rFonts w:asciiTheme="majorHAnsi" w:hAnsiTheme="majorHAnsi"/>
          <w:lang w:val="es-ES"/>
        </w:rPr>
        <w:t xml:space="preserve">no </w:t>
      </w:r>
      <w:r w:rsidRPr="00B57E3C">
        <w:rPr>
          <w:rFonts w:asciiTheme="majorHAnsi" w:hAnsiTheme="majorHAnsi"/>
          <w:lang w:val="es-ES"/>
        </w:rPr>
        <w:t xml:space="preserve">es </w:t>
      </w:r>
      <w:r w:rsidR="003C0610" w:rsidRPr="00B57E3C">
        <w:rPr>
          <w:rFonts w:asciiTheme="majorHAnsi" w:hAnsiTheme="majorHAnsi"/>
          <w:lang w:val="es-ES"/>
        </w:rPr>
        <w:t>buena</w:t>
      </w:r>
      <w:r w:rsidRPr="00B57E3C">
        <w:rPr>
          <w:rFonts w:asciiTheme="majorHAnsi" w:hAnsiTheme="majorHAnsi"/>
          <w:lang w:val="es-ES"/>
        </w:rPr>
        <w:t xml:space="preserve"> regulación</w:t>
      </w:r>
      <w:r w:rsidR="003C0610" w:rsidRPr="00B57E3C">
        <w:rPr>
          <w:rFonts w:asciiTheme="majorHAnsi" w:hAnsiTheme="majorHAnsi"/>
          <w:lang w:val="es-ES"/>
        </w:rPr>
        <w:t xml:space="preserve"> y puede ser</w:t>
      </w:r>
      <w:r w:rsidRPr="00B57E3C">
        <w:rPr>
          <w:rFonts w:asciiTheme="majorHAnsi" w:hAnsiTheme="majorHAnsi"/>
          <w:lang w:val="es-ES"/>
        </w:rPr>
        <w:t xml:space="preserve"> incluso </w:t>
      </w:r>
      <w:r w:rsidRPr="00B57E3C">
        <w:rPr>
          <w:rFonts w:asciiTheme="majorHAnsi" w:hAnsiTheme="majorHAnsi"/>
          <w:lang w:val="es-ES"/>
        </w:rPr>
        <w:lastRenderedPageBreak/>
        <w:t xml:space="preserve">violatoria de derechos fundamentales. El ejercicio de derechos fundamentales viene acompañado por la certeza que ofrece la nueva infraestructura digital. </w:t>
      </w:r>
    </w:p>
    <w:p w14:paraId="3485309A" w14:textId="77777777" w:rsidR="00EB462C" w:rsidRPr="00B57E3C" w:rsidRDefault="00EB462C" w:rsidP="00EB462C">
      <w:pPr>
        <w:pStyle w:val="Prrafodelista"/>
        <w:spacing w:after="0"/>
        <w:ind w:left="1080"/>
        <w:jc w:val="both"/>
        <w:rPr>
          <w:rFonts w:asciiTheme="majorHAnsi" w:hAnsiTheme="majorHAnsi"/>
          <w:lang w:val="es-ES"/>
        </w:rPr>
      </w:pPr>
    </w:p>
    <w:p w14:paraId="43829AEE" w14:textId="068C0DD8" w:rsidR="003C0610" w:rsidRDefault="00BC4CD7" w:rsidP="00BA743E">
      <w:pPr>
        <w:pStyle w:val="Prrafodelista"/>
        <w:numPr>
          <w:ilvl w:val="0"/>
          <w:numId w:val="2"/>
        </w:numPr>
        <w:spacing w:after="0"/>
        <w:jc w:val="both"/>
        <w:rPr>
          <w:rFonts w:asciiTheme="majorHAnsi" w:hAnsiTheme="majorHAnsi"/>
          <w:lang w:val="es-ES"/>
        </w:rPr>
      </w:pPr>
      <w:r w:rsidRPr="00B57E3C">
        <w:rPr>
          <w:rFonts w:asciiTheme="majorHAnsi" w:hAnsiTheme="majorHAnsi"/>
          <w:lang w:val="es-ES"/>
        </w:rPr>
        <w:t xml:space="preserve">El Estado, el gobierno y el regulador necesitan mayores inversiones del sector privado no sólo para generar cobertura en las áreas más pobres de este país, sino también </w:t>
      </w:r>
      <w:r w:rsidR="003C0610" w:rsidRPr="00B57E3C">
        <w:rPr>
          <w:rFonts w:asciiTheme="majorHAnsi" w:hAnsiTheme="majorHAnsi"/>
          <w:lang w:val="es-ES"/>
        </w:rPr>
        <w:t xml:space="preserve">promover la </w:t>
      </w:r>
      <w:r w:rsidRPr="00B57E3C">
        <w:rPr>
          <w:rFonts w:asciiTheme="majorHAnsi" w:hAnsiTheme="majorHAnsi"/>
          <w:lang w:val="es-ES"/>
        </w:rPr>
        <w:t>innovación y</w:t>
      </w:r>
      <w:r w:rsidR="003C0610" w:rsidRPr="00B57E3C">
        <w:rPr>
          <w:rFonts w:asciiTheme="majorHAnsi" w:hAnsiTheme="majorHAnsi"/>
          <w:lang w:val="es-ES"/>
        </w:rPr>
        <w:t xml:space="preserve"> la</w:t>
      </w:r>
      <w:r w:rsidRPr="00B57E3C">
        <w:rPr>
          <w:rFonts w:asciiTheme="majorHAnsi" w:hAnsiTheme="majorHAnsi"/>
          <w:lang w:val="es-ES"/>
        </w:rPr>
        <w:t xml:space="preserve"> evolución de servicios para mejorar la calidad de vida de los ciudadanos. Sobre todo, necesitan habilitar el ejercicio de los derechos fundamentales.</w:t>
      </w:r>
    </w:p>
    <w:p w14:paraId="45FBCD91" w14:textId="77777777" w:rsidR="00EB462C" w:rsidRPr="00B57E3C" w:rsidRDefault="00EB462C" w:rsidP="00EB462C">
      <w:pPr>
        <w:pStyle w:val="Prrafodelista"/>
        <w:spacing w:after="0"/>
        <w:ind w:left="1080"/>
        <w:jc w:val="both"/>
        <w:rPr>
          <w:rFonts w:asciiTheme="majorHAnsi" w:hAnsiTheme="majorHAnsi"/>
          <w:lang w:val="es-ES"/>
        </w:rPr>
      </w:pPr>
    </w:p>
    <w:p w14:paraId="2CEA2FB6" w14:textId="2688C4E0" w:rsidR="00B57E3C" w:rsidRDefault="003C0610" w:rsidP="00BA743E">
      <w:pPr>
        <w:pStyle w:val="Prrafodelista"/>
        <w:numPr>
          <w:ilvl w:val="0"/>
          <w:numId w:val="1"/>
        </w:numPr>
        <w:spacing w:after="0"/>
        <w:ind w:left="567" w:hanging="567"/>
        <w:outlineLvl w:val="0"/>
        <w:rPr>
          <w:rFonts w:asciiTheme="majorHAnsi" w:hAnsiTheme="majorHAnsi" w:cs="Arial"/>
          <w:b/>
          <w:bCs/>
          <w:u w:val="single"/>
          <w:lang w:val="es-ES"/>
        </w:rPr>
      </w:pPr>
      <w:bookmarkStart w:id="1" w:name="_Toc25749699"/>
      <w:r w:rsidRPr="00B57E3C">
        <w:rPr>
          <w:rFonts w:asciiTheme="majorHAnsi" w:hAnsiTheme="majorHAnsi" w:cs="Arial"/>
          <w:b/>
          <w:bCs/>
          <w:u w:val="single"/>
          <w:lang w:val="es-ES"/>
        </w:rPr>
        <w:t>Recomendación</w:t>
      </w:r>
      <w:bookmarkEnd w:id="1"/>
    </w:p>
    <w:p w14:paraId="310554EA" w14:textId="77777777" w:rsidR="00EB462C" w:rsidRDefault="00EB462C" w:rsidP="00EB462C">
      <w:pPr>
        <w:spacing w:after="0"/>
        <w:jc w:val="both"/>
        <w:rPr>
          <w:rFonts w:asciiTheme="majorHAnsi" w:hAnsiTheme="majorHAnsi"/>
          <w:lang w:val="es-ES"/>
        </w:rPr>
      </w:pPr>
    </w:p>
    <w:p w14:paraId="1CA47BA0" w14:textId="6D277912" w:rsidR="00EB462C" w:rsidRDefault="00BC4CD7" w:rsidP="00BA743E">
      <w:pPr>
        <w:pStyle w:val="Prrafodelista"/>
        <w:numPr>
          <w:ilvl w:val="0"/>
          <w:numId w:val="2"/>
        </w:numPr>
        <w:spacing w:after="0"/>
        <w:jc w:val="both"/>
        <w:rPr>
          <w:rFonts w:asciiTheme="majorHAnsi" w:hAnsiTheme="majorHAnsi"/>
          <w:lang w:val="es-ES"/>
        </w:rPr>
      </w:pPr>
      <w:r w:rsidRPr="00EB462C">
        <w:rPr>
          <w:rFonts w:asciiTheme="majorHAnsi" w:hAnsiTheme="majorHAnsi"/>
          <w:lang w:val="es-ES"/>
        </w:rPr>
        <w:t>La Reforma constitucional del 11 de junio de 2013 tiene dos ejes rectores como propósitos fundamentales que el Poder Reformador pretendió y plasmó en la exposición de motivos</w:t>
      </w:r>
      <w:r w:rsidRPr="00A83432">
        <w:rPr>
          <w:rFonts w:asciiTheme="majorHAnsi" w:hAnsiTheme="majorHAnsi"/>
          <w:sz w:val="14"/>
          <w:szCs w:val="14"/>
          <w:lang w:val="es-ES"/>
        </w:rPr>
        <w:footnoteReference w:id="1"/>
      </w:r>
      <w:r w:rsidRPr="00A83432">
        <w:rPr>
          <w:rFonts w:asciiTheme="majorHAnsi" w:hAnsiTheme="majorHAnsi"/>
          <w:sz w:val="14"/>
          <w:szCs w:val="14"/>
          <w:lang w:val="es-ES"/>
        </w:rPr>
        <w:t xml:space="preserve"> </w:t>
      </w:r>
      <w:r w:rsidRPr="00EB462C">
        <w:rPr>
          <w:rFonts w:asciiTheme="majorHAnsi" w:hAnsiTheme="majorHAnsi"/>
          <w:lang w:val="es-ES"/>
        </w:rPr>
        <w:t xml:space="preserve">de la Reforma: primero, lograr el acceso y calidad a las tecnologías de la información, la comunicación y a los servicios de radiodifusión y telecomunicaciones, incluido el de banda ancha e internet; segundo, establecer condiciones de competencia y libre concurrencia en los servicios de telecomunicaciones y radiodifusión, a fin de que un mayor número de usuarios accediera a tales servicios en mejores condiciones de calidad y precio. </w:t>
      </w:r>
    </w:p>
    <w:p w14:paraId="1E5CA07A" w14:textId="77777777" w:rsidR="00EB462C" w:rsidRDefault="00EB462C" w:rsidP="00EB462C">
      <w:pPr>
        <w:pStyle w:val="Prrafodelista"/>
        <w:spacing w:after="0"/>
        <w:ind w:left="1080"/>
        <w:jc w:val="both"/>
        <w:rPr>
          <w:rFonts w:asciiTheme="majorHAnsi" w:hAnsiTheme="majorHAnsi"/>
          <w:lang w:val="es-ES"/>
        </w:rPr>
      </w:pPr>
    </w:p>
    <w:p w14:paraId="24A59FE3" w14:textId="71105DED" w:rsidR="0058009A" w:rsidRDefault="0058009A" w:rsidP="00BA743E">
      <w:pPr>
        <w:pStyle w:val="Prrafodelista"/>
        <w:numPr>
          <w:ilvl w:val="0"/>
          <w:numId w:val="2"/>
        </w:numPr>
        <w:spacing w:after="0"/>
        <w:jc w:val="both"/>
        <w:rPr>
          <w:rFonts w:asciiTheme="majorHAnsi" w:hAnsiTheme="majorHAnsi"/>
          <w:lang w:val="es-ES"/>
        </w:rPr>
      </w:pPr>
      <w:r w:rsidRPr="00EB462C">
        <w:rPr>
          <w:rFonts w:asciiTheme="majorHAnsi" w:hAnsiTheme="majorHAnsi"/>
          <w:lang w:val="es-ES"/>
        </w:rPr>
        <w:t>Tales objetivos o ejes rectores fueron establecidos por el Constituyente a partir de considerar que las tecnologías de la información y los servicios de radiodifusión y telecomunicaciones constituyen un instrumento básico de las democracias, en tanto que favorecen las libertades de expresión</w:t>
      </w:r>
      <w:r w:rsidR="003C0610" w:rsidRPr="00EB462C">
        <w:rPr>
          <w:rFonts w:asciiTheme="majorHAnsi" w:hAnsiTheme="majorHAnsi"/>
          <w:lang w:val="es-ES"/>
        </w:rPr>
        <w:t>, la</w:t>
      </w:r>
      <w:r w:rsidRPr="00EB462C">
        <w:rPr>
          <w:rFonts w:asciiTheme="majorHAnsi" w:hAnsiTheme="majorHAnsi"/>
          <w:lang w:val="es-ES"/>
        </w:rPr>
        <w:t xml:space="preserve"> difusión</w:t>
      </w:r>
      <w:r w:rsidR="003C0610" w:rsidRPr="00EB462C">
        <w:rPr>
          <w:rFonts w:asciiTheme="majorHAnsi" w:hAnsiTheme="majorHAnsi"/>
          <w:lang w:val="es-ES"/>
        </w:rPr>
        <w:t xml:space="preserve"> y</w:t>
      </w:r>
      <w:r w:rsidRPr="00EB462C">
        <w:rPr>
          <w:rFonts w:asciiTheme="majorHAnsi" w:hAnsiTheme="majorHAnsi"/>
          <w:lang w:val="es-ES"/>
        </w:rPr>
        <w:t xml:space="preserve"> el acceso a la información y potencializan el crecimiento económico, la competitividad, la educación, la salud, la seguridad, el conocimiento, la difusión de ideas y la cultura.</w:t>
      </w:r>
    </w:p>
    <w:p w14:paraId="1BF05120" w14:textId="77777777" w:rsidR="00EB462C" w:rsidRDefault="00EB462C" w:rsidP="00EB462C">
      <w:pPr>
        <w:pStyle w:val="Prrafodelista"/>
        <w:spacing w:after="0"/>
        <w:ind w:left="1080"/>
        <w:jc w:val="both"/>
        <w:rPr>
          <w:rFonts w:asciiTheme="majorHAnsi" w:hAnsiTheme="majorHAnsi"/>
          <w:lang w:val="es-ES"/>
        </w:rPr>
      </w:pPr>
    </w:p>
    <w:p w14:paraId="7FE65FE8" w14:textId="2A2EA11D" w:rsidR="00EB462C" w:rsidRPr="0044589D" w:rsidRDefault="00BC4CD7" w:rsidP="0044589D">
      <w:pPr>
        <w:pStyle w:val="Prrafodelista"/>
        <w:numPr>
          <w:ilvl w:val="0"/>
          <w:numId w:val="2"/>
        </w:numPr>
        <w:spacing w:after="0"/>
        <w:jc w:val="both"/>
        <w:rPr>
          <w:rFonts w:asciiTheme="majorHAnsi" w:hAnsiTheme="majorHAnsi"/>
          <w:lang w:val="es-ES"/>
        </w:rPr>
      </w:pPr>
      <w:r w:rsidRPr="00EB462C">
        <w:rPr>
          <w:rFonts w:asciiTheme="majorHAnsi" w:hAnsiTheme="majorHAnsi"/>
          <w:lang w:val="es-ES"/>
        </w:rPr>
        <w:t xml:space="preserve">Lo anterior exige, en palabras del poder </w:t>
      </w:r>
      <w:r w:rsidR="00A83432">
        <w:rPr>
          <w:rFonts w:asciiTheme="majorHAnsi" w:hAnsiTheme="majorHAnsi"/>
          <w:lang w:val="es-ES"/>
        </w:rPr>
        <w:t>C</w:t>
      </w:r>
      <w:r w:rsidRPr="00EB462C">
        <w:rPr>
          <w:rFonts w:asciiTheme="majorHAnsi" w:hAnsiTheme="majorHAnsi"/>
          <w:lang w:val="es-ES"/>
        </w:rPr>
        <w:t>onstituyente, “reenfocar la capacidad institucional del Estado mexicano para impulsar, de manera integral, un sector de las telecomunicaciones y la radiodifusión regidos por criterios de competencia efectiva, regulación eficiente, efectividad de los actos que expresan la rectoría del Estado, e inclusión social digital”.</w:t>
      </w:r>
    </w:p>
    <w:p w14:paraId="74FF617F" w14:textId="77777777" w:rsidR="00EB462C" w:rsidRDefault="00EB462C" w:rsidP="00EB462C">
      <w:pPr>
        <w:pStyle w:val="Prrafodelista"/>
        <w:spacing w:after="0"/>
        <w:ind w:left="1080"/>
        <w:jc w:val="both"/>
        <w:rPr>
          <w:rFonts w:asciiTheme="majorHAnsi" w:hAnsiTheme="majorHAnsi"/>
          <w:lang w:val="es-ES"/>
        </w:rPr>
      </w:pPr>
    </w:p>
    <w:p w14:paraId="01ED4BEB" w14:textId="40B2C29E" w:rsidR="003C0610" w:rsidRDefault="00BC4CD7" w:rsidP="00BA743E">
      <w:pPr>
        <w:pStyle w:val="Prrafodelista"/>
        <w:numPr>
          <w:ilvl w:val="0"/>
          <w:numId w:val="2"/>
        </w:numPr>
        <w:spacing w:after="0"/>
        <w:jc w:val="both"/>
        <w:rPr>
          <w:rFonts w:asciiTheme="majorHAnsi" w:hAnsiTheme="majorHAnsi"/>
          <w:lang w:val="es-ES"/>
        </w:rPr>
      </w:pPr>
      <w:r w:rsidRPr="00EB462C">
        <w:rPr>
          <w:rFonts w:asciiTheme="majorHAnsi" w:hAnsiTheme="majorHAnsi"/>
          <w:lang w:val="es-ES"/>
        </w:rPr>
        <w:t>Por todo lo anterior, y en vista de</w:t>
      </w:r>
      <w:r w:rsidR="003C0610" w:rsidRPr="00EB462C">
        <w:rPr>
          <w:rFonts w:asciiTheme="majorHAnsi" w:hAnsiTheme="majorHAnsi"/>
          <w:lang w:val="es-ES"/>
        </w:rPr>
        <w:t>:</w:t>
      </w:r>
    </w:p>
    <w:p w14:paraId="24E0EFC8" w14:textId="77777777" w:rsidR="00EB462C" w:rsidRPr="00EB462C" w:rsidRDefault="00EB462C" w:rsidP="00EB462C">
      <w:pPr>
        <w:pStyle w:val="Prrafodelista"/>
        <w:spacing w:after="0"/>
        <w:ind w:left="1080"/>
        <w:jc w:val="both"/>
        <w:rPr>
          <w:rFonts w:asciiTheme="majorHAnsi" w:hAnsiTheme="majorHAnsi"/>
          <w:lang w:val="es-ES"/>
        </w:rPr>
      </w:pPr>
    </w:p>
    <w:p w14:paraId="3A95B16D" w14:textId="1BC4753F" w:rsidR="00EB462C" w:rsidRDefault="003C0610" w:rsidP="00BA743E">
      <w:pPr>
        <w:pStyle w:val="Prrafodelista"/>
        <w:numPr>
          <w:ilvl w:val="0"/>
          <w:numId w:val="3"/>
        </w:numPr>
        <w:jc w:val="both"/>
        <w:rPr>
          <w:rFonts w:asciiTheme="majorHAnsi" w:hAnsiTheme="majorHAnsi"/>
          <w:lang w:val="es-ES"/>
        </w:rPr>
      </w:pPr>
      <w:r w:rsidRPr="00EB462C">
        <w:rPr>
          <w:rFonts w:asciiTheme="majorHAnsi" w:hAnsiTheme="majorHAnsi"/>
          <w:lang w:val="es-ES"/>
        </w:rPr>
        <w:lastRenderedPageBreak/>
        <w:t>Q</w:t>
      </w:r>
      <w:r w:rsidR="00BC4CD7" w:rsidRPr="00EB462C">
        <w:rPr>
          <w:rFonts w:asciiTheme="majorHAnsi" w:hAnsiTheme="majorHAnsi"/>
          <w:lang w:val="es-ES"/>
        </w:rPr>
        <w:t xml:space="preserve">ue no existe en la experiencia internacional un concepto regulatorio económico con tanta contradicción como los contenidos en la </w:t>
      </w:r>
      <w:r w:rsidRPr="00EB462C">
        <w:rPr>
          <w:rFonts w:asciiTheme="majorHAnsi" w:hAnsiTheme="majorHAnsi"/>
          <w:lang w:val="es-ES"/>
        </w:rPr>
        <w:t>R</w:t>
      </w:r>
      <w:r w:rsidR="00BC4CD7" w:rsidRPr="00EB462C">
        <w:rPr>
          <w:rFonts w:asciiTheme="majorHAnsi" w:hAnsiTheme="majorHAnsi"/>
          <w:lang w:val="es-ES"/>
        </w:rPr>
        <w:t xml:space="preserve">eforma </w:t>
      </w:r>
      <w:r w:rsidRPr="00EB462C">
        <w:rPr>
          <w:rFonts w:asciiTheme="majorHAnsi" w:hAnsiTheme="majorHAnsi"/>
          <w:lang w:val="es-ES"/>
        </w:rPr>
        <w:t xml:space="preserve">constitucional </w:t>
      </w:r>
      <w:r w:rsidR="00BC4CD7" w:rsidRPr="00EB462C">
        <w:rPr>
          <w:rFonts w:asciiTheme="majorHAnsi" w:hAnsiTheme="majorHAnsi"/>
          <w:lang w:val="es-ES"/>
        </w:rPr>
        <w:t>de telecomunicaciones</w:t>
      </w:r>
      <w:r w:rsidR="0058009A" w:rsidRPr="00EB462C">
        <w:rPr>
          <w:rFonts w:asciiTheme="majorHAnsi" w:hAnsiTheme="majorHAnsi"/>
          <w:lang w:val="es-ES"/>
        </w:rPr>
        <w:t>;</w:t>
      </w:r>
    </w:p>
    <w:p w14:paraId="5AD2B2C6" w14:textId="77777777" w:rsidR="00EB462C" w:rsidRDefault="00EB462C" w:rsidP="00EB462C">
      <w:pPr>
        <w:pStyle w:val="Prrafodelista"/>
        <w:ind w:left="1440"/>
        <w:jc w:val="both"/>
        <w:rPr>
          <w:rFonts w:asciiTheme="majorHAnsi" w:hAnsiTheme="majorHAnsi"/>
          <w:lang w:val="es-ES"/>
        </w:rPr>
      </w:pPr>
    </w:p>
    <w:p w14:paraId="1E43731A" w14:textId="60213B4E" w:rsidR="00BC4CD7" w:rsidRDefault="00BC4CD7" w:rsidP="00BA743E">
      <w:pPr>
        <w:pStyle w:val="Prrafodelista"/>
        <w:numPr>
          <w:ilvl w:val="0"/>
          <w:numId w:val="3"/>
        </w:numPr>
        <w:jc w:val="both"/>
        <w:rPr>
          <w:rFonts w:asciiTheme="majorHAnsi" w:hAnsiTheme="majorHAnsi"/>
          <w:lang w:val="es-ES"/>
        </w:rPr>
      </w:pPr>
      <w:r w:rsidRPr="00EB462C">
        <w:rPr>
          <w:rFonts w:asciiTheme="majorHAnsi" w:hAnsiTheme="majorHAnsi"/>
          <w:lang w:val="es-ES"/>
        </w:rPr>
        <w:t>Que no están armonizados los conceptos de cobertura, convergencia y competencia</w:t>
      </w:r>
      <w:r w:rsidR="0058009A" w:rsidRPr="00EB462C">
        <w:rPr>
          <w:rFonts w:asciiTheme="majorHAnsi" w:hAnsiTheme="majorHAnsi"/>
          <w:lang w:val="es-ES"/>
        </w:rPr>
        <w:t>;</w:t>
      </w:r>
    </w:p>
    <w:p w14:paraId="75ED1652" w14:textId="77777777" w:rsidR="00EB462C" w:rsidRPr="00EB462C" w:rsidRDefault="00EB462C" w:rsidP="00EB462C">
      <w:pPr>
        <w:pStyle w:val="Prrafodelista"/>
        <w:ind w:left="1440"/>
        <w:jc w:val="both"/>
        <w:rPr>
          <w:rFonts w:asciiTheme="majorHAnsi" w:hAnsiTheme="majorHAnsi"/>
          <w:lang w:val="es-ES"/>
        </w:rPr>
      </w:pPr>
    </w:p>
    <w:p w14:paraId="1CA368D7" w14:textId="237E32B7" w:rsidR="00BC4CD7" w:rsidRDefault="00BC4CD7" w:rsidP="00BA743E">
      <w:pPr>
        <w:pStyle w:val="Prrafodelista"/>
        <w:numPr>
          <w:ilvl w:val="0"/>
          <w:numId w:val="3"/>
        </w:numPr>
        <w:jc w:val="both"/>
        <w:rPr>
          <w:rFonts w:asciiTheme="majorHAnsi" w:hAnsiTheme="majorHAnsi"/>
          <w:lang w:val="es-ES"/>
        </w:rPr>
      </w:pPr>
      <w:r w:rsidRPr="00EB462C">
        <w:rPr>
          <w:rFonts w:asciiTheme="majorHAnsi" w:hAnsiTheme="majorHAnsi"/>
          <w:lang w:val="es-ES"/>
        </w:rPr>
        <w:t>Que la regulación, al estar determinada en la Constitución, es susceptible de ser obsoleta rápidamente</w:t>
      </w:r>
      <w:r w:rsidR="0058009A" w:rsidRPr="00EB462C">
        <w:rPr>
          <w:rFonts w:asciiTheme="majorHAnsi" w:hAnsiTheme="majorHAnsi"/>
          <w:lang w:val="es-ES"/>
        </w:rPr>
        <w:t>;</w:t>
      </w:r>
      <w:r w:rsidRPr="00EB462C">
        <w:rPr>
          <w:rFonts w:asciiTheme="majorHAnsi" w:hAnsiTheme="majorHAnsi"/>
          <w:lang w:val="es-ES"/>
        </w:rPr>
        <w:t xml:space="preserve"> </w:t>
      </w:r>
    </w:p>
    <w:p w14:paraId="3B6C51C0" w14:textId="77777777" w:rsidR="00EB462C" w:rsidRPr="00EB462C" w:rsidRDefault="00EB462C" w:rsidP="00EB462C">
      <w:pPr>
        <w:pStyle w:val="Prrafodelista"/>
        <w:ind w:left="1440"/>
        <w:jc w:val="both"/>
        <w:rPr>
          <w:rFonts w:asciiTheme="majorHAnsi" w:hAnsiTheme="majorHAnsi"/>
          <w:lang w:val="es-ES"/>
        </w:rPr>
      </w:pPr>
    </w:p>
    <w:p w14:paraId="43F9C304" w14:textId="4589003A" w:rsidR="00BC4CD7" w:rsidRDefault="00BC4CD7" w:rsidP="00BA743E">
      <w:pPr>
        <w:pStyle w:val="Prrafodelista"/>
        <w:numPr>
          <w:ilvl w:val="0"/>
          <w:numId w:val="3"/>
        </w:numPr>
        <w:jc w:val="both"/>
        <w:rPr>
          <w:rFonts w:asciiTheme="majorHAnsi" w:hAnsiTheme="majorHAnsi"/>
          <w:lang w:val="es-ES"/>
        </w:rPr>
      </w:pPr>
      <w:r w:rsidRPr="00EB462C">
        <w:rPr>
          <w:rFonts w:asciiTheme="majorHAnsi" w:hAnsiTheme="majorHAnsi"/>
          <w:lang w:val="es-ES"/>
        </w:rPr>
        <w:t xml:space="preserve">Que el regulador está sujeto a un marco legislativo confuso, oscuro y poco asertivo a la hora de emitir regulación que garantice el carácter programático del derecho a </w:t>
      </w:r>
      <w:r w:rsidR="0058009A" w:rsidRPr="00EB462C">
        <w:rPr>
          <w:rFonts w:asciiTheme="majorHAnsi" w:hAnsiTheme="majorHAnsi"/>
          <w:lang w:val="es-ES"/>
        </w:rPr>
        <w:t>i</w:t>
      </w:r>
      <w:r w:rsidRPr="00EB462C">
        <w:rPr>
          <w:rFonts w:asciiTheme="majorHAnsi" w:hAnsiTheme="majorHAnsi"/>
          <w:lang w:val="es-ES"/>
        </w:rPr>
        <w:t>nternet, los servicios de telecomunicaciones y la banda ancha</w:t>
      </w:r>
      <w:r w:rsidR="0058009A" w:rsidRPr="00EB462C">
        <w:rPr>
          <w:rFonts w:asciiTheme="majorHAnsi" w:hAnsiTheme="majorHAnsi"/>
          <w:lang w:val="es-ES"/>
        </w:rPr>
        <w:t>;</w:t>
      </w:r>
    </w:p>
    <w:p w14:paraId="33DA83DE" w14:textId="77777777" w:rsidR="00EB462C" w:rsidRPr="00EB462C" w:rsidRDefault="00EB462C" w:rsidP="00EB462C">
      <w:pPr>
        <w:pStyle w:val="Prrafodelista"/>
        <w:ind w:left="1440"/>
        <w:jc w:val="both"/>
        <w:rPr>
          <w:rFonts w:asciiTheme="majorHAnsi" w:hAnsiTheme="majorHAnsi"/>
          <w:lang w:val="es-ES"/>
        </w:rPr>
      </w:pPr>
    </w:p>
    <w:p w14:paraId="5FBB5228" w14:textId="6101AA79" w:rsidR="00BC4CD7" w:rsidRDefault="00BC4CD7" w:rsidP="00BA743E">
      <w:pPr>
        <w:pStyle w:val="Prrafodelista"/>
        <w:numPr>
          <w:ilvl w:val="0"/>
          <w:numId w:val="3"/>
        </w:numPr>
        <w:jc w:val="both"/>
        <w:rPr>
          <w:rFonts w:asciiTheme="majorHAnsi" w:hAnsiTheme="majorHAnsi"/>
          <w:lang w:val="es-ES"/>
        </w:rPr>
      </w:pPr>
      <w:r w:rsidRPr="00EB462C">
        <w:rPr>
          <w:rFonts w:asciiTheme="majorHAnsi" w:hAnsiTheme="majorHAnsi"/>
          <w:lang w:val="es-ES"/>
        </w:rPr>
        <w:t xml:space="preserve">Que </w:t>
      </w:r>
      <w:r w:rsidR="003C0610" w:rsidRPr="00EB462C">
        <w:rPr>
          <w:rFonts w:asciiTheme="majorHAnsi" w:hAnsiTheme="majorHAnsi"/>
          <w:lang w:val="es-ES"/>
        </w:rPr>
        <w:t>se avecina</w:t>
      </w:r>
      <w:r w:rsidRPr="00EB462C">
        <w:rPr>
          <w:rFonts w:asciiTheme="majorHAnsi" w:hAnsiTheme="majorHAnsi"/>
          <w:lang w:val="es-ES"/>
        </w:rPr>
        <w:t xml:space="preserve"> una nueva generación de tecnología 5G que necesita inversión </w:t>
      </w:r>
      <w:r w:rsidR="003C0610" w:rsidRPr="00EB462C">
        <w:rPr>
          <w:rFonts w:asciiTheme="majorHAnsi" w:hAnsiTheme="majorHAnsi"/>
          <w:lang w:val="es-ES"/>
        </w:rPr>
        <w:t xml:space="preserve">masiva </w:t>
      </w:r>
      <w:r w:rsidRPr="00EB462C">
        <w:rPr>
          <w:rFonts w:asciiTheme="majorHAnsi" w:hAnsiTheme="majorHAnsi"/>
          <w:lang w:val="es-ES"/>
        </w:rPr>
        <w:t>y certeza jurídica para el despliegue de tecnología</w:t>
      </w:r>
      <w:r w:rsidR="0058009A" w:rsidRPr="00EB462C">
        <w:rPr>
          <w:rFonts w:asciiTheme="majorHAnsi" w:hAnsiTheme="majorHAnsi"/>
          <w:lang w:val="es-ES"/>
        </w:rPr>
        <w:t>;</w:t>
      </w:r>
    </w:p>
    <w:p w14:paraId="17F5C118" w14:textId="77777777" w:rsidR="00EB462C" w:rsidRPr="00EB462C" w:rsidRDefault="00EB462C" w:rsidP="00EB462C">
      <w:pPr>
        <w:pStyle w:val="Prrafodelista"/>
        <w:ind w:left="1440"/>
        <w:jc w:val="both"/>
        <w:rPr>
          <w:rFonts w:asciiTheme="majorHAnsi" w:hAnsiTheme="majorHAnsi"/>
          <w:lang w:val="es-ES"/>
        </w:rPr>
      </w:pPr>
    </w:p>
    <w:p w14:paraId="304BC357" w14:textId="49FD8717" w:rsidR="00BC4CD7" w:rsidRDefault="00BC4CD7" w:rsidP="00BA743E">
      <w:pPr>
        <w:pStyle w:val="Prrafodelista"/>
        <w:numPr>
          <w:ilvl w:val="0"/>
          <w:numId w:val="3"/>
        </w:numPr>
        <w:jc w:val="both"/>
        <w:rPr>
          <w:rFonts w:asciiTheme="majorHAnsi" w:hAnsiTheme="majorHAnsi"/>
          <w:lang w:val="es-ES"/>
        </w:rPr>
      </w:pPr>
      <w:r w:rsidRPr="00EB462C">
        <w:rPr>
          <w:rFonts w:asciiTheme="majorHAnsi" w:hAnsiTheme="majorHAnsi"/>
          <w:lang w:val="es-ES"/>
        </w:rPr>
        <w:t xml:space="preserve">Que la fuerza de la </w:t>
      </w:r>
      <w:r w:rsidR="0058009A" w:rsidRPr="00EB462C">
        <w:rPr>
          <w:rFonts w:asciiTheme="majorHAnsi" w:hAnsiTheme="majorHAnsi"/>
          <w:lang w:val="es-ES"/>
        </w:rPr>
        <w:t>R</w:t>
      </w:r>
      <w:r w:rsidRPr="00EB462C">
        <w:rPr>
          <w:rFonts w:asciiTheme="majorHAnsi" w:hAnsiTheme="majorHAnsi"/>
          <w:lang w:val="es-ES"/>
        </w:rPr>
        <w:t xml:space="preserve">eforma constitucional no ha logrado que el mercado y los servicios de telecomunicaciones </w:t>
      </w:r>
      <w:r w:rsidR="003C0610" w:rsidRPr="00EB462C">
        <w:rPr>
          <w:rFonts w:asciiTheme="majorHAnsi" w:hAnsiTheme="majorHAnsi"/>
          <w:lang w:val="es-ES"/>
        </w:rPr>
        <w:t>en el último quinquenio</w:t>
      </w:r>
      <w:r w:rsidRPr="00EB462C">
        <w:rPr>
          <w:rFonts w:asciiTheme="majorHAnsi" w:hAnsiTheme="majorHAnsi"/>
          <w:lang w:val="es-ES"/>
        </w:rPr>
        <w:t xml:space="preserve"> cumplan </w:t>
      </w:r>
      <w:r w:rsidR="0058009A" w:rsidRPr="00EB462C">
        <w:rPr>
          <w:rFonts w:asciiTheme="majorHAnsi" w:hAnsiTheme="majorHAnsi"/>
          <w:lang w:val="es-ES"/>
        </w:rPr>
        <w:t xml:space="preserve">cabalmente </w:t>
      </w:r>
      <w:r w:rsidRPr="00EB462C">
        <w:rPr>
          <w:rFonts w:asciiTheme="majorHAnsi" w:hAnsiTheme="majorHAnsi"/>
          <w:lang w:val="es-ES"/>
        </w:rPr>
        <w:t xml:space="preserve">con el objetivo de cobertura, ocasionando que el principio programático de los derechos fundamentales fallara, y que el derecho de acceso a los servicios de telecomunicaciones, considerados como servicios públicos de interés general, fallara en uno de su objetivo </w:t>
      </w:r>
      <w:r w:rsidR="0058009A" w:rsidRPr="00EB462C">
        <w:rPr>
          <w:rFonts w:asciiTheme="majorHAnsi" w:hAnsiTheme="majorHAnsi"/>
          <w:lang w:val="es-ES"/>
        </w:rPr>
        <w:t>de</w:t>
      </w:r>
      <w:r w:rsidRPr="00EB462C">
        <w:rPr>
          <w:rFonts w:asciiTheme="majorHAnsi" w:hAnsiTheme="majorHAnsi"/>
          <w:lang w:val="es-ES"/>
        </w:rPr>
        <w:t xml:space="preserve"> la cobertura universal. Por ello, y de acuerdo </w:t>
      </w:r>
      <w:r w:rsidR="003C0610" w:rsidRPr="00EB462C">
        <w:rPr>
          <w:rFonts w:asciiTheme="majorHAnsi" w:hAnsiTheme="majorHAnsi"/>
          <w:lang w:val="es-ES"/>
        </w:rPr>
        <w:t>con</w:t>
      </w:r>
      <w:r w:rsidRPr="00EB462C">
        <w:rPr>
          <w:rFonts w:asciiTheme="majorHAnsi" w:hAnsiTheme="majorHAnsi"/>
          <w:lang w:val="es-ES"/>
        </w:rPr>
        <w:t xml:space="preserve"> las recomendaciones de la OCDE, deben revisarse las definiciones en materia de competencia, para asegurar el principio programático de los derechos fundamentales en lo que se refiere a la cobertura universal de los servicios de telecomunicaciones</w:t>
      </w:r>
      <w:r w:rsidR="0058009A" w:rsidRPr="00EB462C">
        <w:rPr>
          <w:rFonts w:asciiTheme="majorHAnsi" w:hAnsiTheme="majorHAnsi"/>
          <w:lang w:val="es-ES"/>
        </w:rPr>
        <w:t>;</w:t>
      </w:r>
      <w:r w:rsidRPr="00EB462C">
        <w:rPr>
          <w:rFonts w:asciiTheme="majorHAnsi" w:hAnsiTheme="majorHAnsi"/>
          <w:lang w:val="es-ES"/>
        </w:rPr>
        <w:t xml:space="preserve"> </w:t>
      </w:r>
    </w:p>
    <w:p w14:paraId="1E34613D" w14:textId="77777777" w:rsidR="00EB462C" w:rsidRPr="00EB462C" w:rsidRDefault="00EB462C" w:rsidP="00EB462C">
      <w:pPr>
        <w:pStyle w:val="Prrafodelista"/>
        <w:ind w:left="1440"/>
        <w:jc w:val="both"/>
        <w:rPr>
          <w:rFonts w:asciiTheme="majorHAnsi" w:hAnsiTheme="majorHAnsi"/>
          <w:lang w:val="es-ES"/>
        </w:rPr>
      </w:pPr>
    </w:p>
    <w:p w14:paraId="6591AF47" w14:textId="5A831981" w:rsidR="00BC4CD7" w:rsidRDefault="00BC4CD7" w:rsidP="00BA743E">
      <w:pPr>
        <w:pStyle w:val="Prrafodelista"/>
        <w:numPr>
          <w:ilvl w:val="0"/>
          <w:numId w:val="3"/>
        </w:numPr>
        <w:jc w:val="both"/>
        <w:rPr>
          <w:rFonts w:asciiTheme="majorHAnsi" w:hAnsiTheme="majorHAnsi"/>
          <w:lang w:val="es-ES"/>
        </w:rPr>
      </w:pPr>
      <w:r w:rsidRPr="00EB462C">
        <w:rPr>
          <w:rFonts w:asciiTheme="majorHAnsi" w:hAnsiTheme="majorHAnsi"/>
          <w:lang w:val="es-ES"/>
        </w:rPr>
        <w:t xml:space="preserve">Que la </w:t>
      </w:r>
      <w:r w:rsidR="0058009A" w:rsidRPr="00EB462C">
        <w:rPr>
          <w:rFonts w:asciiTheme="majorHAnsi" w:hAnsiTheme="majorHAnsi"/>
          <w:lang w:val="es-ES"/>
        </w:rPr>
        <w:t>“</w:t>
      </w:r>
      <w:r w:rsidRPr="00EB462C">
        <w:rPr>
          <w:rFonts w:asciiTheme="majorHAnsi" w:hAnsiTheme="majorHAnsi"/>
          <w:lang w:val="es-ES"/>
        </w:rPr>
        <w:t>Visión regulatoria de las telecomunicaciones y la radiodifusión, 2019-2023</w:t>
      </w:r>
      <w:r w:rsidR="0058009A" w:rsidRPr="00EB462C">
        <w:rPr>
          <w:rFonts w:asciiTheme="majorHAnsi" w:hAnsiTheme="majorHAnsi"/>
          <w:lang w:val="es-ES"/>
        </w:rPr>
        <w:t>”</w:t>
      </w:r>
      <w:r w:rsidRPr="00EB462C">
        <w:rPr>
          <w:rFonts w:asciiTheme="majorHAnsi" w:hAnsiTheme="majorHAnsi"/>
          <w:lang w:val="es-ES"/>
        </w:rPr>
        <w:t xml:space="preserve"> del IFT no se puede lograr sin redes robustas, amplias y suficientes en el territorio nacional, y que el ejercicio de los derechos fundamentales en la </w:t>
      </w:r>
      <w:r w:rsidR="0058009A" w:rsidRPr="00EB462C">
        <w:rPr>
          <w:rFonts w:asciiTheme="majorHAnsi" w:hAnsiTheme="majorHAnsi"/>
          <w:lang w:val="es-ES"/>
        </w:rPr>
        <w:t>C</w:t>
      </w:r>
      <w:r w:rsidRPr="00EB462C">
        <w:rPr>
          <w:rFonts w:asciiTheme="majorHAnsi" w:hAnsiTheme="majorHAnsi"/>
          <w:lang w:val="es-ES"/>
        </w:rPr>
        <w:t xml:space="preserve">onstitución, tanto el de acceso a </w:t>
      </w:r>
      <w:r w:rsidR="0058009A" w:rsidRPr="00EB462C">
        <w:rPr>
          <w:rFonts w:asciiTheme="majorHAnsi" w:hAnsiTheme="majorHAnsi"/>
          <w:lang w:val="es-ES"/>
        </w:rPr>
        <w:t>i</w:t>
      </w:r>
      <w:r w:rsidRPr="00EB462C">
        <w:rPr>
          <w:rFonts w:asciiTheme="majorHAnsi" w:hAnsiTheme="majorHAnsi"/>
          <w:lang w:val="es-ES"/>
        </w:rPr>
        <w:t>nternet</w:t>
      </w:r>
      <w:r w:rsidR="0058009A" w:rsidRPr="00EB462C">
        <w:rPr>
          <w:rFonts w:asciiTheme="majorHAnsi" w:hAnsiTheme="majorHAnsi"/>
          <w:lang w:val="es-ES"/>
        </w:rPr>
        <w:t xml:space="preserve"> y</w:t>
      </w:r>
      <w:r w:rsidRPr="00EB462C">
        <w:rPr>
          <w:rFonts w:asciiTheme="majorHAnsi" w:hAnsiTheme="majorHAnsi"/>
          <w:lang w:val="es-ES"/>
        </w:rPr>
        <w:t xml:space="preserve"> banda ancha </w:t>
      </w:r>
      <w:r w:rsidR="0058009A" w:rsidRPr="00EB462C">
        <w:rPr>
          <w:rFonts w:asciiTheme="majorHAnsi" w:hAnsiTheme="majorHAnsi"/>
          <w:lang w:val="es-ES"/>
        </w:rPr>
        <w:t>como los</w:t>
      </w:r>
      <w:r w:rsidRPr="00EB462C">
        <w:rPr>
          <w:rFonts w:asciiTheme="majorHAnsi" w:hAnsiTheme="majorHAnsi"/>
          <w:lang w:val="es-ES"/>
        </w:rPr>
        <w:t xml:space="preserve"> servicios de telecomunicaciones</w:t>
      </w:r>
      <w:r w:rsidR="0058009A" w:rsidRPr="00EB462C">
        <w:rPr>
          <w:rFonts w:asciiTheme="majorHAnsi" w:hAnsiTheme="majorHAnsi"/>
          <w:lang w:val="es-ES"/>
        </w:rPr>
        <w:t>,</w:t>
      </w:r>
      <w:r w:rsidRPr="00EB462C">
        <w:rPr>
          <w:rFonts w:asciiTheme="majorHAnsi" w:hAnsiTheme="majorHAnsi"/>
          <w:lang w:val="es-ES"/>
        </w:rPr>
        <w:t xml:space="preserve"> está sujeto al despliegue de infraestructura</w:t>
      </w:r>
      <w:r w:rsidR="0058009A" w:rsidRPr="00EB462C">
        <w:rPr>
          <w:rFonts w:asciiTheme="majorHAnsi" w:hAnsiTheme="majorHAnsi"/>
          <w:lang w:val="es-ES"/>
        </w:rPr>
        <w:t>;</w:t>
      </w:r>
    </w:p>
    <w:p w14:paraId="72765A7A" w14:textId="77777777" w:rsidR="00EB462C" w:rsidRPr="00EB462C" w:rsidRDefault="00EB462C" w:rsidP="00EB462C">
      <w:pPr>
        <w:pStyle w:val="Prrafodelista"/>
        <w:ind w:left="1440"/>
        <w:jc w:val="both"/>
        <w:rPr>
          <w:rFonts w:asciiTheme="majorHAnsi" w:hAnsiTheme="majorHAnsi"/>
          <w:lang w:val="es-ES"/>
        </w:rPr>
      </w:pPr>
    </w:p>
    <w:p w14:paraId="20FE2C5C" w14:textId="2C0F8453" w:rsidR="00BC4CD7" w:rsidRDefault="00BC4CD7" w:rsidP="00BA743E">
      <w:pPr>
        <w:pStyle w:val="Prrafodelista"/>
        <w:numPr>
          <w:ilvl w:val="0"/>
          <w:numId w:val="3"/>
        </w:numPr>
        <w:jc w:val="both"/>
        <w:rPr>
          <w:rFonts w:asciiTheme="majorHAnsi" w:hAnsiTheme="majorHAnsi"/>
          <w:lang w:val="es-ES"/>
        </w:rPr>
      </w:pPr>
      <w:r w:rsidRPr="00EB462C">
        <w:rPr>
          <w:rFonts w:asciiTheme="majorHAnsi" w:hAnsiTheme="majorHAnsi"/>
          <w:lang w:val="es-ES"/>
        </w:rPr>
        <w:t xml:space="preserve">Que el </w:t>
      </w:r>
      <w:r w:rsidR="0058009A" w:rsidRPr="00EB462C">
        <w:rPr>
          <w:rFonts w:asciiTheme="majorHAnsi" w:hAnsiTheme="majorHAnsi"/>
          <w:lang w:val="es-ES"/>
        </w:rPr>
        <w:t>i</w:t>
      </w:r>
      <w:r w:rsidRPr="00EB462C">
        <w:rPr>
          <w:rFonts w:asciiTheme="majorHAnsi" w:hAnsiTheme="majorHAnsi"/>
          <w:lang w:val="es-ES"/>
        </w:rPr>
        <w:t xml:space="preserve">nternet y los servicios de telecomunicaciones son habilitadores de otros derechos fundamentales como educación, salud, cultura y libertad de expresión, entre otros; que es vital que el concepto de derechos humanos y su mandato </w:t>
      </w:r>
      <w:r w:rsidR="002D30F2" w:rsidRPr="00EB462C">
        <w:rPr>
          <w:rFonts w:asciiTheme="majorHAnsi" w:hAnsiTheme="majorHAnsi"/>
          <w:lang w:val="es-ES"/>
        </w:rPr>
        <w:t>forme parte integral de</w:t>
      </w:r>
      <w:r w:rsidRPr="00EB462C">
        <w:rPr>
          <w:rFonts w:asciiTheme="majorHAnsi" w:hAnsiTheme="majorHAnsi"/>
          <w:lang w:val="es-ES"/>
        </w:rPr>
        <w:t xml:space="preserve"> la regulación del IFT, incluidos sus procesos de planeación o construcción de visión regulatoria como la actual</w:t>
      </w:r>
      <w:r w:rsidR="0058009A" w:rsidRPr="00EB462C">
        <w:rPr>
          <w:rFonts w:asciiTheme="majorHAnsi" w:hAnsiTheme="majorHAnsi"/>
          <w:lang w:val="es-ES"/>
        </w:rPr>
        <w:t>;</w:t>
      </w:r>
    </w:p>
    <w:p w14:paraId="6A5432AD" w14:textId="77777777" w:rsidR="00EB462C" w:rsidRPr="00EB462C" w:rsidRDefault="00EB462C" w:rsidP="00EB462C">
      <w:pPr>
        <w:pStyle w:val="Prrafodelista"/>
        <w:ind w:left="1440"/>
        <w:jc w:val="both"/>
        <w:rPr>
          <w:rFonts w:asciiTheme="majorHAnsi" w:hAnsiTheme="majorHAnsi"/>
          <w:lang w:val="es-ES"/>
        </w:rPr>
      </w:pPr>
    </w:p>
    <w:p w14:paraId="51F878AC" w14:textId="3B28FE79" w:rsidR="00BC4CD7" w:rsidRDefault="00BC4CD7" w:rsidP="00BA743E">
      <w:pPr>
        <w:pStyle w:val="Prrafodelista"/>
        <w:numPr>
          <w:ilvl w:val="0"/>
          <w:numId w:val="2"/>
        </w:numPr>
        <w:spacing w:after="0"/>
        <w:jc w:val="both"/>
        <w:rPr>
          <w:rFonts w:asciiTheme="majorHAnsi" w:hAnsiTheme="majorHAnsi"/>
          <w:lang w:val="es-ES"/>
        </w:rPr>
      </w:pPr>
      <w:r w:rsidRPr="00EB462C">
        <w:rPr>
          <w:rFonts w:asciiTheme="majorHAnsi" w:hAnsiTheme="majorHAnsi"/>
          <w:lang w:val="es-ES"/>
        </w:rPr>
        <w:lastRenderedPageBreak/>
        <w:t xml:space="preserve">Proponemos que se integre a la </w:t>
      </w:r>
      <w:r w:rsidR="0058009A" w:rsidRPr="00EB462C">
        <w:rPr>
          <w:rFonts w:asciiTheme="majorHAnsi" w:hAnsiTheme="majorHAnsi"/>
          <w:lang w:val="es-ES"/>
        </w:rPr>
        <w:t>“</w:t>
      </w:r>
      <w:r w:rsidRPr="00EB462C">
        <w:rPr>
          <w:rFonts w:asciiTheme="majorHAnsi" w:hAnsiTheme="majorHAnsi"/>
          <w:lang w:val="es-ES"/>
        </w:rPr>
        <w:t>Visión regulatoria de las telecomunicaciones y la radiodifusión, 2019-2023</w:t>
      </w:r>
      <w:r w:rsidR="0058009A" w:rsidRPr="00EB462C">
        <w:rPr>
          <w:rFonts w:asciiTheme="majorHAnsi" w:hAnsiTheme="majorHAnsi"/>
          <w:lang w:val="es-ES"/>
        </w:rPr>
        <w:t>” del IFT</w:t>
      </w:r>
      <w:r w:rsidRPr="00EB462C">
        <w:rPr>
          <w:rFonts w:asciiTheme="majorHAnsi" w:hAnsiTheme="majorHAnsi"/>
          <w:lang w:val="es-ES"/>
        </w:rPr>
        <w:t xml:space="preserve"> una línea de acción regulatoria transversal, que señale:</w:t>
      </w:r>
    </w:p>
    <w:p w14:paraId="2EB749D1" w14:textId="77777777" w:rsidR="00EB462C" w:rsidRPr="00EB462C" w:rsidRDefault="00EB462C" w:rsidP="00EB462C">
      <w:pPr>
        <w:spacing w:after="0"/>
        <w:ind w:left="720"/>
        <w:jc w:val="both"/>
        <w:rPr>
          <w:rFonts w:asciiTheme="majorHAnsi" w:hAnsiTheme="majorHAnsi"/>
          <w:lang w:val="es-ES"/>
        </w:rPr>
      </w:pPr>
    </w:p>
    <w:p w14:paraId="6BC9F7CB" w14:textId="2945C8F0" w:rsidR="00EB462C" w:rsidRPr="0044589D" w:rsidRDefault="00EB462C" w:rsidP="0044589D">
      <w:pPr>
        <w:ind w:left="720"/>
        <w:jc w:val="both"/>
        <w:rPr>
          <w:rFonts w:asciiTheme="majorHAnsi" w:hAnsiTheme="majorHAnsi"/>
          <w:lang w:val="es-ES"/>
        </w:rPr>
      </w:pPr>
      <w:r w:rsidRPr="00EB462C">
        <w:rPr>
          <w:rFonts w:asciiTheme="majorHAnsi" w:hAnsiTheme="majorHAnsi"/>
          <w:b/>
          <w:lang w:val="es-ES"/>
        </w:rPr>
        <w:t>Único.</w:t>
      </w:r>
      <w:r>
        <w:rPr>
          <w:rFonts w:asciiTheme="majorHAnsi" w:hAnsiTheme="majorHAnsi"/>
          <w:lang w:val="es-ES"/>
        </w:rPr>
        <w:t xml:space="preserve"> </w:t>
      </w:r>
      <w:r w:rsidR="00BC4CD7" w:rsidRPr="00B57E3C">
        <w:rPr>
          <w:rFonts w:asciiTheme="majorHAnsi" w:hAnsiTheme="majorHAnsi"/>
          <w:lang w:val="es-ES"/>
        </w:rPr>
        <w:t>Que promoverán que las telecomunicaciones son servicios públicos de interés general, por lo que el Estado garantizará que sean prestados en condiciones de competencia, calidad, pluralidad, cobertura universal, interconexión, convergencia, continuidad, acceso libre y sin injerencias arbitrarias</w:t>
      </w:r>
      <w:r w:rsidR="002618AB" w:rsidRPr="00B57E3C">
        <w:rPr>
          <w:rFonts w:asciiTheme="majorHAnsi" w:hAnsiTheme="majorHAnsi"/>
          <w:lang w:val="es-ES"/>
        </w:rPr>
        <w:t>, presentando</w:t>
      </w:r>
      <w:r w:rsidR="002D30F2" w:rsidRPr="00B57E3C">
        <w:rPr>
          <w:rFonts w:asciiTheme="majorHAnsi" w:hAnsiTheme="majorHAnsi"/>
          <w:lang w:val="es-ES"/>
        </w:rPr>
        <w:t>, en la parte considerativa</w:t>
      </w:r>
      <w:r w:rsidR="00BC4CD7" w:rsidRPr="00B57E3C">
        <w:rPr>
          <w:rFonts w:asciiTheme="majorHAnsi" w:hAnsiTheme="majorHAnsi"/>
          <w:lang w:val="es-ES"/>
        </w:rPr>
        <w:t xml:space="preserve"> </w:t>
      </w:r>
      <w:r w:rsidR="002D30F2" w:rsidRPr="00B57E3C">
        <w:rPr>
          <w:rFonts w:asciiTheme="majorHAnsi" w:hAnsiTheme="majorHAnsi"/>
          <w:lang w:val="es-ES"/>
        </w:rPr>
        <w:t>de</w:t>
      </w:r>
      <w:r w:rsidR="00BC4CD7" w:rsidRPr="00B57E3C">
        <w:rPr>
          <w:rFonts w:asciiTheme="majorHAnsi" w:hAnsiTheme="majorHAnsi"/>
          <w:lang w:val="es-ES"/>
        </w:rPr>
        <w:t xml:space="preserve"> </w:t>
      </w:r>
      <w:r w:rsidR="0058009A" w:rsidRPr="00B57E3C">
        <w:rPr>
          <w:rFonts w:asciiTheme="majorHAnsi" w:hAnsiTheme="majorHAnsi"/>
          <w:lang w:val="es-ES"/>
        </w:rPr>
        <w:t xml:space="preserve">aquellas </w:t>
      </w:r>
      <w:r w:rsidR="002618AB" w:rsidRPr="00B57E3C">
        <w:rPr>
          <w:rFonts w:asciiTheme="majorHAnsi" w:hAnsiTheme="majorHAnsi"/>
          <w:lang w:val="es-ES"/>
        </w:rPr>
        <w:t>r</w:t>
      </w:r>
      <w:r w:rsidR="0058009A" w:rsidRPr="00B57E3C">
        <w:rPr>
          <w:rFonts w:asciiTheme="majorHAnsi" w:hAnsiTheme="majorHAnsi"/>
          <w:lang w:val="es-ES"/>
        </w:rPr>
        <w:t>esoluciones del Pl</w:t>
      </w:r>
      <w:r w:rsidR="002618AB" w:rsidRPr="00B57E3C">
        <w:rPr>
          <w:rFonts w:asciiTheme="majorHAnsi" w:hAnsiTheme="majorHAnsi"/>
          <w:lang w:val="es-ES"/>
        </w:rPr>
        <w:t>e</w:t>
      </w:r>
      <w:r w:rsidR="0058009A" w:rsidRPr="00B57E3C">
        <w:rPr>
          <w:rFonts w:asciiTheme="majorHAnsi" w:hAnsiTheme="majorHAnsi"/>
          <w:lang w:val="es-ES"/>
        </w:rPr>
        <w:t xml:space="preserve">no </w:t>
      </w:r>
      <w:r w:rsidR="002618AB" w:rsidRPr="00B57E3C">
        <w:rPr>
          <w:rFonts w:asciiTheme="majorHAnsi" w:hAnsiTheme="majorHAnsi"/>
          <w:lang w:val="es-ES"/>
        </w:rPr>
        <w:t xml:space="preserve">del IFT </w:t>
      </w:r>
      <w:r w:rsidR="002D30F2" w:rsidRPr="00B57E3C">
        <w:rPr>
          <w:rFonts w:asciiTheme="majorHAnsi" w:hAnsiTheme="majorHAnsi"/>
          <w:lang w:val="es-ES"/>
        </w:rPr>
        <w:t>en que sea</w:t>
      </w:r>
      <w:r w:rsidR="0058009A" w:rsidRPr="00B57E3C">
        <w:rPr>
          <w:rFonts w:asciiTheme="majorHAnsi" w:hAnsiTheme="majorHAnsi"/>
          <w:lang w:val="es-ES"/>
        </w:rPr>
        <w:t xml:space="preserve"> oportuno o ponderable</w:t>
      </w:r>
      <w:r w:rsidR="002D30F2" w:rsidRPr="00B57E3C">
        <w:rPr>
          <w:rFonts w:asciiTheme="majorHAnsi" w:hAnsiTheme="majorHAnsi"/>
          <w:lang w:val="es-ES"/>
        </w:rPr>
        <w:t>,</w:t>
      </w:r>
      <w:r w:rsidR="0058009A" w:rsidRPr="00B57E3C">
        <w:rPr>
          <w:rFonts w:asciiTheme="majorHAnsi" w:hAnsiTheme="majorHAnsi"/>
          <w:lang w:val="es-ES"/>
        </w:rPr>
        <w:t xml:space="preserve"> el impacto de </w:t>
      </w:r>
      <w:r w:rsidR="002618AB" w:rsidRPr="00B57E3C">
        <w:rPr>
          <w:rFonts w:asciiTheme="majorHAnsi" w:hAnsiTheme="majorHAnsi"/>
          <w:lang w:val="es-ES"/>
        </w:rPr>
        <w:t>dichas resoluciones</w:t>
      </w:r>
      <w:r w:rsidR="0058009A" w:rsidRPr="00B57E3C">
        <w:rPr>
          <w:rFonts w:asciiTheme="majorHAnsi" w:hAnsiTheme="majorHAnsi"/>
          <w:lang w:val="es-ES"/>
        </w:rPr>
        <w:t xml:space="preserve"> en la</w:t>
      </w:r>
      <w:r w:rsidR="002618AB" w:rsidRPr="00B57E3C">
        <w:rPr>
          <w:rFonts w:asciiTheme="majorHAnsi" w:hAnsiTheme="majorHAnsi"/>
          <w:lang w:val="es-ES"/>
        </w:rPr>
        <w:t>s dimensiones de</w:t>
      </w:r>
      <w:r w:rsidR="0058009A" w:rsidRPr="00B57E3C">
        <w:rPr>
          <w:rFonts w:asciiTheme="majorHAnsi" w:hAnsiTheme="majorHAnsi"/>
          <w:lang w:val="es-ES"/>
        </w:rPr>
        <w:t xml:space="preserve"> cobertura, convergencia </w:t>
      </w:r>
      <w:r w:rsidR="002618AB" w:rsidRPr="00B57E3C">
        <w:rPr>
          <w:rFonts w:asciiTheme="majorHAnsi" w:hAnsiTheme="majorHAnsi"/>
          <w:lang w:val="es-ES"/>
        </w:rPr>
        <w:t>o</w:t>
      </w:r>
      <w:r w:rsidR="0058009A" w:rsidRPr="00B57E3C">
        <w:rPr>
          <w:rFonts w:asciiTheme="majorHAnsi" w:hAnsiTheme="majorHAnsi"/>
          <w:lang w:val="es-ES"/>
        </w:rPr>
        <w:t xml:space="preserve"> competencia desde una perspectiva de derechos humanos y cómo la </w:t>
      </w:r>
      <w:r w:rsidR="002618AB" w:rsidRPr="00B57E3C">
        <w:rPr>
          <w:rFonts w:asciiTheme="majorHAnsi" w:hAnsiTheme="majorHAnsi"/>
          <w:lang w:val="es-ES"/>
        </w:rPr>
        <w:t>r</w:t>
      </w:r>
      <w:r w:rsidR="0058009A" w:rsidRPr="00B57E3C">
        <w:rPr>
          <w:rFonts w:asciiTheme="majorHAnsi" w:hAnsiTheme="majorHAnsi"/>
          <w:lang w:val="es-ES"/>
        </w:rPr>
        <w:t xml:space="preserve">esolución </w:t>
      </w:r>
      <w:r w:rsidR="002618AB" w:rsidRPr="00B57E3C">
        <w:rPr>
          <w:rFonts w:asciiTheme="majorHAnsi" w:hAnsiTheme="majorHAnsi"/>
          <w:lang w:val="es-ES"/>
        </w:rPr>
        <w:t xml:space="preserve">en cuestión </w:t>
      </w:r>
      <w:r w:rsidR="0058009A" w:rsidRPr="00B57E3C">
        <w:rPr>
          <w:rFonts w:asciiTheme="majorHAnsi" w:hAnsiTheme="majorHAnsi"/>
          <w:lang w:val="es-ES"/>
        </w:rPr>
        <w:t>l</w:t>
      </w:r>
      <w:r w:rsidR="002618AB" w:rsidRPr="00B57E3C">
        <w:rPr>
          <w:rFonts w:asciiTheme="majorHAnsi" w:hAnsiTheme="majorHAnsi"/>
          <w:lang w:val="es-ES"/>
        </w:rPr>
        <w:t>o</w:t>
      </w:r>
      <w:r w:rsidR="0058009A" w:rsidRPr="00B57E3C">
        <w:rPr>
          <w:rFonts w:asciiTheme="majorHAnsi" w:hAnsiTheme="majorHAnsi"/>
          <w:lang w:val="es-ES"/>
        </w:rPr>
        <w:t xml:space="preserve">s impacta. </w:t>
      </w:r>
    </w:p>
    <w:p w14:paraId="1715290C" w14:textId="5A7E327C" w:rsidR="00EB462C" w:rsidRPr="00484370" w:rsidRDefault="00EB462C" w:rsidP="00E07316">
      <w:pPr>
        <w:autoSpaceDE w:val="0"/>
        <w:autoSpaceDN w:val="0"/>
        <w:adjustRightInd w:val="0"/>
        <w:spacing w:line="276" w:lineRule="auto"/>
        <w:jc w:val="center"/>
        <w:rPr>
          <w:rFonts w:ascii="Calibri" w:eastAsia="Calibri" w:hAnsi="Calibri" w:cs="Calibri"/>
          <w:b/>
          <w:bCs/>
        </w:rPr>
      </w:pPr>
    </w:p>
    <w:p w14:paraId="3E3415A4" w14:textId="77777777" w:rsidR="00EB462C" w:rsidRPr="00484370" w:rsidRDefault="00EB462C" w:rsidP="00EB462C">
      <w:pPr>
        <w:autoSpaceDE w:val="0"/>
        <w:autoSpaceDN w:val="0"/>
        <w:adjustRightInd w:val="0"/>
        <w:spacing w:after="0"/>
        <w:jc w:val="center"/>
        <w:rPr>
          <w:rFonts w:ascii="Calibri" w:eastAsia="Calibri" w:hAnsi="Calibri" w:cs="Calibri"/>
          <w:b/>
          <w:bCs/>
        </w:rPr>
      </w:pPr>
      <w:r w:rsidRPr="00484370">
        <w:rPr>
          <w:rFonts w:ascii="Calibri" w:eastAsia="Calibri" w:hAnsi="Calibri" w:cs="Calibri"/>
          <w:b/>
          <w:bCs/>
        </w:rPr>
        <w:t xml:space="preserve">Dr. Ernesto M. Flores-Roux </w:t>
      </w:r>
    </w:p>
    <w:p w14:paraId="6F2F07D2" w14:textId="77777777" w:rsidR="00EB462C" w:rsidRPr="00484370" w:rsidRDefault="00EB462C" w:rsidP="00EB462C">
      <w:pPr>
        <w:autoSpaceDE w:val="0"/>
        <w:autoSpaceDN w:val="0"/>
        <w:adjustRightInd w:val="0"/>
        <w:spacing w:after="0"/>
        <w:jc w:val="center"/>
        <w:rPr>
          <w:rFonts w:ascii="Calibri" w:eastAsia="Calibri" w:hAnsi="Calibri" w:cs="Calibri"/>
          <w:b/>
          <w:bCs/>
        </w:rPr>
      </w:pPr>
      <w:r w:rsidRPr="00484370">
        <w:rPr>
          <w:rFonts w:ascii="Calibri" w:eastAsia="Calibri" w:hAnsi="Calibri" w:cs="Calibri"/>
          <w:b/>
          <w:bCs/>
        </w:rPr>
        <w:t>Presidente</w:t>
      </w:r>
    </w:p>
    <w:p w14:paraId="0AA54621" w14:textId="760ED15C" w:rsidR="00EB462C" w:rsidRPr="00484370" w:rsidRDefault="00EB462C" w:rsidP="00EB462C">
      <w:pPr>
        <w:autoSpaceDE w:val="0"/>
        <w:autoSpaceDN w:val="0"/>
        <w:adjustRightInd w:val="0"/>
        <w:spacing w:line="276" w:lineRule="auto"/>
        <w:rPr>
          <w:rFonts w:ascii="Calibri" w:eastAsia="Calibri" w:hAnsi="Calibri" w:cs="Calibri"/>
          <w:b/>
          <w:bCs/>
        </w:rPr>
      </w:pPr>
      <w:bookmarkStart w:id="2" w:name="_GoBack"/>
      <w:bookmarkEnd w:id="2"/>
    </w:p>
    <w:p w14:paraId="4625521E" w14:textId="00E0BD8B" w:rsidR="00EB462C" w:rsidRPr="00484370" w:rsidRDefault="00EB462C" w:rsidP="00EB462C">
      <w:pPr>
        <w:autoSpaceDE w:val="0"/>
        <w:autoSpaceDN w:val="0"/>
        <w:adjustRightInd w:val="0"/>
        <w:spacing w:after="0" w:line="276" w:lineRule="auto"/>
        <w:rPr>
          <w:rFonts w:ascii="Calibri" w:eastAsia="Calibri" w:hAnsi="Calibri" w:cs="Calibri"/>
          <w:b/>
          <w:bCs/>
        </w:rPr>
      </w:pPr>
    </w:p>
    <w:p w14:paraId="20CC2D01" w14:textId="77777777" w:rsidR="00EB462C" w:rsidRPr="00484370" w:rsidRDefault="00EB462C" w:rsidP="00EB462C">
      <w:pPr>
        <w:autoSpaceDE w:val="0"/>
        <w:autoSpaceDN w:val="0"/>
        <w:adjustRightInd w:val="0"/>
        <w:spacing w:after="0" w:line="276" w:lineRule="auto"/>
        <w:jc w:val="center"/>
        <w:rPr>
          <w:rFonts w:ascii="Calibri" w:eastAsia="Calibri" w:hAnsi="Calibri" w:cs="Calibri"/>
          <w:b/>
          <w:bCs/>
        </w:rPr>
      </w:pPr>
      <w:r w:rsidRPr="00484370">
        <w:rPr>
          <w:rFonts w:ascii="Calibri" w:eastAsia="Calibri" w:hAnsi="Calibri" w:cs="Calibri"/>
          <w:b/>
          <w:bCs/>
        </w:rPr>
        <w:t>Lic. Juan José Crispín Borbolla</w:t>
      </w:r>
    </w:p>
    <w:p w14:paraId="563B5F41" w14:textId="7E457675" w:rsidR="00EB462C" w:rsidRDefault="00EB462C" w:rsidP="00EB462C">
      <w:pPr>
        <w:autoSpaceDE w:val="0"/>
        <w:autoSpaceDN w:val="0"/>
        <w:adjustRightInd w:val="0"/>
        <w:spacing w:after="0" w:line="276" w:lineRule="auto"/>
        <w:jc w:val="center"/>
        <w:rPr>
          <w:rFonts w:ascii="Calibri" w:eastAsia="Calibri" w:hAnsi="Calibri" w:cs="Calibri"/>
          <w:b/>
          <w:bCs/>
        </w:rPr>
      </w:pPr>
      <w:r w:rsidRPr="00484370">
        <w:rPr>
          <w:rFonts w:ascii="Calibri" w:eastAsia="Calibri" w:hAnsi="Calibri" w:cs="Calibri"/>
          <w:b/>
          <w:bCs/>
        </w:rPr>
        <w:t>Secretario</w:t>
      </w:r>
    </w:p>
    <w:p w14:paraId="49DE674E" w14:textId="4444EB75" w:rsidR="00EB462C" w:rsidRDefault="00EB462C" w:rsidP="00EB462C">
      <w:pPr>
        <w:autoSpaceDE w:val="0"/>
        <w:autoSpaceDN w:val="0"/>
        <w:adjustRightInd w:val="0"/>
        <w:spacing w:after="0" w:line="276" w:lineRule="auto"/>
        <w:jc w:val="center"/>
        <w:rPr>
          <w:rFonts w:ascii="Calibri" w:eastAsia="Calibri" w:hAnsi="Calibri" w:cs="Calibri"/>
          <w:b/>
          <w:bCs/>
        </w:rPr>
      </w:pPr>
    </w:p>
    <w:p w14:paraId="299E1394" w14:textId="01542A03" w:rsidR="00EB462C" w:rsidRPr="00EB462C" w:rsidRDefault="00EB462C" w:rsidP="00E07316">
      <w:pPr>
        <w:autoSpaceDE w:val="0"/>
        <w:autoSpaceDN w:val="0"/>
        <w:adjustRightInd w:val="0"/>
        <w:spacing w:after="0" w:line="276" w:lineRule="auto"/>
        <w:rPr>
          <w:rFonts w:ascii="Calibri" w:eastAsia="Calibri" w:hAnsi="Calibri" w:cs="Calibri"/>
          <w:b/>
          <w:bCs/>
        </w:rPr>
      </w:pPr>
    </w:p>
    <w:p w14:paraId="3AA2819A" w14:textId="1BBF10E0" w:rsidR="00EB462C" w:rsidRPr="00A40EBA" w:rsidRDefault="00EB462C" w:rsidP="00EB462C">
      <w:pPr>
        <w:jc w:val="both"/>
        <w:rPr>
          <w:rFonts w:ascii="Calibri" w:hAnsi="Calibri" w:cs="Calibri"/>
          <w:sz w:val="16"/>
          <w:szCs w:val="16"/>
        </w:rPr>
      </w:pPr>
      <w:r w:rsidRPr="00A40EBA">
        <w:rPr>
          <w:rFonts w:ascii="Calibri" w:hAnsi="Calibri" w:cs="Calibri"/>
          <w:sz w:val="16"/>
          <w:szCs w:val="16"/>
        </w:rPr>
        <w:t>La Recomendación fue aprobada por el IV Consejo Consultivo del Instituto Federal de Telecomunicaciones por unanimidad en lo general, con los votos a favor de los Consejeros</w:t>
      </w:r>
      <w:r w:rsidR="00E235AD" w:rsidRPr="00A40EBA">
        <w:rPr>
          <w:rFonts w:ascii="Calibri" w:hAnsi="Calibri" w:cs="Calibri"/>
          <w:sz w:val="16"/>
          <w:szCs w:val="16"/>
        </w:rPr>
        <w:t xml:space="preserve"> María Cristina Capelo Lanz, María Cristina Cárdenas Peralta, Sara Gabriela Castellanos Pascacio, Ernesto M. Flores-Roux, Luis Fernando García Muñoz, Gerardo Francisco González Abarca, Santiago Gutiérrez Fernández, Luis Miguel Martínez Cervantes, Armida Sánchez Arellano y Primavera Téllez Girón García; con la abstención del Consejero Alejandro Ulises Mendoza Pérez</w:t>
      </w:r>
      <w:r w:rsidRPr="00A40EBA">
        <w:rPr>
          <w:rFonts w:ascii="Calibri" w:hAnsi="Calibri" w:cs="Calibri"/>
          <w:sz w:val="16"/>
          <w:szCs w:val="16"/>
        </w:rPr>
        <w:t>, en su IX Sesión Ordinaria celebrada el 7 de noviembre de 2019, mediante Acuerdo CC/IFT/071119/27.</w:t>
      </w:r>
    </w:p>
    <w:p w14:paraId="03B13A75" w14:textId="17DA9684" w:rsidR="00BC4CD7" w:rsidRPr="00A40EBA" w:rsidRDefault="00EB462C" w:rsidP="00D22CE0">
      <w:pPr>
        <w:jc w:val="both"/>
        <w:rPr>
          <w:rFonts w:ascii="Calibri" w:hAnsi="Calibri" w:cs="Calibri"/>
          <w:sz w:val="16"/>
          <w:szCs w:val="16"/>
        </w:rPr>
      </w:pPr>
      <w:r w:rsidRPr="00A40EBA">
        <w:rPr>
          <w:rFonts w:ascii="Calibri" w:hAnsi="Calibri" w:cs="Calibri"/>
          <w:sz w:val="16"/>
          <w:szCs w:val="16"/>
        </w:rPr>
        <w:t xml:space="preserve">El proyecto de Recomendación fue desarrollado por </w:t>
      </w:r>
      <w:r w:rsidR="00E235AD" w:rsidRPr="00A40EBA">
        <w:rPr>
          <w:rFonts w:ascii="Calibri" w:hAnsi="Calibri" w:cs="Calibri"/>
          <w:sz w:val="16"/>
          <w:szCs w:val="16"/>
        </w:rPr>
        <w:t>el Consejero Jorge Fernando Negrete Pacheco</w:t>
      </w:r>
      <w:r w:rsidR="00730CA8">
        <w:rPr>
          <w:rFonts w:ascii="Calibri" w:hAnsi="Calibri" w:cs="Calibri"/>
          <w:sz w:val="16"/>
          <w:szCs w:val="16"/>
        </w:rPr>
        <w:t>.</w:t>
      </w:r>
    </w:p>
    <w:sectPr w:rsidR="00BC4CD7" w:rsidRPr="00A40EBA" w:rsidSect="00EB462C">
      <w:headerReference w:type="default" r:id="rId8"/>
      <w:footerReference w:type="default" r:id="rId9"/>
      <w:pgSz w:w="12240" w:h="15840"/>
      <w:pgMar w:top="2269" w:right="1467"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303B2" w14:textId="77777777" w:rsidR="00176510" w:rsidRDefault="00176510" w:rsidP="00F60C09">
      <w:pPr>
        <w:spacing w:after="0"/>
      </w:pPr>
      <w:r>
        <w:separator/>
      </w:r>
    </w:p>
  </w:endnote>
  <w:endnote w:type="continuationSeparator" w:id="0">
    <w:p w14:paraId="4E076C94" w14:textId="77777777" w:rsidR="00176510" w:rsidRDefault="00176510" w:rsidP="00F60C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604554"/>
      <w:docPartObj>
        <w:docPartGallery w:val="Page Numbers (Bottom of Page)"/>
        <w:docPartUnique/>
      </w:docPartObj>
    </w:sdtPr>
    <w:sdtEndPr/>
    <w:sdtContent>
      <w:p w14:paraId="5587CBBA" w14:textId="2A296510" w:rsidR="00EB462C" w:rsidRDefault="00EB462C">
        <w:pPr>
          <w:pStyle w:val="Piedepgina"/>
          <w:jc w:val="right"/>
        </w:pPr>
        <w:r w:rsidRPr="00EB462C">
          <w:rPr>
            <w:rFonts w:asciiTheme="majorHAnsi" w:hAnsiTheme="majorHAnsi"/>
            <w:sz w:val="16"/>
            <w:szCs w:val="16"/>
          </w:rPr>
          <w:fldChar w:fldCharType="begin"/>
        </w:r>
        <w:r w:rsidRPr="00EB462C">
          <w:rPr>
            <w:rFonts w:asciiTheme="majorHAnsi" w:hAnsiTheme="majorHAnsi"/>
            <w:sz w:val="16"/>
            <w:szCs w:val="16"/>
          </w:rPr>
          <w:instrText>PAGE   \* MERGEFORMAT</w:instrText>
        </w:r>
        <w:r w:rsidRPr="00EB462C">
          <w:rPr>
            <w:rFonts w:asciiTheme="majorHAnsi" w:hAnsiTheme="majorHAnsi"/>
            <w:sz w:val="16"/>
            <w:szCs w:val="16"/>
          </w:rPr>
          <w:fldChar w:fldCharType="separate"/>
        </w:r>
        <w:r w:rsidR="0044589D" w:rsidRPr="0044589D">
          <w:rPr>
            <w:rFonts w:asciiTheme="majorHAnsi" w:hAnsiTheme="majorHAnsi"/>
            <w:noProof/>
            <w:sz w:val="16"/>
            <w:szCs w:val="16"/>
            <w:lang w:val="es-ES"/>
          </w:rPr>
          <w:t>4</w:t>
        </w:r>
        <w:r w:rsidRPr="00EB462C">
          <w:rPr>
            <w:rFonts w:asciiTheme="majorHAnsi" w:hAnsiTheme="majorHAnsi"/>
            <w:sz w:val="16"/>
            <w:szCs w:val="16"/>
          </w:rPr>
          <w:fldChar w:fldCharType="end"/>
        </w:r>
      </w:p>
    </w:sdtContent>
  </w:sdt>
  <w:p w14:paraId="0CDFFED4" w14:textId="77777777" w:rsidR="00EB462C" w:rsidRDefault="00EB46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07623" w14:textId="77777777" w:rsidR="00176510" w:rsidRDefault="00176510" w:rsidP="00F60C09">
      <w:pPr>
        <w:spacing w:after="0"/>
      </w:pPr>
      <w:r>
        <w:separator/>
      </w:r>
    </w:p>
  </w:footnote>
  <w:footnote w:type="continuationSeparator" w:id="0">
    <w:p w14:paraId="7F8A0862" w14:textId="77777777" w:rsidR="00176510" w:rsidRDefault="00176510" w:rsidP="00F60C09">
      <w:pPr>
        <w:spacing w:after="0"/>
      </w:pPr>
      <w:r>
        <w:continuationSeparator/>
      </w:r>
    </w:p>
  </w:footnote>
  <w:footnote w:id="1">
    <w:p w14:paraId="3B597E32" w14:textId="77777777" w:rsidR="0058009A" w:rsidRPr="00A83432" w:rsidRDefault="0058009A" w:rsidP="00BC4CD7">
      <w:pPr>
        <w:jc w:val="both"/>
        <w:rPr>
          <w:rFonts w:asciiTheme="majorHAnsi" w:hAnsiTheme="majorHAnsi" w:cstheme="majorHAnsi"/>
          <w:sz w:val="16"/>
          <w:szCs w:val="16"/>
        </w:rPr>
      </w:pPr>
      <w:r w:rsidRPr="00A83432">
        <w:rPr>
          <w:rFonts w:asciiTheme="majorHAnsi" w:hAnsiTheme="majorHAnsi" w:cstheme="majorHAnsi"/>
          <w:vertAlign w:val="superscript"/>
        </w:rPr>
        <w:footnoteRef/>
      </w:r>
      <w:r w:rsidRPr="00A83432">
        <w:rPr>
          <w:rFonts w:asciiTheme="majorHAnsi" w:hAnsiTheme="majorHAnsi" w:cstheme="majorHAnsi"/>
          <w:sz w:val="16"/>
          <w:szCs w:val="16"/>
        </w:rPr>
        <w:t xml:space="preserve"> Consúltese el Dictamen de las Comisiones Unidas de Puntos Constitucionales; de Comunicaciones y Transportes; de Radio, Televisión y Cinematografía y de Estudios Legislativos, con la opinión de las comisiones de Gobernación y de Justicia, respecto de la minuta con proyecto de decreto por el que se reforman y adicionan diversas disposiciones de los artículos 6°, 7°, 27, 28, 73, 78, 94 y 105 de la Constitución Política de los Estados Unidos Mexicanos en materia de telecomunicaciones.</w:t>
      </w:r>
    </w:p>
    <w:p w14:paraId="734B22CC" w14:textId="77777777" w:rsidR="0058009A" w:rsidRDefault="0058009A" w:rsidP="00BC4CD7">
      <w:pPr>
        <w:pBdr>
          <w:top w:val="nil"/>
          <w:left w:val="nil"/>
          <w:bottom w:val="nil"/>
          <w:right w:val="nil"/>
          <w:between w:val="nil"/>
        </w:pBdr>
        <w:spacing w:after="0"/>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F4FEC" w14:textId="6384F709" w:rsidR="00B57E3C" w:rsidRDefault="00176510">
    <w:pPr>
      <w:pStyle w:val="Encabezado"/>
    </w:pPr>
    <w:r>
      <w:rPr>
        <w:noProof/>
        <w:lang w:eastAsia="es-MX"/>
      </w:rPr>
      <w:pict w14:anchorId="756064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4 CC logo-01" style="position:absolute;margin-left:-74.15pt;margin-top:-111.3pt;width:609.6pt;height:793.9pt;z-index:-251657216;mso-wrap-edited:f;mso-width-percent:0;mso-height-percent:0;mso-position-horizontal-relative:margin;mso-position-vertical-relative:margin;mso-width-percent:0;mso-height-percent:0" o:allowincell="f">
          <v:imagedata r:id="rId1" o:title="4 CC logo-01"/>
          <w10:wrap anchorx="margin" anchory="margin"/>
        </v:shape>
      </w:pict>
    </w:r>
    <w:r>
      <w:rPr>
        <w:noProof/>
        <w:lang w:eastAsia="es-MX"/>
      </w:rPr>
      <w:pict w14:anchorId="756064AD">
        <v:shape id="WordPictureWatermark702309548" o:spid="_x0000_s2049" type="#_x0000_t75" alt="4 CC logo-01" style="position:absolute;margin-left:-35.9pt;margin-top:-63.4pt;width:609.6pt;height:793.9pt;z-index:-251658240;mso-wrap-edited:f;mso-width-percent:0;mso-height-percent:0;mso-position-horizontal-relative:margin;mso-position-vertical-relative:margin;mso-width-percent:0;mso-height-percent:0" o:allowincell="f">
          <v:imagedata r:id="rId1" o:title="4 CC logo-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313F"/>
    <w:multiLevelType w:val="hybridMultilevel"/>
    <w:tmpl w:val="82F2FF2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11715EF3"/>
    <w:multiLevelType w:val="hybridMultilevel"/>
    <w:tmpl w:val="0532B13A"/>
    <w:lvl w:ilvl="0" w:tplc="95C64F1A">
      <w:start w:val="1"/>
      <w:numFmt w:val="decimal"/>
      <w:lvlText w:val="%1."/>
      <w:lvlJc w:val="left"/>
      <w:pPr>
        <w:ind w:left="1080" w:hanging="72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FF2B4F"/>
    <w:multiLevelType w:val="hybridMultilevel"/>
    <w:tmpl w:val="BC0A5F72"/>
    <w:lvl w:ilvl="0" w:tplc="A65E0080">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21A"/>
    <w:rsid w:val="00000D73"/>
    <w:rsid w:val="00012978"/>
    <w:rsid w:val="00016C2E"/>
    <w:rsid w:val="00021F3F"/>
    <w:rsid w:val="00022B5B"/>
    <w:rsid w:val="00024E56"/>
    <w:rsid w:val="000250D0"/>
    <w:rsid w:val="00026E43"/>
    <w:rsid w:val="00030DBF"/>
    <w:rsid w:val="00032909"/>
    <w:rsid w:val="0003320E"/>
    <w:rsid w:val="000425FF"/>
    <w:rsid w:val="00042DA7"/>
    <w:rsid w:val="00043328"/>
    <w:rsid w:val="0004408F"/>
    <w:rsid w:val="00044983"/>
    <w:rsid w:val="000463CC"/>
    <w:rsid w:val="00046A83"/>
    <w:rsid w:val="0004765E"/>
    <w:rsid w:val="00052359"/>
    <w:rsid w:val="0005448F"/>
    <w:rsid w:val="00062C50"/>
    <w:rsid w:val="00071A7D"/>
    <w:rsid w:val="00071CB5"/>
    <w:rsid w:val="00074047"/>
    <w:rsid w:val="00074747"/>
    <w:rsid w:val="00082085"/>
    <w:rsid w:val="00086A6F"/>
    <w:rsid w:val="00086FD1"/>
    <w:rsid w:val="000B543C"/>
    <w:rsid w:val="000B72C9"/>
    <w:rsid w:val="000C09EC"/>
    <w:rsid w:val="000C621A"/>
    <w:rsid w:val="000C7FD5"/>
    <w:rsid w:val="000D6371"/>
    <w:rsid w:val="000D6709"/>
    <w:rsid w:val="000E1BFE"/>
    <w:rsid w:val="000E6201"/>
    <w:rsid w:val="000E6DDA"/>
    <w:rsid w:val="000F064D"/>
    <w:rsid w:val="00103BA0"/>
    <w:rsid w:val="00103E31"/>
    <w:rsid w:val="001069ED"/>
    <w:rsid w:val="00110CAB"/>
    <w:rsid w:val="0011196F"/>
    <w:rsid w:val="00113513"/>
    <w:rsid w:val="00116AFF"/>
    <w:rsid w:val="00121495"/>
    <w:rsid w:val="001269F8"/>
    <w:rsid w:val="00130D83"/>
    <w:rsid w:val="001337D9"/>
    <w:rsid w:val="00134AFA"/>
    <w:rsid w:val="00135935"/>
    <w:rsid w:val="001425BB"/>
    <w:rsid w:val="001508E1"/>
    <w:rsid w:val="00150993"/>
    <w:rsid w:val="001523B2"/>
    <w:rsid w:val="00152402"/>
    <w:rsid w:val="00157125"/>
    <w:rsid w:val="00157F5B"/>
    <w:rsid w:val="001612D2"/>
    <w:rsid w:val="00162DC0"/>
    <w:rsid w:val="001646A2"/>
    <w:rsid w:val="001706CA"/>
    <w:rsid w:val="0017098E"/>
    <w:rsid w:val="00171C65"/>
    <w:rsid w:val="001736AA"/>
    <w:rsid w:val="00175880"/>
    <w:rsid w:val="00176510"/>
    <w:rsid w:val="0019278A"/>
    <w:rsid w:val="00195ACD"/>
    <w:rsid w:val="00197EE6"/>
    <w:rsid w:val="001A4482"/>
    <w:rsid w:val="001A7B0F"/>
    <w:rsid w:val="001B4763"/>
    <w:rsid w:val="001B496F"/>
    <w:rsid w:val="001B4C2F"/>
    <w:rsid w:val="001B5756"/>
    <w:rsid w:val="001B6951"/>
    <w:rsid w:val="001C3433"/>
    <w:rsid w:val="001D030B"/>
    <w:rsid w:val="001D29E7"/>
    <w:rsid w:val="001E24D2"/>
    <w:rsid w:val="001F08BF"/>
    <w:rsid w:val="001F1625"/>
    <w:rsid w:val="001F34B0"/>
    <w:rsid w:val="001F4604"/>
    <w:rsid w:val="0021412A"/>
    <w:rsid w:val="00214199"/>
    <w:rsid w:val="00215AA0"/>
    <w:rsid w:val="002164A2"/>
    <w:rsid w:val="00216556"/>
    <w:rsid w:val="002210E7"/>
    <w:rsid w:val="00222CC3"/>
    <w:rsid w:val="00225725"/>
    <w:rsid w:val="00235426"/>
    <w:rsid w:val="00252B1E"/>
    <w:rsid w:val="002618AB"/>
    <w:rsid w:val="00261E71"/>
    <w:rsid w:val="002712E2"/>
    <w:rsid w:val="002749B4"/>
    <w:rsid w:val="00282C65"/>
    <w:rsid w:val="00287EB5"/>
    <w:rsid w:val="002920F5"/>
    <w:rsid w:val="00292D9B"/>
    <w:rsid w:val="002936AE"/>
    <w:rsid w:val="002A064C"/>
    <w:rsid w:val="002A0A78"/>
    <w:rsid w:val="002A7D27"/>
    <w:rsid w:val="002B24AD"/>
    <w:rsid w:val="002B55F4"/>
    <w:rsid w:val="002C0C9C"/>
    <w:rsid w:val="002C2DF4"/>
    <w:rsid w:val="002D30F2"/>
    <w:rsid w:val="002D4707"/>
    <w:rsid w:val="002D7040"/>
    <w:rsid w:val="002E0126"/>
    <w:rsid w:val="002F2F10"/>
    <w:rsid w:val="002F613D"/>
    <w:rsid w:val="00314401"/>
    <w:rsid w:val="003167F7"/>
    <w:rsid w:val="0032270D"/>
    <w:rsid w:val="00340E17"/>
    <w:rsid w:val="003411C7"/>
    <w:rsid w:val="003432C0"/>
    <w:rsid w:val="00344B65"/>
    <w:rsid w:val="0035299D"/>
    <w:rsid w:val="00355C35"/>
    <w:rsid w:val="0035642D"/>
    <w:rsid w:val="0036685B"/>
    <w:rsid w:val="00370A6D"/>
    <w:rsid w:val="0037587A"/>
    <w:rsid w:val="003758C3"/>
    <w:rsid w:val="00376773"/>
    <w:rsid w:val="00382EAE"/>
    <w:rsid w:val="0038316F"/>
    <w:rsid w:val="003838EF"/>
    <w:rsid w:val="003865FE"/>
    <w:rsid w:val="00390DFE"/>
    <w:rsid w:val="0039475F"/>
    <w:rsid w:val="003A36EA"/>
    <w:rsid w:val="003A6A7A"/>
    <w:rsid w:val="003B0EFB"/>
    <w:rsid w:val="003B2AFE"/>
    <w:rsid w:val="003B4701"/>
    <w:rsid w:val="003C0137"/>
    <w:rsid w:val="003C0610"/>
    <w:rsid w:val="003D051B"/>
    <w:rsid w:val="003D0C75"/>
    <w:rsid w:val="003D281A"/>
    <w:rsid w:val="003D4160"/>
    <w:rsid w:val="003D6AEE"/>
    <w:rsid w:val="003E0BED"/>
    <w:rsid w:val="003E2B70"/>
    <w:rsid w:val="00402176"/>
    <w:rsid w:val="00402E17"/>
    <w:rsid w:val="004129D0"/>
    <w:rsid w:val="00427F06"/>
    <w:rsid w:val="004336E4"/>
    <w:rsid w:val="00433AFC"/>
    <w:rsid w:val="00434C00"/>
    <w:rsid w:val="00434D19"/>
    <w:rsid w:val="004356FD"/>
    <w:rsid w:val="00437003"/>
    <w:rsid w:val="00437ABD"/>
    <w:rsid w:val="00440CA2"/>
    <w:rsid w:val="0044589D"/>
    <w:rsid w:val="00450F7C"/>
    <w:rsid w:val="00472802"/>
    <w:rsid w:val="00474D85"/>
    <w:rsid w:val="00477BF1"/>
    <w:rsid w:val="00491155"/>
    <w:rsid w:val="004919E7"/>
    <w:rsid w:val="00494BCF"/>
    <w:rsid w:val="004A36EB"/>
    <w:rsid w:val="004A4F93"/>
    <w:rsid w:val="004C2A84"/>
    <w:rsid w:val="004C35A3"/>
    <w:rsid w:val="004C64AC"/>
    <w:rsid w:val="004D2D98"/>
    <w:rsid w:val="004D3505"/>
    <w:rsid w:val="004E034F"/>
    <w:rsid w:val="004E3AD3"/>
    <w:rsid w:val="004E51F8"/>
    <w:rsid w:val="004E632A"/>
    <w:rsid w:val="004F791F"/>
    <w:rsid w:val="00500AD1"/>
    <w:rsid w:val="00500D75"/>
    <w:rsid w:val="00501EC2"/>
    <w:rsid w:val="00520C72"/>
    <w:rsid w:val="00522080"/>
    <w:rsid w:val="0052518A"/>
    <w:rsid w:val="00527B2C"/>
    <w:rsid w:val="005362F8"/>
    <w:rsid w:val="00540916"/>
    <w:rsid w:val="00541703"/>
    <w:rsid w:val="00543656"/>
    <w:rsid w:val="005453F9"/>
    <w:rsid w:val="005512DF"/>
    <w:rsid w:val="005577DE"/>
    <w:rsid w:val="0056037E"/>
    <w:rsid w:val="0056234D"/>
    <w:rsid w:val="00563DC3"/>
    <w:rsid w:val="00567DCB"/>
    <w:rsid w:val="00570142"/>
    <w:rsid w:val="00573D92"/>
    <w:rsid w:val="00574189"/>
    <w:rsid w:val="0058009A"/>
    <w:rsid w:val="0058038E"/>
    <w:rsid w:val="00583421"/>
    <w:rsid w:val="00585991"/>
    <w:rsid w:val="00585D93"/>
    <w:rsid w:val="00587D3C"/>
    <w:rsid w:val="00591488"/>
    <w:rsid w:val="00593AAC"/>
    <w:rsid w:val="00594F18"/>
    <w:rsid w:val="00597FC6"/>
    <w:rsid w:val="005A48D5"/>
    <w:rsid w:val="005A4BCA"/>
    <w:rsid w:val="005A7F63"/>
    <w:rsid w:val="005B006D"/>
    <w:rsid w:val="005B1DEB"/>
    <w:rsid w:val="005B2022"/>
    <w:rsid w:val="005B3827"/>
    <w:rsid w:val="005C1542"/>
    <w:rsid w:val="005C2198"/>
    <w:rsid w:val="005C7A1B"/>
    <w:rsid w:val="005D73A6"/>
    <w:rsid w:val="005E6396"/>
    <w:rsid w:val="005E7D5C"/>
    <w:rsid w:val="005F2A94"/>
    <w:rsid w:val="005F553D"/>
    <w:rsid w:val="005F7B32"/>
    <w:rsid w:val="00602863"/>
    <w:rsid w:val="00605E7C"/>
    <w:rsid w:val="00610CCE"/>
    <w:rsid w:val="00613196"/>
    <w:rsid w:val="006165FA"/>
    <w:rsid w:val="0062045E"/>
    <w:rsid w:val="00622B77"/>
    <w:rsid w:val="00625E2F"/>
    <w:rsid w:val="00631343"/>
    <w:rsid w:val="006325E2"/>
    <w:rsid w:val="0063332B"/>
    <w:rsid w:val="006346DF"/>
    <w:rsid w:val="00634C9A"/>
    <w:rsid w:val="006352AD"/>
    <w:rsid w:val="00635FD6"/>
    <w:rsid w:val="006365CF"/>
    <w:rsid w:val="00637B0A"/>
    <w:rsid w:val="00640352"/>
    <w:rsid w:val="00641590"/>
    <w:rsid w:val="006458A4"/>
    <w:rsid w:val="00646766"/>
    <w:rsid w:val="006515D0"/>
    <w:rsid w:val="00655FB6"/>
    <w:rsid w:val="006573DE"/>
    <w:rsid w:val="00661979"/>
    <w:rsid w:val="00663E9C"/>
    <w:rsid w:val="00666DA5"/>
    <w:rsid w:val="006771EA"/>
    <w:rsid w:val="00681685"/>
    <w:rsid w:val="00686E12"/>
    <w:rsid w:val="006905D0"/>
    <w:rsid w:val="00691864"/>
    <w:rsid w:val="00692250"/>
    <w:rsid w:val="006950B0"/>
    <w:rsid w:val="006A30D8"/>
    <w:rsid w:val="006A60D6"/>
    <w:rsid w:val="006B03E8"/>
    <w:rsid w:val="006B1983"/>
    <w:rsid w:val="006B7EA7"/>
    <w:rsid w:val="006C0BF1"/>
    <w:rsid w:val="006C10D4"/>
    <w:rsid w:val="006C7117"/>
    <w:rsid w:val="006D0A9B"/>
    <w:rsid w:val="006D2230"/>
    <w:rsid w:val="006D2773"/>
    <w:rsid w:val="006D2BF4"/>
    <w:rsid w:val="006D6079"/>
    <w:rsid w:val="006D614D"/>
    <w:rsid w:val="006E0C73"/>
    <w:rsid w:val="006E1CA2"/>
    <w:rsid w:val="006E35F4"/>
    <w:rsid w:val="006F1682"/>
    <w:rsid w:val="006F3450"/>
    <w:rsid w:val="006F555A"/>
    <w:rsid w:val="00700A1A"/>
    <w:rsid w:val="00702F00"/>
    <w:rsid w:val="00704A18"/>
    <w:rsid w:val="00716AA1"/>
    <w:rsid w:val="0072004D"/>
    <w:rsid w:val="00723EEE"/>
    <w:rsid w:val="00727660"/>
    <w:rsid w:val="00730CA8"/>
    <w:rsid w:val="0073119B"/>
    <w:rsid w:val="0073193B"/>
    <w:rsid w:val="007371A6"/>
    <w:rsid w:val="007376A6"/>
    <w:rsid w:val="00743CC9"/>
    <w:rsid w:val="007441D1"/>
    <w:rsid w:val="00764180"/>
    <w:rsid w:val="007641CE"/>
    <w:rsid w:val="00764D21"/>
    <w:rsid w:val="007709E6"/>
    <w:rsid w:val="00771285"/>
    <w:rsid w:val="0077675C"/>
    <w:rsid w:val="00777EDB"/>
    <w:rsid w:val="00780524"/>
    <w:rsid w:val="00780990"/>
    <w:rsid w:val="007825DE"/>
    <w:rsid w:val="00782840"/>
    <w:rsid w:val="0078337E"/>
    <w:rsid w:val="007A40DF"/>
    <w:rsid w:val="007A66FA"/>
    <w:rsid w:val="007B2314"/>
    <w:rsid w:val="007B2414"/>
    <w:rsid w:val="007C4EC0"/>
    <w:rsid w:val="007C768D"/>
    <w:rsid w:val="007D20E8"/>
    <w:rsid w:val="007D2863"/>
    <w:rsid w:val="007E2DD2"/>
    <w:rsid w:val="007E609D"/>
    <w:rsid w:val="007F4838"/>
    <w:rsid w:val="008006C8"/>
    <w:rsid w:val="0080431A"/>
    <w:rsid w:val="00811030"/>
    <w:rsid w:val="00816A23"/>
    <w:rsid w:val="00824A19"/>
    <w:rsid w:val="00825595"/>
    <w:rsid w:val="00826B41"/>
    <w:rsid w:val="00831794"/>
    <w:rsid w:val="00832250"/>
    <w:rsid w:val="008322AB"/>
    <w:rsid w:val="00837472"/>
    <w:rsid w:val="00845945"/>
    <w:rsid w:val="00845EF4"/>
    <w:rsid w:val="00846650"/>
    <w:rsid w:val="00851391"/>
    <w:rsid w:val="00851F07"/>
    <w:rsid w:val="0085597E"/>
    <w:rsid w:val="00856DFA"/>
    <w:rsid w:val="00857774"/>
    <w:rsid w:val="008608C5"/>
    <w:rsid w:val="00862FCC"/>
    <w:rsid w:val="008718AA"/>
    <w:rsid w:val="0087547A"/>
    <w:rsid w:val="00875B83"/>
    <w:rsid w:val="008768AF"/>
    <w:rsid w:val="00890570"/>
    <w:rsid w:val="00890A56"/>
    <w:rsid w:val="008910E2"/>
    <w:rsid w:val="00892673"/>
    <w:rsid w:val="008939FA"/>
    <w:rsid w:val="00895106"/>
    <w:rsid w:val="00895F53"/>
    <w:rsid w:val="00897A03"/>
    <w:rsid w:val="008A25FE"/>
    <w:rsid w:val="008B2CB4"/>
    <w:rsid w:val="008B5014"/>
    <w:rsid w:val="008B597C"/>
    <w:rsid w:val="008C5C48"/>
    <w:rsid w:val="008D09F7"/>
    <w:rsid w:val="008D0A79"/>
    <w:rsid w:val="008D7C5B"/>
    <w:rsid w:val="008E4779"/>
    <w:rsid w:val="008E4E26"/>
    <w:rsid w:val="008E7BBB"/>
    <w:rsid w:val="008E7F39"/>
    <w:rsid w:val="008F1301"/>
    <w:rsid w:val="008F79E2"/>
    <w:rsid w:val="00910240"/>
    <w:rsid w:val="0091053A"/>
    <w:rsid w:val="00917637"/>
    <w:rsid w:val="009238F6"/>
    <w:rsid w:val="00932179"/>
    <w:rsid w:val="009327BD"/>
    <w:rsid w:val="00933360"/>
    <w:rsid w:val="009417AF"/>
    <w:rsid w:val="00941B92"/>
    <w:rsid w:val="009513BB"/>
    <w:rsid w:val="0095141F"/>
    <w:rsid w:val="0095427F"/>
    <w:rsid w:val="00956916"/>
    <w:rsid w:val="0096380C"/>
    <w:rsid w:val="0097033D"/>
    <w:rsid w:val="00974622"/>
    <w:rsid w:val="00975A3C"/>
    <w:rsid w:val="0098184D"/>
    <w:rsid w:val="00982DBD"/>
    <w:rsid w:val="00985B9A"/>
    <w:rsid w:val="009901B1"/>
    <w:rsid w:val="009930D1"/>
    <w:rsid w:val="00993125"/>
    <w:rsid w:val="009A0C5D"/>
    <w:rsid w:val="009A6ED3"/>
    <w:rsid w:val="009B0B9F"/>
    <w:rsid w:val="009B2637"/>
    <w:rsid w:val="009B270B"/>
    <w:rsid w:val="009B3C8F"/>
    <w:rsid w:val="009B3D45"/>
    <w:rsid w:val="009B6A6B"/>
    <w:rsid w:val="009B70BE"/>
    <w:rsid w:val="009C3DBD"/>
    <w:rsid w:val="009C4812"/>
    <w:rsid w:val="009C780B"/>
    <w:rsid w:val="009E1054"/>
    <w:rsid w:val="009E265A"/>
    <w:rsid w:val="009E5B7B"/>
    <w:rsid w:val="009F5E52"/>
    <w:rsid w:val="009F7657"/>
    <w:rsid w:val="009F772E"/>
    <w:rsid w:val="00A013A5"/>
    <w:rsid w:val="00A047C4"/>
    <w:rsid w:val="00A04EC5"/>
    <w:rsid w:val="00A20AC3"/>
    <w:rsid w:val="00A2365D"/>
    <w:rsid w:val="00A239BC"/>
    <w:rsid w:val="00A261E5"/>
    <w:rsid w:val="00A36A56"/>
    <w:rsid w:val="00A404F6"/>
    <w:rsid w:val="00A40EBA"/>
    <w:rsid w:val="00A41807"/>
    <w:rsid w:val="00A44ACE"/>
    <w:rsid w:val="00A46C19"/>
    <w:rsid w:val="00A64585"/>
    <w:rsid w:val="00A7013B"/>
    <w:rsid w:val="00A7162A"/>
    <w:rsid w:val="00A744F1"/>
    <w:rsid w:val="00A75B17"/>
    <w:rsid w:val="00A76693"/>
    <w:rsid w:val="00A81B56"/>
    <w:rsid w:val="00A83432"/>
    <w:rsid w:val="00A87D55"/>
    <w:rsid w:val="00A912D7"/>
    <w:rsid w:val="00A91354"/>
    <w:rsid w:val="00A96CEF"/>
    <w:rsid w:val="00AA7610"/>
    <w:rsid w:val="00AB06A2"/>
    <w:rsid w:val="00AB0D9B"/>
    <w:rsid w:val="00AB16FD"/>
    <w:rsid w:val="00AB2642"/>
    <w:rsid w:val="00AB5134"/>
    <w:rsid w:val="00AC1538"/>
    <w:rsid w:val="00AC33B8"/>
    <w:rsid w:val="00AC4C22"/>
    <w:rsid w:val="00AC5FAC"/>
    <w:rsid w:val="00AD0273"/>
    <w:rsid w:val="00AD6E63"/>
    <w:rsid w:val="00AE18DF"/>
    <w:rsid w:val="00AE1DCB"/>
    <w:rsid w:val="00AE3185"/>
    <w:rsid w:val="00AE3FAB"/>
    <w:rsid w:val="00AE6F95"/>
    <w:rsid w:val="00AE7288"/>
    <w:rsid w:val="00AF16A6"/>
    <w:rsid w:val="00B01E28"/>
    <w:rsid w:val="00B040CE"/>
    <w:rsid w:val="00B0435D"/>
    <w:rsid w:val="00B04B2B"/>
    <w:rsid w:val="00B07471"/>
    <w:rsid w:val="00B12ED5"/>
    <w:rsid w:val="00B20FDF"/>
    <w:rsid w:val="00B30B73"/>
    <w:rsid w:val="00B33292"/>
    <w:rsid w:val="00B3353B"/>
    <w:rsid w:val="00B338AC"/>
    <w:rsid w:val="00B41B05"/>
    <w:rsid w:val="00B41B4B"/>
    <w:rsid w:val="00B43592"/>
    <w:rsid w:val="00B4595E"/>
    <w:rsid w:val="00B54274"/>
    <w:rsid w:val="00B556BB"/>
    <w:rsid w:val="00B56AAD"/>
    <w:rsid w:val="00B57E3C"/>
    <w:rsid w:val="00B616E0"/>
    <w:rsid w:val="00B66930"/>
    <w:rsid w:val="00B70D61"/>
    <w:rsid w:val="00B74811"/>
    <w:rsid w:val="00B76B25"/>
    <w:rsid w:val="00B8279E"/>
    <w:rsid w:val="00B8646D"/>
    <w:rsid w:val="00B8742B"/>
    <w:rsid w:val="00B9314A"/>
    <w:rsid w:val="00B93BF9"/>
    <w:rsid w:val="00B94471"/>
    <w:rsid w:val="00B94FE8"/>
    <w:rsid w:val="00B95DB3"/>
    <w:rsid w:val="00BA1687"/>
    <w:rsid w:val="00BA4F78"/>
    <w:rsid w:val="00BA6AF4"/>
    <w:rsid w:val="00BA743E"/>
    <w:rsid w:val="00BB2B48"/>
    <w:rsid w:val="00BC0F76"/>
    <w:rsid w:val="00BC2FCE"/>
    <w:rsid w:val="00BC3D80"/>
    <w:rsid w:val="00BC4CD7"/>
    <w:rsid w:val="00BC63F5"/>
    <w:rsid w:val="00BD0D3A"/>
    <w:rsid w:val="00BD7B2E"/>
    <w:rsid w:val="00BE0B62"/>
    <w:rsid w:val="00BE33A1"/>
    <w:rsid w:val="00BE49D4"/>
    <w:rsid w:val="00BE4BC0"/>
    <w:rsid w:val="00BE71C1"/>
    <w:rsid w:val="00BF0D9F"/>
    <w:rsid w:val="00BF69FD"/>
    <w:rsid w:val="00C007D4"/>
    <w:rsid w:val="00C028EB"/>
    <w:rsid w:val="00C04C5F"/>
    <w:rsid w:val="00C06FBF"/>
    <w:rsid w:val="00C1561B"/>
    <w:rsid w:val="00C20CCE"/>
    <w:rsid w:val="00C23AC2"/>
    <w:rsid w:val="00C24513"/>
    <w:rsid w:val="00C24C03"/>
    <w:rsid w:val="00C314F4"/>
    <w:rsid w:val="00C31502"/>
    <w:rsid w:val="00C31D0B"/>
    <w:rsid w:val="00C33666"/>
    <w:rsid w:val="00C47843"/>
    <w:rsid w:val="00C50CD4"/>
    <w:rsid w:val="00C54B6A"/>
    <w:rsid w:val="00C5549A"/>
    <w:rsid w:val="00C60580"/>
    <w:rsid w:val="00C608C8"/>
    <w:rsid w:val="00C6205D"/>
    <w:rsid w:val="00C636B2"/>
    <w:rsid w:val="00C74842"/>
    <w:rsid w:val="00C7564E"/>
    <w:rsid w:val="00C83ECA"/>
    <w:rsid w:val="00C84B97"/>
    <w:rsid w:val="00C87182"/>
    <w:rsid w:val="00C87DF1"/>
    <w:rsid w:val="00C909E3"/>
    <w:rsid w:val="00C939B2"/>
    <w:rsid w:val="00C95D56"/>
    <w:rsid w:val="00C95FAF"/>
    <w:rsid w:val="00CA03AF"/>
    <w:rsid w:val="00CA5065"/>
    <w:rsid w:val="00CA57EC"/>
    <w:rsid w:val="00CA68FC"/>
    <w:rsid w:val="00CA6D12"/>
    <w:rsid w:val="00CA766F"/>
    <w:rsid w:val="00CA7D33"/>
    <w:rsid w:val="00CB53D2"/>
    <w:rsid w:val="00CB64DE"/>
    <w:rsid w:val="00CB74B3"/>
    <w:rsid w:val="00CC0FA8"/>
    <w:rsid w:val="00CC3ED3"/>
    <w:rsid w:val="00CC4DA7"/>
    <w:rsid w:val="00CC6499"/>
    <w:rsid w:val="00CD1ABD"/>
    <w:rsid w:val="00CD310B"/>
    <w:rsid w:val="00CD3F62"/>
    <w:rsid w:val="00CE03F7"/>
    <w:rsid w:val="00CE7C9A"/>
    <w:rsid w:val="00CE7DCD"/>
    <w:rsid w:val="00CF2689"/>
    <w:rsid w:val="00CF3082"/>
    <w:rsid w:val="00CF388E"/>
    <w:rsid w:val="00CF4588"/>
    <w:rsid w:val="00D028F1"/>
    <w:rsid w:val="00D033DD"/>
    <w:rsid w:val="00D112F4"/>
    <w:rsid w:val="00D1352F"/>
    <w:rsid w:val="00D13C32"/>
    <w:rsid w:val="00D1421C"/>
    <w:rsid w:val="00D22CE0"/>
    <w:rsid w:val="00D22ED5"/>
    <w:rsid w:val="00D22FDE"/>
    <w:rsid w:val="00D230A4"/>
    <w:rsid w:val="00D2648D"/>
    <w:rsid w:val="00D333C6"/>
    <w:rsid w:val="00D34B4D"/>
    <w:rsid w:val="00D37DC1"/>
    <w:rsid w:val="00D51808"/>
    <w:rsid w:val="00D5260F"/>
    <w:rsid w:val="00D552EB"/>
    <w:rsid w:val="00D71266"/>
    <w:rsid w:val="00D73166"/>
    <w:rsid w:val="00D92765"/>
    <w:rsid w:val="00D95E2A"/>
    <w:rsid w:val="00D974D5"/>
    <w:rsid w:val="00DA1129"/>
    <w:rsid w:val="00DA6ECC"/>
    <w:rsid w:val="00DA7E76"/>
    <w:rsid w:val="00DB05AE"/>
    <w:rsid w:val="00DB4EC3"/>
    <w:rsid w:val="00DC13C4"/>
    <w:rsid w:val="00DC1A69"/>
    <w:rsid w:val="00DC6618"/>
    <w:rsid w:val="00DC798C"/>
    <w:rsid w:val="00DD0D26"/>
    <w:rsid w:val="00DE588F"/>
    <w:rsid w:val="00DE72B4"/>
    <w:rsid w:val="00E0323E"/>
    <w:rsid w:val="00E0526B"/>
    <w:rsid w:val="00E06E5C"/>
    <w:rsid w:val="00E07316"/>
    <w:rsid w:val="00E07F1E"/>
    <w:rsid w:val="00E10234"/>
    <w:rsid w:val="00E21467"/>
    <w:rsid w:val="00E21B5B"/>
    <w:rsid w:val="00E22190"/>
    <w:rsid w:val="00E232FD"/>
    <w:rsid w:val="00E235AD"/>
    <w:rsid w:val="00E306AA"/>
    <w:rsid w:val="00E37A9C"/>
    <w:rsid w:val="00E37F5A"/>
    <w:rsid w:val="00E44017"/>
    <w:rsid w:val="00E53EF4"/>
    <w:rsid w:val="00E55B9D"/>
    <w:rsid w:val="00E606CB"/>
    <w:rsid w:val="00E64E77"/>
    <w:rsid w:val="00E66C82"/>
    <w:rsid w:val="00E72613"/>
    <w:rsid w:val="00E80255"/>
    <w:rsid w:val="00E81324"/>
    <w:rsid w:val="00E81694"/>
    <w:rsid w:val="00E83D63"/>
    <w:rsid w:val="00E90DC7"/>
    <w:rsid w:val="00E94019"/>
    <w:rsid w:val="00E96484"/>
    <w:rsid w:val="00EA2CFD"/>
    <w:rsid w:val="00EA7769"/>
    <w:rsid w:val="00EB0F42"/>
    <w:rsid w:val="00EB18FE"/>
    <w:rsid w:val="00EB42E7"/>
    <w:rsid w:val="00EB462C"/>
    <w:rsid w:val="00EB4978"/>
    <w:rsid w:val="00EB7FF2"/>
    <w:rsid w:val="00EC363C"/>
    <w:rsid w:val="00ED4752"/>
    <w:rsid w:val="00EE2945"/>
    <w:rsid w:val="00EE68C0"/>
    <w:rsid w:val="00F1066D"/>
    <w:rsid w:val="00F13EAA"/>
    <w:rsid w:val="00F14AEE"/>
    <w:rsid w:val="00F150D3"/>
    <w:rsid w:val="00F207FB"/>
    <w:rsid w:val="00F20A68"/>
    <w:rsid w:val="00F27ABF"/>
    <w:rsid w:val="00F32603"/>
    <w:rsid w:val="00F341F7"/>
    <w:rsid w:val="00F34220"/>
    <w:rsid w:val="00F35694"/>
    <w:rsid w:val="00F55092"/>
    <w:rsid w:val="00F560A9"/>
    <w:rsid w:val="00F57A63"/>
    <w:rsid w:val="00F60C09"/>
    <w:rsid w:val="00F6213D"/>
    <w:rsid w:val="00F65869"/>
    <w:rsid w:val="00F72DD0"/>
    <w:rsid w:val="00F7423F"/>
    <w:rsid w:val="00F747BB"/>
    <w:rsid w:val="00F824BE"/>
    <w:rsid w:val="00F95E4C"/>
    <w:rsid w:val="00F96DA1"/>
    <w:rsid w:val="00FB02DD"/>
    <w:rsid w:val="00FB4576"/>
    <w:rsid w:val="00FC3EDF"/>
    <w:rsid w:val="00FC5B87"/>
    <w:rsid w:val="00FC681A"/>
    <w:rsid w:val="00FE0217"/>
    <w:rsid w:val="00FE0E8F"/>
    <w:rsid w:val="00FE3524"/>
    <w:rsid w:val="00FE52B1"/>
    <w:rsid w:val="00FE6CA0"/>
    <w:rsid w:val="00FE6DE5"/>
    <w:rsid w:val="00FF06D7"/>
    <w:rsid w:val="00FF2E0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7E9BC81"/>
  <w15:docId w15:val="{45B7332B-ECE0-46A5-9505-D530F69B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75C"/>
    <w:rPr>
      <w:lang w:val="es-MX"/>
    </w:rPr>
  </w:style>
  <w:style w:type="paragraph" w:styleId="Ttulo1">
    <w:name w:val="heading 1"/>
    <w:basedOn w:val="Normal"/>
    <w:next w:val="Normal"/>
    <w:link w:val="Ttulo1Car"/>
    <w:uiPriority w:val="9"/>
    <w:qFormat/>
    <w:rsid w:val="008466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8466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51391"/>
    <w:pPr>
      <w:spacing w:before="100" w:beforeAutospacing="1" w:after="100" w:afterAutospacing="1"/>
    </w:pPr>
    <w:rPr>
      <w:rFonts w:ascii="Tahoma" w:eastAsia="Times New Roman" w:hAnsi="Tahoma" w:cs="Tahoma"/>
      <w:color w:val="000000"/>
    </w:rPr>
  </w:style>
  <w:style w:type="paragraph" w:styleId="Prrafodelista">
    <w:name w:val="List Paragraph"/>
    <w:basedOn w:val="Normal"/>
    <w:link w:val="PrrafodelistaCar"/>
    <w:uiPriority w:val="34"/>
    <w:qFormat/>
    <w:rsid w:val="001646A2"/>
    <w:pPr>
      <w:ind w:left="720"/>
      <w:contextualSpacing/>
    </w:pPr>
  </w:style>
  <w:style w:type="paragraph" w:styleId="Encabezado">
    <w:name w:val="header"/>
    <w:basedOn w:val="Normal"/>
    <w:link w:val="EncabezadoCar"/>
    <w:uiPriority w:val="99"/>
    <w:unhideWhenUsed/>
    <w:rsid w:val="00F60C09"/>
    <w:pPr>
      <w:tabs>
        <w:tab w:val="center" w:pos="4680"/>
        <w:tab w:val="right" w:pos="9360"/>
      </w:tabs>
      <w:spacing w:after="0"/>
    </w:pPr>
  </w:style>
  <w:style w:type="character" w:customStyle="1" w:styleId="EncabezadoCar">
    <w:name w:val="Encabezado Car"/>
    <w:basedOn w:val="Fuentedeprrafopredeter"/>
    <w:link w:val="Encabezado"/>
    <w:uiPriority w:val="99"/>
    <w:rsid w:val="00F60C09"/>
  </w:style>
  <w:style w:type="paragraph" w:styleId="Piedepgina">
    <w:name w:val="footer"/>
    <w:basedOn w:val="Normal"/>
    <w:link w:val="PiedepginaCar"/>
    <w:uiPriority w:val="99"/>
    <w:unhideWhenUsed/>
    <w:rsid w:val="00F60C09"/>
    <w:pPr>
      <w:tabs>
        <w:tab w:val="center" w:pos="4680"/>
        <w:tab w:val="right" w:pos="9360"/>
      </w:tabs>
      <w:spacing w:after="0"/>
    </w:pPr>
  </w:style>
  <w:style w:type="character" w:customStyle="1" w:styleId="PiedepginaCar">
    <w:name w:val="Pie de página Car"/>
    <w:basedOn w:val="Fuentedeprrafopredeter"/>
    <w:link w:val="Piedepgina"/>
    <w:uiPriority w:val="99"/>
    <w:rsid w:val="00F60C09"/>
  </w:style>
  <w:style w:type="paragraph" w:styleId="Textodeglobo">
    <w:name w:val="Balloon Text"/>
    <w:basedOn w:val="Normal"/>
    <w:link w:val="TextodegloboCar"/>
    <w:uiPriority w:val="99"/>
    <w:semiHidden/>
    <w:unhideWhenUsed/>
    <w:rsid w:val="00C7484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4842"/>
    <w:rPr>
      <w:rFonts w:ascii="Segoe UI" w:hAnsi="Segoe UI" w:cs="Segoe UI"/>
      <w:sz w:val="18"/>
      <w:szCs w:val="18"/>
    </w:rPr>
  </w:style>
  <w:style w:type="character" w:customStyle="1" w:styleId="Ttulo1Car">
    <w:name w:val="Título 1 Car"/>
    <w:basedOn w:val="Fuentedeprrafopredeter"/>
    <w:link w:val="Ttulo1"/>
    <w:uiPriority w:val="9"/>
    <w:rsid w:val="00846650"/>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846650"/>
    <w:rPr>
      <w:rFonts w:asciiTheme="majorHAnsi" w:eastAsiaTheme="majorEastAsia" w:hAnsiTheme="majorHAnsi" w:cstheme="majorBidi"/>
      <w:color w:val="365F91" w:themeColor="accent1" w:themeShade="BF"/>
      <w:sz w:val="26"/>
      <w:szCs w:val="26"/>
    </w:rPr>
  </w:style>
  <w:style w:type="table" w:styleId="Tablaconcuadrcula">
    <w:name w:val="Table Grid"/>
    <w:basedOn w:val="Tablanormal"/>
    <w:uiPriority w:val="59"/>
    <w:rsid w:val="005C7A1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028EB"/>
    <w:rPr>
      <w:sz w:val="16"/>
      <w:szCs w:val="16"/>
    </w:rPr>
  </w:style>
  <w:style w:type="paragraph" w:styleId="Textocomentario">
    <w:name w:val="annotation text"/>
    <w:basedOn w:val="Normal"/>
    <w:link w:val="TextocomentarioCar"/>
    <w:uiPriority w:val="99"/>
    <w:unhideWhenUsed/>
    <w:rsid w:val="00C028EB"/>
    <w:rPr>
      <w:sz w:val="20"/>
      <w:szCs w:val="20"/>
    </w:rPr>
  </w:style>
  <w:style w:type="character" w:customStyle="1" w:styleId="TextocomentarioCar">
    <w:name w:val="Texto comentario Car"/>
    <w:basedOn w:val="Fuentedeprrafopredeter"/>
    <w:link w:val="Textocomentario"/>
    <w:uiPriority w:val="99"/>
    <w:rsid w:val="00C028EB"/>
    <w:rPr>
      <w:sz w:val="20"/>
      <w:szCs w:val="20"/>
    </w:rPr>
  </w:style>
  <w:style w:type="paragraph" w:styleId="Asuntodelcomentario">
    <w:name w:val="annotation subject"/>
    <w:basedOn w:val="Textocomentario"/>
    <w:next w:val="Textocomentario"/>
    <w:link w:val="AsuntodelcomentarioCar"/>
    <w:uiPriority w:val="99"/>
    <w:semiHidden/>
    <w:unhideWhenUsed/>
    <w:rsid w:val="00C028EB"/>
    <w:rPr>
      <w:b/>
      <w:bCs/>
    </w:rPr>
  </w:style>
  <w:style w:type="character" w:customStyle="1" w:styleId="AsuntodelcomentarioCar">
    <w:name w:val="Asunto del comentario Car"/>
    <w:basedOn w:val="TextocomentarioCar"/>
    <w:link w:val="Asuntodelcomentario"/>
    <w:uiPriority w:val="99"/>
    <w:semiHidden/>
    <w:rsid w:val="00C028EB"/>
    <w:rPr>
      <w:b/>
      <w:bCs/>
      <w:sz w:val="20"/>
      <w:szCs w:val="20"/>
    </w:rPr>
  </w:style>
  <w:style w:type="character" w:styleId="Hipervnculo">
    <w:name w:val="Hyperlink"/>
    <w:basedOn w:val="Fuentedeprrafopredeter"/>
    <w:uiPriority w:val="99"/>
    <w:unhideWhenUsed/>
    <w:rsid w:val="00CF388E"/>
    <w:rPr>
      <w:color w:val="0000FF" w:themeColor="hyperlink"/>
      <w:u w:val="single"/>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
    <w:basedOn w:val="Normal"/>
    <w:link w:val="TextonotapieCar"/>
    <w:uiPriority w:val="99"/>
    <w:unhideWhenUsed/>
    <w:qFormat/>
    <w:rsid w:val="00CF388E"/>
    <w:pPr>
      <w:spacing w:after="0"/>
    </w:pPr>
    <w:rPr>
      <w:rFonts w:eastAsiaTheme="minorHAnsi"/>
      <w:sz w:val="20"/>
      <w:szCs w:val="20"/>
      <w:lang w:val="en-US"/>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CF388E"/>
    <w:rPr>
      <w:rFonts w:eastAsiaTheme="minorHAnsi"/>
      <w:sz w:val="20"/>
      <w:szCs w:val="20"/>
    </w:rPr>
  </w:style>
  <w:style w:type="character" w:styleId="Refdenotaalpie">
    <w:name w:val="footnote reference"/>
    <w:aliases w:val="Appel note de bas de p,Footnote symbol,Footnote,fr,o,Appel note de bas de p + 11 pt,Italic,Nota,Voetnootverwijzing,(NECG) Footnote Reference,Style 12,Style 124,Ref,de nota al pie,Style 13,Style 3,Style 17,FR,Footnote Reference/"/>
    <w:basedOn w:val="Fuentedeprrafopredeter"/>
    <w:uiPriority w:val="99"/>
    <w:unhideWhenUsed/>
    <w:qFormat/>
    <w:rsid w:val="00CF388E"/>
    <w:rPr>
      <w:vertAlign w:val="superscript"/>
    </w:rPr>
  </w:style>
  <w:style w:type="paragraph" w:styleId="Textosinformato">
    <w:name w:val="Plain Text"/>
    <w:basedOn w:val="Normal"/>
    <w:link w:val="TextosinformatoCar"/>
    <w:uiPriority w:val="99"/>
    <w:unhideWhenUsed/>
    <w:rsid w:val="00ED4752"/>
    <w:pPr>
      <w:spacing w:after="0"/>
    </w:pPr>
    <w:rPr>
      <w:rFonts w:ascii="Calibri" w:eastAsiaTheme="minorHAnsi" w:hAnsi="Calibri"/>
      <w:sz w:val="22"/>
      <w:szCs w:val="21"/>
    </w:rPr>
  </w:style>
  <w:style w:type="character" w:customStyle="1" w:styleId="TextosinformatoCar">
    <w:name w:val="Texto sin formato Car"/>
    <w:basedOn w:val="Fuentedeprrafopredeter"/>
    <w:link w:val="Textosinformato"/>
    <w:uiPriority w:val="99"/>
    <w:rsid w:val="00ED4752"/>
    <w:rPr>
      <w:rFonts w:ascii="Calibri" w:eastAsiaTheme="minorHAnsi" w:hAnsi="Calibri"/>
      <w:sz w:val="22"/>
      <w:szCs w:val="21"/>
      <w:lang w:val="es-MX"/>
    </w:rPr>
  </w:style>
  <w:style w:type="character" w:customStyle="1" w:styleId="page-title-inner1">
    <w:name w:val="page-title-inner1"/>
    <w:basedOn w:val="Fuentedeprrafopredeter"/>
    <w:rsid w:val="009F5E52"/>
    <w:rPr>
      <w:vanish w:val="0"/>
      <w:webHidden w:val="0"/>
      <w:specVanish w:val="0"/>
    </w:rPr>
  </w:style>
  <w:style w:type="character" w:styleId="Hipervnculovisitado">
    <w:name w:val="FollowedHyperlink"/>
    <w:basedOn w:val="Fuentedeprrafopredeter"/>
    <w:uiPriority w:val="99"/>
    <w:semiHidden/>
    <w:unhideWhenUsed/>
    <w:rsid w:val="00474D85"/>
    <w:rPr>
      <w:color w:val="800080" w:themeColor="followedHyperlink"/>
      <w:u w:val="single"/>
    </w:rPr>
  </w:style>
  <w:style w:type="character" w:customStyle="1" w:styleId="Mencinsinresolver1">
    <w:name w:val="Mención sin resolver1"/>
    <w:basedOn w:val="Fuentedeprrafopredeter"/>
    <w:uiPriority w:val="99"/>
    <w:semiHidden/>
    <w:unhideWhenUsed/>
    <w:rsid w:val="00C5549A"/>
    <w:rPr>
      <w:color w:val="605E5C"/>
      <w:shd w:val="clear" w:color="auto" w:fill="E1DFDD"/>
    </w:rPr>
  </w:style>
  <w:style w:type="paragraph" w:customStyle="1" w:styleId="Texto">
    <w:name w:val="Texto"/>
    <w:basedOn w:val="Normal"/>
    <w:rsid w:val="008006C8"/>
    <w:pPr>
      <w:spacing w:after="101" w:line="216" w:lineRule="exact"/>
      <w:ind w:firstLine="288"/>
      <w:jc w:val="both"/>
    </w:pPr>
    <w:rPr>
      <w:rFonts w:ascii="Arial" w:eastAsia="Times New Roman" w:hAnsi="Arial" w:cs="Arial"/>
      <w:sz w:val="18"/>
      <w:szCs w:val="18"/>
      <w:lang w:eastAsia="es-ES"/>
    </w:rPr>
  </w:style>
  <w:style w:type="character" w:customStyle="1" w:styleId="PrrafodelistaCar">
    <w:name w:val="Párrafo de lista Car"/>
    <w:link w:val="Prrafodelista"/>
    <w:uiPriority w:val="34"/>
    <w:locked/>
    <w:rsid w:val="00D1421C"/>
    <w:rPr>
      <w:lang w:val="es-MX"/>
    </w:rPr>
  </w:style>
  <w:style w:type="paragraph" w:styleId="Revisin">
    <w:name w:val="Revision"/>
    <w:hidden/>
    <w:uiPriority w:val="99"/>
    <w:semiHidden/>
    <w:rsid w:val="006D2230"/>
    <w:pPr>
      <w:spacing w:after="0"/>
    </w:pPr>
    <w:rPr>
      <w:lang w:val="es-MX"/>
    </w:rPr>
  </w:style>
  <w:style w:type="paragraph" w:customStyle="1" w:styleId="Default">
    <w:name w:val="Default"/>
    <w:rsid w:val="001425BB"/>
    <w:pPr>
      <w:autoSpaceDE w:val="0"/>
      <w:autoSpaceDN w:val="0"/>
      <w:adjustRightInd w:val="0"/>
      <w:spacing w:after="0"/>
    </w:pPr>
    <w:rPr>
      <w:rFonts w:ascii="Arial" w:hAnsi="Arial" w:cs="Arial"/>
      <w:color w:val="000000"/>
      <w:lang w:val="es-MX"/>
    </w:rPr>
  </w:style>
  <w:style w:type="character" w:customStyle="1" w:styleId="Mencinsinresolver2">
    <w:name w:val="Mención sin resolver2"/>
    <w:basedOn w:val="Fuentedeprrafopredeter"/>
    <w:uiPriority w:val="99"/>
    <w:semiHidden/>
    <w:unhideWhenUsed/>
    <w:rsid w:val="00D22FDE"/>
    <w:rPr>
      <w:color w:val="605E5C"/>
      <w:shd w:val="clear" w:color="auto" w:fill="E1DFDD"/>
    </w:rPr>
  </w:style>
  <w:style w:type="paragraph" w:styleId="TtuloTDC">
    <w:name w:val="TOC Heading"/>
    <w:basedOn w:val="Ttulo1"/>
    <w:next w:val="Normal"/>
    <w:uiPriority w:val="39"/>
    <w:unhideWhenUsed/>
    <w:qFormat/>
    <w:rsid w:val="00EB462C"/>
    <w:pPr>
      <w:spacing w:line="259" w:lineRule="auto"/>
      <w:outlineLvl w:val="9"/>
    </w:pPr>
    <w:rPr>
      <w:lang w:eastAsia="es-MX"/>
    </w:rPr>
  </w:style>
  <w:style w:type="paragraph" w:styleId="TDC1">
    <w:name w:val="toc 1"/>
    <w:basedOn w:val="Normal"/>
    <w:next w:val="Normal"/>
    <w:autoRedefine/>
    <w:uiPriority w:val="39"/>
    <w:unhideWhenUsed/>
    <w:rsid w:val="00EB462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5520">
      <w:bodyDiv w:val="1"/>
      <w:marLeft w:val="0"/>
      <w:marRight w:val="0"/>
      <w:marTop w:val="0"/>
      <w:marBottom w:val="0"/>
      <w:divBdr>
        <w:top w:val="none" w:sz="0" w:space="0" w:color="auto"/>
        <w:left w:val="none" w:sz="0" w:space="0" w:color="auto"/>
        <w:bottom w:val="none" w:sz="0" w:space="0" w:color="auto"/>
        <w:right w:val="none" w:sz="0" w:space="0" w:color="auto"/>
      </w:divBdr>
    </w:div>
    <w:div w:id="195509090">
      <w:bodyDiv w:val="1"/>
      <w:marLeft w:val="0"/>
      <w:marRight w:val="0"/>
      <w:marTop w:val="0"/>
      <w:marBottom w:val="0"/>
      <w:divBdr>
        <w:top w:val="none" w:sz="0" w:space="0" w:color="auto"/>
        <w:left w:val="none" w:sz="0" w:space="0" w:color="auto"/>
        <w:bottom w:val="none" w:sz="0" w:space="0" w:color="auto"/>
        <w:right w:val="none" w:sz="0" w:space="0" w:color="auto"/>
      </w:divBdr>
    </w:div>
    <w:div w:id="214850298">
      <w:bodyDiv w:val="1"/>
      <w:marLeft w:val="0"/>
      <w:marRight w:val="0"/>
      <w:marTop w:val="0"/>
      <w:marBottom w:val="0"/>
      <w:divBdr>
        <w:top w:val="none" w:sz="0" w:space="0" w:color="auto"/>
        <w:left w:val="none" w:sz="0" w:space="0" w:color="auto"/>
        <w:bottom w:val="none" w:sz="0" w:space="0" w:color="auto"/>
        <w:right w:val="none" w:sz="0" w:space="0" w:color="auto"/>
      </w:divBdr>
    </w:div>
    <w:div w:id="292490994">
      <w:bodyDiv w:val="1"/>
      <w:marLeft w:val="0"/>
      <w:marRight w:val="0"/>
      <w:marTop w:val="0"/>
      <w:marBottom w:val="0"/>
      <w:divBdr>
        <w:top w:val="none" w:sz="0" w:space="0" w:color="auto"/>
        <w:left w:val="none" w:sz="0" w:space="0" w:color="auto"/>
        <w:bottom w:val="none" w:sz="0" w:space="0" w:color="auto"/>
        <w:right w:val="none" w:sz="0" w:space="0" w:color="auto"/>
      </w:divBdr>
    </w:div>
    <w:div w:id="336352653">
      <w:bodyDiv w:val="1"/>
      <w:marLeft w:val="0"/>
      <w:marRight w:val="0"/>
      <w:marTop w:val="0"/>
      <w:marBottom w:val="0"/>
      <w:divBdr>
        <w:top w:val="none" w:sz="0" w:space="0" w:color="auto"/>
        <w:left w:val="none" w:sz="0" w:space="0" w:color="auto"/>
        <w:bottom w:val="none" w:sz="0" w:space="0" w:color="auto"/>
        <w:right w:val="none" w:sz="0" w:space="0" w:color="auto"/>
      </w:divBdr>
    </w:div>
    <w:div w:id="373118148">
      <w:bodyDiv w:val="1"/>
      <w:marLeft w:val="0"/>
      <w:marRight w:val="0"/>
      <w:marTop w:val="0"/>
      <w:marBottom w:val="0"/>
      <w:divBdr>
        <w:top w:val="none" w:sz="0" w:space="0" w:color="auto"/>
        <w:left w:val="none" w:sz="0" w:space="0" w:color="auto"/>
        <w:bottom w:val="none" w:sz="0" w:space="0" w:color="auto"/>
        <w:right w:val="none" w:sz="0" w:space="0" w:color="auto"/>
      </w:divBdr>
    </w:div>
    <w:div w:id="378238490">
      <w:bodyDiv w:val="1"/>
      <w:marLeft w:val="0"/>
      <w:marRight w:val="0"/>
      <w:marTop w:val="0"/>
      <w:marBottom w:val="0"/>
      <w:divBdr>
        <w:top w:val="none" w:sz="0" w:space="0" w:color="auto"/>
        <w:left w:val="none" w:sz="0" w:space="0" w:color="auto"/>
        <w:bottom w:val="none" w:sz="0" w:space="0" w:color="auto"/>
        <w:right w:val="none" w:sz="0" w:space="0" w:color="auto"/>
      </w:divBdr>
    </w:div>
    <w:div w:id="380710296">
      <w:bodyDiv w:val="1"/>
      <w:marLeft w:val="0"/>
      <w:marRight w:val="0"/>
      <w:marTop w:val="0"/>
      <w:marBottom w:val="0"/>
      <w:divBdr>
        <w:top w:val="none" w:sz="0" w:space="0" w:color="auto"/>
        <w:left w:val="none" w:sz="0" w:space="0" w:color="auto"/>
        <w:bottom w:val="none" w:sz="0" w:space="0" w:color="auto"/>
        <w:right w:val="none" w:sz="0" w:space="0" w:color="auto"/>
      </w:divBdr>
    </w:div>
    <w:div w:id="407046434">
      <w:bodyDiv w:val="1"/>
      <w:marLeft w:val="0"/>
      <w:marRight w:val="0"/>
      <w:marTop w:val="0"/>
      <w:marBottom w:val="0"/>
      <w:divBdr>
        <w:top w:val="none" w:sz="0" w:space="0" w:color="auto"/>
        <w:left w:val="none" w:sz="0" w:space="0" w:color="auto"/>
        <w:bottom w:val="none" w:sz="0" w:space="0" w:color="auto"/>
        <w:right w:val="none" w:sz="0" w:space="0" w:color="auto"/>
      </w:divBdr>
    </w:div>
    <w:div w:id="504057349">
      <w:bodyDiv w:val="1"/>
      <w:marLeft w:val="0"/>
      <w:marRight w:val="0"/>
      <w:marTop w:val="0"/>
      <w:marBottom w:val="0"/>
      <w:divBdr>
        <w:top w:val="none" w:sz="0" w:space="0" w:color="auto"/>
        <w:left w:val="none" w:sz="0" w:space="0" w:color="auto"/>
        <w:bottom w:val="none" w:sz="0" w:space="0" w:color="auto"/>
        <w:right w:val="none" w:sz="0" w:space="0" w:color="auto"/>
      </w:divBdr>
      <w:divsChild>
        <w:div w:id="846165998">
          <w:marLeft w:val="0"/>
          <w:marRight w:val="0"/>
          <w:marTop w:val="240"/>
          <w:marBottom w:val="0"/>
          <w:divBdr>
            <w:top w:val="none" w:sz="0" w:space="0" w:color="auto"/>
            <w:left w:val="none" w:sz="0" w:space="0" w:color="auto"/>
            <w:bottom w:val="none" w:sz="0" w:space="0" w:color="auto"/>
            <w:right w:val="none" w:sz="0" w:space="0" w:color="auto"/>
          </w:divBdr>
          <w:divsChild>
            <w:div w:id="427695748">
              <w:marLeft w:val="0"/>
              <w:marRight w:val="0"/>
              <w:marTop w:val="0"/>
              <w:marBottom w:val="0"/>
              <w:divBdr>
                <w:top w:val="none" w:sz="0" w:space="0" w:color="auto"/>
                <w:left w:val="none" w:sz="0" w:space="0" w:color="auto"/>
                <w:bottom w:val="none" w:sz="0" w:space="0" w:color="auto"/>
                <w:right w:val="none" w:sz="0" w:space="0" w:color="auto"/>
              </w:divBdr>
              <w:divsChild>
                <w:div w:id="1585339509">
                  <w:marLeft w:val="0"/>
                  <w:marRight w:val="0"/>
                  <w:marTop w:val="0"/>
                  <w:marBottom w:val="0"/>
                  <w:divBdr>
                    <w:top w:val="none" w:sz="0" w:space="0" w:color="auto"/>
                    <w:left w:val="none" w:sz="0" w:space="0" w:color="auto"/>
                    <w:bottom w:val="none" w:sz="0" w:space="0" w:color="auto"/>
                    <w:right w:val="none" w:sz="0" w:space="0" w:color="auto"/>
                  </w:divBdr>
                  <w:divsChild>
                    <w:div w:id="595285779">
                      <w:marLeft w:val="72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650183706">
      <w:bodyDiv w:val="1"/>
      <w:marLeft w:val="0"/>
      <w:marRight w:val="0"/>
      <w:marTop w:val="0"/>
      <w:marBottom w:val="0"/>
      <w:divBdr>
        <w:top w:val="none" w:sz="0" w:space="0" w:color="auto"/>
        <w:left w:val="none" w:sz="0" w:space="0" w:color="auto"/>
        <w:bottom w:val="none" w:sz="0" w:space="0" w:color="auto"/>
        <w:right w:val="none" w:sz="0" w:space="0" w:color="auto"/>
      </w:divBdr>
      <w:divsChild>
        <w:div w:id="1940721154">
          <w:marLeft w:val="0"/>
          <w:marRight w:val="0"/>
          <w:marTop w:val="0"/>
          <w:marBottom w:val="0"/>
          <w:divBdr>
            <w:top w:val="none" w:sz="0" w:space="0" w:color="auto"/>
            <w:left w:val="none" w:sz="0" w:space="0" w:color="auto"/>
            <w:bottom w:val="none" w:sz="0" w:space="0" w:color="auto"/>
            <w:right w:val="none" w:sz="0" w:space="0" w:color="auto"/>
          </w:divBdr>
          <w:divsChild>
            <w:div w:id="176584137">
              <w:marLeft w:val="0"/>
              <w:marRight w:val="0"/>
              <w:marTop w:val="0"/>
              <w:marBottom w:val="0"/>
              <w:divBdr>
                <w:top w:val="none" w:sz="0" w:space="0" w:color="auto"/>
                <w:left w:val="none" w:sz="0" w:space="0" w:color="auto"/>
                <w:bottom w:val="none" w:sz="0" w:space="0" w:color="auto"/>
                <w:right w:val="none" w:sz="0" w:space="0" w:color="auto"/>
              </w:divBdr>
            </w:div>
            <w:div w:id="959067069">
              <w:marLeft w:val="0"/>
              <w:marRight w:val="0"/>
              <w:marTop w:val="0"/>
              <w:marBottom w:val="0"/>
              <w:divBdr>
                <w:top w:val="none" w:sz="0" w:space="0" w:color="auto"/>
                <w:left w:val="none" w:sz="0" w:space="0" w:color="auto"/>
                <w:bottom w:val="none" w:sz="0" w:space="0" w:color="auto"/>
                <w:right w:val="none" w:sz="0" w:space="0" w:color="auto"/>
              </w:divBdr>
            </w:div>
            <w:div w:id="1391224536">
              <w:marLeft w:val="0"/>
              <w:marRight w:val="0"/>
              <w:marTop w:val="0"/>
              <w:marBottom w:val="0"/>
              <w:divBdr>
                <w:top w:val="none" w:sz="0" w:space="0" w:color="auto"/>
                <w:left w:val="none" w:sz="0" w:space="0" w:color="auto"/>
                <w:bottom w:val="none" w:sz="0" w:space="0" w:color="auto"/>
                <w:right w:val="none" w:sz="0" w:space="0" w:color="auto"/>
              </w:divBdr>
            </w:div>
            <w:div w:id="1512527801">
              <w:marLeft w:val="0"/>
              <w:marRight w:val="0"/>
              <w:marTop w:val="0"/>
              <w:marBottom w:val="0"/>
              <w:divBdr>
                <w:top w:val="none" w:sz="0" w:space="0" w:color="auto"/>
                <w:left w:val="none" w:sz="0" w:space="0" w:color="auto"/>
                <w:bottom w:val="none" w:sz="0" w:space="0" w:color="auto"/>
                <w:right w:val="none" w:sz="0" w:space="0" w:color="auto"/>
              </w:divBdr>
              <w:divsChild>
                <w:div w:id="198468297">
                  <w:marLeft w:val="0"/>
                  <w:marRight w:val="0"/>
                  <w:marTop w:val="0"/>
                  <w:marBottom w:val="0"/>
                  <w:divBdr>
                    <w:top w:val="none" w:sz="0" w:space="0" w:color="auto"/>
                    <w:left w:val="none" w:sz="0" w:space="0" w:color="auto"/>
                    <w:bottom w:val="none" w:sz="0" w:space="0" w:color="auto"/>
                    <w:right w:val="none" w:sz="0" w:space="0" w:color="auto"/>
                  </w:divBdr>
                </w:div>
                <w:div w:id="2045447219">
                  <w:marLeft w:val="0"/>
                  <w:marRight w:val="0"/>
                  <w:marTop w:val="0"/>
                  <w:marBottom w:val="0"/>
                  <w:divBdr>
                    <w:top w:val="none" w:sz="0" w:space="0" w:color="auto"/>
                    <w:left w:val="none" w:sz="0" w:space="0" w:color="auto"/>
                    <w:bottom w:val="none" w:sz="0" w:space="0" w:color="auto"/>
                    <w:right w:val="none" w:sz="0" w:space="0" w:color="auto"/>
                  </w:divBdr>
                </w:div>
              </w:divsChild>
            </w:div>
            <w:div w:id="1760637869">
              <w:marLeft w:val="0"/>
              <w:marRight w:val="0"/>
              <w:marTop w:val="0"/>
              <w:marBottom w:val="0"/>
              <w:divBdr>
                <w:top w:val="none" w:sz="0" w:space="0" w:color="auto"/>
                <w:left w:val="none" w:sz="0" w:space="0" w:color="auto"/>
                <w:bottom w:val="none" w:sz="0" w:space="0" w:color="auto"/>
                <w:right w:val="none" w:sz="0" w:space="0" w:color="auto"/>
              </w:divBdr>
            </w:div>
            <w:div w:id="1829202475">
              <w:marLeft w:val="0"/>
              <w:marRight w:val="0"/>
              <w:marTop w:val="0"/>
              <w:marBottom w:val="0"/>
              <w:divBdr>
                <w:top w:val="none" w:sz="0" w:space="0" w:color="auto"/>
                <w:left w:val="none" w:sz="0" w:space="0" w:color="auto"/>
                <w:bottom w:val="none" w:sz="0" w:space="0" w:color="auto"/>
                <w:right w:val="none" w:sz="0" w:space="0" w:color="auto"/>
              </w:divBdr>
            </w:div>
            <w:div w:id="2005475296">
              <w:marLeft w:val="0"/>
              <w:marRight w:val="0"/>
              <w:marTop w:val="0"/>
              <w:marBottom w:val="0"/>
              <w:divBdr>
                <w:top w:val="none" w:sz="0" w:space="0" w:color="auto"/>
                <w:left w:val="none" w:sz="0" w:space="0" w:color="auto"/>
                <w:bottom w:val="none" w:sz="0" w:space="0" w:color="auto"/>
                <w:right w:val="none" w:sz="0" w:space="0" w:color="auto"/>
              </w:divBdr>
            </w:div>
            <w:div w:id="2033535691">
              <w:marLeft w:val="0"/>
              <w:marRight w:val="0"/>
              <w:marTop w:val="0"/>
              <w:marBottom w:val="0"/>
              <w:divBdr>
                <w:top w:val="none" w:sz="0" w:space="0" w:color="auto"/>
                <w:left w:val="none" w:sz="0" w:space="0" w:color="auto"/>
                <w:bottom w:val="none" w:sz="0" w:space="0" w:color="auto"/>
                <w:right w:val="none" w:sz="0" w:space="0" w:color="auto"/>
              </w:divBdr>
              <w:divsChild>
                <w:div w:id="861013663">
                  <w:marLeft w:val="0"/>
                  <w:marRight w:val="0"/>
                  <w:marTop w:val="0"/>
                  <w:marBottom w:val="0"/>
                  <w:divBdr>
                    <w:top w:val="none" w:sz="0" w:space="0" w:color="auto"/>
                    <w:left w:val="none" w:sz="0" w:space="0" w:color="auto"/>
                    <w:bottom w:val="none" w:sz="0" w:space="0" w:color="auto"/>
                    <w:right w:val="none" w:sz="0" w:space="0" w:color="auto"/>
                  </w:divBdr>
                  <w:divsChild>
                    <w:div w:id="556205234">
                      <w:marLeft w:val="0"/>
                      <w:marRight w:val="0"/>
                      <w:marTop w:val="0"/>
                      <w:marBottom w:val="0"/>
                      <w:divBdr>
                        <w:top w:val="none" w:sz="0" w:space="0" w:color="auto"/>
                        <w:left w:val="none" w:sz="0" w:space="0" w:color="auto"/>
                        <w:bottom w:val="none" w:sz="0" w:space="0" w:color="auto"/>
                        <w:right w:val="none" w:sz="0" w:space="0" w:color="auto"/>
                      </w:divBdr>
                      <w:divsChild>
                        <w:div w:id="328752165">
                          <w:marLeft w:val="0"/>
                          <w:marRight w:val="0"/>
                          <w:marTop w:val="0"/>
                          <w:marBottom w:val="0"/>
                          <w:divBdr>
                            <w:top w:val="none" w:sz="0" w:space="0" w:color="auto"/>
                            <w:left w:val="none" w:sz="0" w:space="0" w:color="auto"/>
                            <w:bottom w:val="none" w:sz="0" w:space="0" w:color="auto"/>
                            <w:right w:val="none" w:sz="0" w:space="0" w:color="auto"/>
                          </w:divBdr>
                          <w:divsChild>
                            <w:div w:id="5876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198972">
      <w:bodyDiv w:val="1"/>
      <w:marLeft w:val="0"/>
      <w:marRight w:val="0"/>
      <w:marTop w:val="0"/>
      <w:marBottom w:val="0"/>
      <w:divBdr>
        <w:top w:val="none" w:sz="0" w:space="0" w:color="auto"/>
        <w:left w:val="none" w:sz="0" w:space="0" w:color="auto"/>
        <w:bottom w:val="none" w:sz="0" w:space="0" w:color="auto"/>
        <w:right w:val="none" w:sz="0" w:space="0" w:color="auto"/>
      </w:divBdr>
      <w:divsChild>
        <w:div w:id="302196299">
          <w:marLeft w:val="0"/>
          <w:marRight w:val="0"/>
          <w:marTop w:val="240"/>
          <w:marBottom w:val="0"/>
          <w:divBdr>
            <w:top w:val="none" w:sz="0" w:space="0" w:color="auto"/>
            <w:left w:val="none" w:sz="0" w:space="0" w:color="auto"/>
            <w:bottom w:val="none" w:sz="0" w:space="0" w:color="auto"/>
            <w:right w:val="none" w:sz="0" w:space="0" w:color="auto"/>
          </w:divBdr>
          <w:divsChild>
            <w:div w:id="1455369356">
              <w:marLeft w:val="0"/>
              <w:marRight w:val="0"/>
              <w:marTop w:val="0"/>
              <w:marBottom w:val="0"/>
              <w:divBdr>
                <w:top w:val="none" w:sz="0" w:space="0" w:color="auto"/>
                <w:left w:val="none" w:sz="0" w:space="0" w:color="auto"/>
                <w:bottom w:val="none" w:sz="0" w:space="0" w:color="auto"/>
                <w:right w:val="none" w:sz="0" w:space="0" w:color="auto"/>
              </w:divBdr>
              <w:divsChild>
                <w:div w:id="1010713747">
                  <w:marLeft w:val="0"/>
                  <w:marRight w:val="0"/>
                  <w:marTop w:val="0"/>
                  <w:marBottom w:val="0"/>
                  <w:divBdr>
                    <w:top w:val="none" w:sz="0" w:space="0" w:color="auto"/>
                    <w:left w:val="none" w:sz="0" w:space="0" w:color="auto"/>
                    <w:bottom w:val="none" w:sz="0" w:space="0" w:color="auto"/>
                    <w:right w:val="none" w:sz="0" w:space="0" w:color="auto"/>
                  </w:divBdr>
                  <w:divsChild>
                    <w:div w:id="69700796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697047627">
      <w:bodyDiv w:val="1"/>
      <w:marLeft w:val="0"/>
      <w:marRight w:val="0"/>
      <w:marTop w:val="0"/>
      <w:marBottom w:val="0"/>
      <w:divBdr>
        <w:top w:val="none" w:sz="0" w:space="0" w:color="auto"/>
        <w:left w:val="none" w:sz="0" w:space="0" w:color="auto"/>
        <w:bottom w:val="none" w:sz="0" w:space="0" w:color="auto"/>
        <w:right w:val="none" w:sz="0" w:space="0" w:color="auto"/>
      </w:divBdr>
    </w:div>
    <w:div w:id="905411655">
      <w:bodyDiv w:val="1"/>
      <w:marLeft w:val="0"/>
      <w:marRight w:val="0"/>
      <w:marTop w:val="0"/>
      <w:marBottom w:val="0"/>
      <w:divBdr>
        <w:top w:val="none" w:sz="0" w:space="0" w:color="auto"/>
        <w:left w:val="none" w:sz="0" w:space="0" w:color="auto"/>
        <w:bottom w:val="none" w:sz="0" w:space="0" w:color="auto"/>
        <w:right w:val="none" w:sz="0" w:space="0" w:color="auto"/>
      </w:divBdr>
      <w:divsChild>
        <w:div w:id="1886676013">
          <w:marLeft w:val="0"/>
          <w:marRight w:val="0"/>
          <w:marTop w:val="240"/>
          <w:marBottom w:val="0"/>
          <w:divBdr>
            <w:top w:val="none" w:sz="0" w:space="0" w:color="auto"/>
            <w:left w:val="none" w:sz="0" w:space="0" w:color="auto"/>
            <w:bottom w:val="none" w:sz="0" w:space="0" w:color="auto"/>
            <w:right w:val="none" w:sz="0" w:space="0" w:color="auto"/>
          </w:divBdr>
          <w:divsChild>
            <w:div w:id="31539568">
              <w:marLeft w:val="0"/>
              <w:marRight w:val="0"/>
              <w:marTop w:val="0"/>
              <w:marBottom w:val="0"/>
              <w:divBdr>
                <w:top w:val="none" w:sz="0" w:space="0" w:color="auto"/>
                <w:left w:val="none" w:sz="0" w:space="0" w:color="auto"/>
                <w:bottom w:val="none" w:sz="0" w:space="0" w:color="auto"/>
                <w:right w:val="none" w:sz="0" w:space="0" w:color="auto"/>
              </w:divBdr>
              <w:divsChild>
                <w:div w:id="1950575724">
                  <w:marLeft w:val="0"/>
                  <w:marRight w:val="0"/>
                  <w:marTop w:val="0"/>
                  <w:marBottom w:val="0"/>
                  <w:divBdr>
                    <w:top w:val="none" w:sz="0" w:space="0" w:color="auto"/>
                    <w:left w:val="none" w:sz="0" w:space="0" w:color="auto"/>
                    <w:bottom w:val="none" w:sz="0" w:space="0" w:color="auto"/>
                    <w:right w:val="none" w:sz="0" w:space="0" w:color="auto"/>
                  </w:divBdr>
                  <w:divsChild>
                    <w:div w:id="11090401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13481723">
      <w:bodyDiv w:val="1"/>
      <w:marLeft w:val="0"/>
      <w:marRight w:val="0"/>
      <w:marTop w:val="0"/>
      <w:marBottom w:val="0"/>
      <w:divBdr>
        <w:top w:val="none" w:sz="0" w:space="0" w:color="auto"/>
        <w:left w:val="none" w:sz="0" w:space="0" w:color="auto"/>
        <w:bottom w:val="none" w:sz="0" w:space="0" w:color="auto"/>
        <w:right w:val="none" w:sz="0" w:space="0" w:color="auto"/>
      </w:divBdr>
    </w:div>
    <w:div w:id="1262492309">
      <w:bodyDiv w:val="1"/>
      <w:marLeft w:val="0"/>
      <w:marRight w:val="0"/>
      <w:marTop w:val="0"/>
      <w:marBottom w:val="0"/>
      <w:divBdr>
        <w:top w:val="none" w:sz="0" w:space="0" w:color="auto"/>
        <w:left w:val="none" w:sz="0" w:space="0" w:color="auto"/>
        <w:bottom w:val="none" w:sz="0" w:space="0" w:color="auto"/>
        <w:right w:val="none" w:sz="0" w:space="0" w:color="auto"/>
      </w:divBdr>
    </w:div>
    <w:div w:id="1399326552">
      <w:bodyDiv w:val="1"/>
      <w:marLeft w:val="0"/>
      <w:marRight w:val="0"/>
      <w:marTop w:val="0"/>
      <w:marBottom w:val="0"/>
      <w:divBdr>
        <w:top w:val="none" w:sz="0" w:space="0" w:color="auto"/>
        <w:left w:val="none" w:sz="0" w:space="0" w:color="auto"/>
        <w:bottom w:val="none" w:sz="0" w:space="0" w:color="auto"/>
        <w:right w:val="none" w:sz="0" w:space="0" w:color="auto"/>
      </w:divBdr>
    </w:div>
    <w:div w:id="1589000613">
      <w:bodyDiv w:val="1"/>
      <w:marLeft w:val="0"/>
      <w:marRight w:val="0"/>
      <w:marTop w:val="0"/>
      <w:marBottom w:val="0"/>
      <w:divBdr>
        <w:top w:val="none" w:sz="0" w:space="0" w:color="auto"/>
        <w:left w:val="none" w:sz="0" w:space="0" w:color="auto"/>
        <w:bottom w:val="none" w:sz="0" w:space="0" w:color="auto"/>
        <w:right w:val="none" w:sz="0" w:space="0" w:color="auto"/>
      </w:divBdr>
    </w:div>
    <w:div w:id="1612740945">
      <w:bodyDiv w:val="1"/>
      <w:marLeft w:val="0"/>
      <w:marRight w:val="0"/>
      <w:marTop w:val="0"/>
      <w:marBottom w:val="0"/>
      <w:divBdr>
        <w:top w:val="none" w:sz="0" w:space="0" w:color="auto"/>
        <w:left w:val="none" w:sz="0" w:space="0" w:color="auto"/>
        <w:bottom w:val="none" w:sz="0" w:space="0" w:color="auto"/>
        <w:right w:val="none" w:sz="0" w:space="0" w:color="auto"/>
      </w:divBdr>
    </w:div>
    <w:div w:id="1847163491">
      <w:bodyDiv w:val="1"/>
      <w:marLeft w:val="0"/>
      <w:marRight w:val="0"/>
      <w:marTop w:val="0"/>
      <w:marBottom w:val="0"/>
      <w:divBdr>
        <w:top w:val="none" w:sz="0" w:space="0" w:color="auto"/>
        <w:left w:val="none" w:sz="0" w:space="0" w:color="auto"/>
        <w:bottom w:val="none" w:sz="0" w:space="0" w:color="auto"/>
        <w:right w:val="none" w:sz="0" w:space="0" w:color="auto"/>
      </w:divBdr>
    </w:div>
    <w:div w:id="2086950985">
      <w:bodyDiv w:val="1"/>
      <w:marLeft w:val="0"/>
      <w:marRight w:val="0"/>
      <w:marTop w:val="0"/>
      <w:marBottom w:val="0"/>
      <w:divBdr>
        <w:top w:val="none" w:sz="0" w:space="0" w:color="auto"/>
        <w:left w:val="none" w:sz="0" w:space="0" w:color="auto"/>
        <w:bottom w:val="none" w:sz="0" w:space="0" w:color="auto"/>
        <w:right w:val="none" w:sz="0" w:space="0" w:color="auto"/>
      </w:divBdr>
      <w:divsChild>
        <w:div w:id="1227761907">
          <w:marLeft w:val="0"/>
          <w:marRight w:val="0"/>
          <w:marTop w:val="240"/>
          <w:marBottom w:val="0"/>
          <w:divBdr>
            <w:top w:val="none" w:sz="0" w:space="0" w:color="auto"/>
            <w:left w:val="none" w:sz="0" w:space="0" w:color="auto"/>
            <w:bottom w:val="none" w:sz="0" w:space="0" w:color="auto"/>
            <w:right w:val="none" w:sz="0" w:space="0" w:color="auto"/>
          </w:divBdr>
          <w:divsChild>
            <w:div w:id="1646008740">
              <w:marLeft w:val="0"/>
              <w:marRight w:val="0"/>
              <w:marTop w:val="0"/>
              <w:marBottom w:val="0"/>
              <w:divBdr>
                <w:top w:val="none" w:sz="0" w:space="0" w:color="auto"/>
                <w:left w:val="none" w:sz="0" w:space="0" w:color="auto"/>
                <w:bottom w:val="none" w:sz="0" w:space="0" w:color="auto"/>
                <w:right w:val="none" w:sz="0" w:space="0" w:color="auto"/>
              </w:divBdr>
              <w:divsChild>
                <w:div w:id="1367413307">
                  <w:marLeft w:val="0"/>
                  <w:marRight w:val="0"/>
                  <w:marTop w:val="0"/>
                  <w:marBottom w:val="0"/>
                  <w:divBdr>
                    <w:top w:val="none" w:sz="0" w:space="0" w:color="auto"/>
                    <w:left w:val="none" w:sz="0" w:space="0" w:color="auto"/>
                    <w:bottom w:val="none" w:sz="0" w:space="0" w:color="auto"/>
                    <w:right w:val="none" w:sz="0" w:space="0" w:color="auto"/>
                  </w:divBdr>
                  <w:divsChild>
                    <w:div w:id="187407331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103183533">
      <w:bodyDiv w:val="1"/>
      <w:marLeft w:val="0"/>
      <w:marRight w:val="0"/>
      <w:marTop w:val="0"/>
      <w:marBottom w:val="0"/>
      <w:divBdr>
        <w:top w:val="none" w:sz="0" w:space="0" w:color="auto"/>
        <w:left w:val="none" w:sz="0" w:space="0" w:color="auto"/>
        <w:bottom w:val="none" w:sz="0" w:space="0" w:color="auto"/>
        <w:right w:val="none" w:sz="0" w:space="0" w:color="auto"/>
      </w:divBdr>
      <w:divsChild>
        <w:div w:id="1211916251">
          <w:marLeft w:val="0"/>
          <w:marRight w:val="0"/>
          <w:marTop w:val="0"/>
          <w:marBottom w:val="0"/>
          <w:divBdr>
            <w:top w:val="none" w:sz="0" w:space="0" w:color="auto"/>
            <w:left w:val="none" w:sz="0" w:space="0" w:color="auto"/>
            <w:bottom w:val="none" w:sz="0" w:space="0" w:color="auto"/>
            <w:right w:val="none" w:sz="0" w:space="0" w:color="auto"/>
          </w:divBdr>
          <w:divsChild>
            <w:div w:id="1121875328">
              <w:marLeft w:val="0"/>
              <w:marRight w:val="0"/>
              <w:marTop w:val="0"/>
              <w:marBottom w:val="0"/>
              <w:divBdr>
                <w:top w:val="none" w:sz="0" w:space="0" w:color="auto"/>
                <w:left w:val="none" w:sz="0" w:space="0" w:color="auto"/>
                <w:bottom w:val="none" w:sz="0" w:space="0" w:color="auto"/>
                <w:right w:val="none" w:sz="0" w:space="0" w:color="auto"/>
              </w:divBdr>
              <w:divsChild>
                <w:div w:id="1222863588">
                  <w:marLeft w:val="0"/>
                  <w:marRight w:val="0"/>
                  <w:marTop w:val="0"/>
                  <w:marBottom w:val="0"/>
                  <w:divBdr>
                    <w:top w:val="none" w:sz="0" w:space="0" w:color="auto"/>
                    <w:left w:val="none" w:sz="0" w:space="0" w:color="auto"/>
                    <w:bottom w:val="none" w:sz="0" w:space="0" w:color="auto"/>
                    <w:right w:val="none" w:sz="0" w:space="0" w:color="auto"/>
                  </w:divBdr>
                  <w:divsChild>
                    <w:div w:id="1447507443">
                      <w:marLeft w:val="0"/>
                      <w:marRight w:val="0"/>
                      <w:marTop w:val="0"/>
                      <w:marBottom w:val="0"/>
                      <w:divBdr>
                        <w:top w:val="none" w:sz="0" w:space="0" w:color="auto"/>
                        <w:left w:val="none" w:sz="0" w:space="0" w:color="auto"/>
                        <w:bottom w:val="none" w:sz="0" w:space="0" w:color="auto"/>
                        <w:right w:val="none" w:sz="0" w:space="0" w:color="auto"/>
                      </w:divBdr>
                      <w:divsChild>
                        <w:div w:id="16015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ECCFC-E003-44F9-8CB7-0309007D7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1273</Words>
  <Characters>7002</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ecos</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Federico.Kuhlmann</dc:creator>
  <cp:keywords/>
  <dc:description/>
  <cp:lastModifiedBy>Arlene Ameneyro Tapia</cp:lastModifiedBy>
  <cp:revision>6</cp:revision>
  <cp:lastPrinted>2018-03-15T18:21:00Z</cp:lastPrinted>
  <dcterms:created xsi:type="dcterms:W3CDTF">2019-12-05T20:21:00Z</dcterms:created>
  <dcterms:modified xsi:type="dcterms:W3CDTF">2019-12-17T20:19:00Z</dcterms:modified>
</cp:coreProperties>
</file>