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293F" w14:textId="2C18BED4" w:rsidR="007C3942" w:rsidRPr="004437A1" w:rsidRDefault="00652A5B" w:rsidP="004437A1">
      <w:pPr>
        <w:pStyle w:val="Ttulo1"/>
        <w:jc w:val="both"/>
        <w:rPr>
          <w:rFonts w:asciiTheme="minorHAnsi" w:hAnsiTheme="minorHAnsi"/>
          <w:b/>
          <w:color w:val="000000" w:themeColor="text1"/>
          <w:sz w:val="24"/>
          <w:szCs w:val="24"/>
        </w:rPr>
      </w:pPr>
      <w:bookmarkStart w:id="0" w:name="_GoBack"/>
      <w:bookmarkEnd w:id="0"/>
      <w:r w:rsidRPr="004437A1">
        <w:rPr>
          <w:rFonts w:asciiTheme="minorHAnsi" w:hAnsiTheme="minorHAnsi"/>
          <w:b/>
          <w:color w:val="000000" w:themeColor="text1"/>
          <w:sz w:val="24"/>
          <w:szCs w:val="24"/>
        </w:rPr>
        <w:t>RECOMENDACIÓN QUE EMITE EL CONSEJO CONSULTIVO DEL INSTITUTO FEDERAL DE TELECOMUNICACIONES RESPECTO LA CREACIÓN DE UNA COMISIÓN PERMANENTE EN EL SISTEMA NACIONAL DE PROTECCIÓN INTEGRAL DE NIÑAS, NIÑOS Y ADOLESCENTES.</w:t>
      </w:r>
    </w:p>
    <w:p w14:paraId="36D7B33F" w14:textId="77777777" w:rsidR="007C3942" w:rsidRDefault="007C3942" w:rsidP="00835D11">
      <w:pPr>
        <w:shd w:val="clear" w:color="auto" w:fill="FFFFFF"/>
        <w:spacing w:after="0" w:line="240" w:lineRule="auto"/>
        <w:jc w:val="both"/>
        <w:rPr>
          <w:rFonts w:cs="Arial"/>
          <w:color w:val="000000" w:themeColor="text1"/>
          <w:sz w:val="24"/>
          <w:szCs w:val="24"/>
        </w:rPr>
      </w:pPr>
    </w:p>
    <w:p w14:paraId="0E4BFD11" w14:textId="48BC8E85" w:rsidR="00465D37" w:rsidRPr="007C3942" w:rsidRDefault="00AF0545" w:rsidP="002658DC">
      <w:pPr>
        <w:shd w:val="clear" w:color="auto" w:fill="FFFFFF"/>
        <w:spacing w:after="0" w:line="276" w:lineRule="auto"/>
        <w:jc w:val="both"/>
        <w:rPr>
          <w:rFonts w:cs="Arial"/>
          <w:color w:val="000000" w:themeColor="text1"/>
        </w:rPr>
      </w:pPr>
      <w:r w:rsidRPr="007C3942">
        <w:rPr>
          <w:rFonts w:cs="Arial"/>
          <w:color w:val="000000" w:themeColor="text1"/>
        </w:rPr>
        <w:t>El Consejo Consultivo del Instituto Federal de Telecomunicaciones (IFT) es un órgano asesor en la observancia de los principios establecidos en los artículos 2º, 6º y 7º constitucionales, siendo sus miembros honorarios e independientes del IFT</w:t>
      </w:r>
      <w:r w:rsidRPr="007C3942">
        <w:rPr>
          <w:rStyle w:val="Refdenotaalpie"/>
          <w:rFonts w:cs="Arial"/>
          <w:color w:val="000000" w:themeColor="text1"/>
        </w:rPr>
        <w:footnoteReference w:id="1"/>
      </w:r>
      <w:r w:rsidRPr="007C3942">
        <w:rPr>
          <w:rFonts w:cs="Arial"/>
          <w:color w:val="000000" w:themeColor="text1"/>
        </w:rPr>
        <w:t>. El Consejo Consultivo ha emitido diversas recomendaciones</w:t>
      </w:r>
      <w:r w:rsidRPr="007C3942">
        <w:rPr>
          <w:rStyle w:val="Refdenotaalpie"/>
          <w:rFonts w:cs="Arial"/>
          <w:color w:val="000000" w:themeColor="text1"/>
        </w:rPr>
        <w:footnoteReference w:id="2"/>
      </w:r>
      <w:r w:rsidRPr="007C3942">
        <w:rPr>
          <w:rFonts w:cs="Arial"/>
          <w:color w:val="000000" w:themeColor="text1"/>
        </w:rPr>
        <w:t xml:space="preserve"> y cartas</w:t>
      </w:r>
      <w:r w:rsidRPr="007C3942">
        <w:rPr>
          <w:rStyle w:val="Refdenotaalpie"/>
          <w:rFonts w:cs="Arial"/>
          <w:color w:val="000000" w:themeColor="text1"/>
        </w:rPr>
        <w:footnoteReference w:id="3"/>
      </w:r>
      <w:r w:rsidRPr="007C3942">
        <w:rPr>
          <w:rFonts w:cs="Arial"/>
          <w:color w:val="000000" w:themeColor="text1"/>
        </w:rPr>
        <w:t xml:space="preserve"> -en relación a los derechos de las audiencias- al IFT, a la Secretaría de Gobernación</w:t>
      </w:r>
      <w:r w:rsidRPr="007C3942">
        <w:rPr>
          <w:rStyle w:val="Refdenotaalpie"/>
          <w:rFonts w:cs="Arial"/>
          <w:color w:val="000000" w:themeColor="text1"/>
        </w:rPr>
        <w:footnoteReference w:id="4"/>
      </w:r>
      <w:r w:rsidRPr="007C3942">
        <w:rPr>
          <w:rFonts w:cs="Arial"/>
          <w:color w:val="000000" w:themeColor="text1"/>
        </w:rPr>
        <w:t>, a los Ministros de la Suprema Corte de Justicia de la Nación</w:t>
      </w:r>
      <w:r w:rsidR="00465D37" w:rsidRPr="007C3942">
        <w:rPr>
          <w:rFonts w:cs="Arial"/>
          <w:color w:val="000000" w:themeColor="text1"/>
        </w:rPr>
        <w:t>, senadores y diputados del Congreso de la Unión, al Presidente de los Estados Unidos Mexicanos y al Consejero Jurídico del Ejecutivo Federal</w:t>
      </w:r>
      <w:r w:rsidR="00962085" w:rsidRPr="007C3942">
        <w:rPr>
          <w:rStyle w:val="Refdenotaalpie"/>
          <w:rFonts w:cs="Arial"/>
          <w:color w:val="000000" w:themeColor="text1"/>
        </w:rPr>
        <w:footnoteReference w:id="5"/>
      </w:r>
      <w:r w:rsidRPr="007C3942">
        <w:rPr>
          <w:rFonts w:cs="Arial"/>
          <w:color w:val="000000" w:themeColor="text1"/>
        </w:rPr>
        <w:t xml:space="preserve">. </w:t>
      </w:r>
    </w:p>
    <w:p w14:paraId="65FC0002" w14:textId="77777777" w:rsidR="00A76C77" w:rsidRPr="007C3942" w:rsidRDefault="00A76C77" w:rsidP="002658DC">
      <w:pPr>
        <w:shd w:val="clear" w:color="auto" w:fill="FFFFFF"/>
        <w:spacing w:after="0" w:line="276" w:lineRule="auto"/>
        <w:jc w:val="both"/>
        <w:rPr>
          <w:rFonts w:cs="Arial"/>
          <w:color w:val="000000" w:themeColor="text1"/>
        </w:rPr>
      </w:pPr>
    </w:p>
    <w:p w14:paraId="482C4DA7" w14:textId="1956FE0F" w:rsidR="00A76C77" w:rsidRPr="007C3942" w:rsidRDefault="00AF0545" w:rsidP="002658DC">
      <w:pPr>
        <w:spacing w:after="0" w:line="276" w:lineRule="auto"/>
        <w:jc w:val="both"/>
        <w:rPr>
          <w:rFonts w:cs="Arial"/>
        </w:rPr>
      </w:pPr>
      <w:r w:rsidRPr="007C3942">
        <w:rPr>
          <w:rFonts w:cs="Arial"/>
          <w:lang w:val="es-ES"/>
        </w:rPr>
        <w:t xml:space="preserve">Adicional a lo </w:t>
      </w:r>
      <w:r w:rsidR="00A76C77" w:rsidRPr="007C3942">
        <w:rPr>
          <w:rFonts w:cs="Arial"/>
          <w:lang w:val="es-ES"/>
        </w:rPr>
        <w:t xml:space="preserve">referido en el párrafo </w:t>
      </w:r>
      <w:r w:rsidRPr="007C3942">
        <w:rPr>
          <w:rFonts w:cs="Arial"/>
          <w:lang w:val="es-ES"/>
        </w:rPr>
        <w:t>anterior</w:t>
      </w:r>
      <w:r w:rsidR="00A76C77" w:rsidRPr="007C3942">
        <w:rPr>
          <w:rFonts w:cs="Arial"/>
          <w:lang w:val="es-ES"/>
        </w:rPr>
        <w:t>,</w:t>
      </w:r>
      <w:r w:rsidRPr="007C3942">
        <w:rPr>
          <w:rFonts w:cs="Arial"/>
          <w:lang w:val="es-ES"/>
        </w:rPr>
        <w:t xml:space="preserve"> como Consejo Consultivo consideramos importante que en el Sistema Nacional de Protección Integral de Niñas, Niños y Adolescentes (SIPIN</w:t>
      </w:r>
      <w:r w:rsidR="00A76C77" w:rsidRPr="007C3942">
        <w:rPr>
          <w:rFonts w:cs="Arial"/>
          <w:lang w:val="es-ES"/>
        </w:rPr>
        <w:t>N</w:t>
      </w:r>
      <w:r w:rsidRPr="007C3942">
        <w:rPr>
          <w:rFonts w:cs="Arial"/>
          <w:lang w:val="es-ES"/>
        </w:rPr>
        <w:t xml:space="preserve">A) se cree una comisión </w:t>
      </w:r>
      <w:r w:rsidRPr="007C3942">
        <w:rPr>
          <w:rFonts w:cs="Arial"/>
        </w:rPr>
        <w:t>permanente para</w:t>
      </w:r>
      <w:r w:rsidR="00A76C77" w:rsidRPr="007C3942">
        <w:rPr>
          <w:rFonts w:cs="Arial"/>
        </w:rPr>
        <w:t>:</w:t>
      </w:r>
    </w:p>
    <w:p w14:paraId="402829C6" w14:textId="77777777" w:rsidR="00A76C77" w:rsidRPr="007C3942" w:rsidRDefault="00A76C77" w:rsidP="002658DC">
      <w:pPr>
        <w:spacing w:after="0" w:line="276" w:lineRule="auto"/>
        <w:ind w:left="426" w:hanging="426"/>
        <w:jc w:val="both"/>
        <w:rPr>
          <w:rFonts w:cs="Arial"/>
        </w:rPr>
      </w:pPr>
    </w:p>
    <w:p w14:paraId="399E71F8" w14:textId="15C26578" w:rsidR="00A76C77" w:rsidRPr="007C3942" w:rsidRDefault="00AF0545" w:rsidP="002658DC">
      <w:pPr>
        <w:spacing w:after="0" w:line="276" w:lineRule="auto"/>
        <w:ind w:left="426" w:hanging="426"/>
        <w:jc w:val="both"/>
        <w:rPr>
          <w:rFonts w:cs="Arial"/>
        </w:rPr>
      </w:pPr>
      <w:r w:rsidRPr="007C3942">
        <w:rPr>
          <w:rFonts w:cs="Arial"/>
        </w:rPr>
        <w:lastRenderedPageBreak/>
        <w:t xml:space="preserve">(1) </w:t>
      </w:r>
      <w:r w:rsidR="00A76C77" w:rsidRPr="007C3942">
        <w:rPr>
          <w:rFonts w:cs="Arial"/>
        </w:rPr>
        <w:tab/>
      </w:r>
      <w:r w:rsidRPr="007C3942">
        <w:rPr>
          <w:rFonts w:cs="Arial"/>
        </w:rPr>
        <w:t xml:space="preserve">el estudio y análisis de las oportunidades, retos y riesgos que enfrentan las niñas, niños y adolescentes en la era digital, </w:t>
      </w:r>
    </w:p>
    <w:p w14:paraId="5FD76778" w14:textId="77777777" w:rsidR="00A76C77" w:rsidRPr="007C3942" w:rsidRDefault="00A76C77" w:rsidP="002658DC">
      <w:pPr>
        <w:spacing w:after="0" w:line="276" w:lineRule="auto"/>
        <w:ind w:left="426" w:hanging="426"/>
        <w:jc w:val="both"/>
        <w:rPr>
          <w:rFonts w:cs="Arial"/>
        </w:rPr>
      </w:pPr>
    </w:p>
    <w:p w14:paraId="6CB308BD" w14:textId="0C2C76B0" w:rsidR="00A76C77" w:rsidRPr="007C3942" w:rsidRDefault="00AF0545" w:rsidP="002658DC">
      <w:pPr>
        <w:spacing w:after="0" w:line="276" w:lineRule="auto"/>
        <w:ind w:left="426" w:hanging="426"/>
        <w:jc w:val="both"/>
        <w:rPr>
          <w:rFonts w:cs="Arial"/>
        </w:rPr>
      </w:pPr>
      <w:r w:rsidRPr="007C3942">
        <w:rPr>
          <w:rFonts w:cs="Arial"/>
        </w:rPr>
        <w:t xml:space="preserve">(2) </w:t>
      </w:r>
      <w:r w:rsidR="00A76C77" w:rsidRPr="007C3942">
        <w:rPr>
          <w:rFonts w:cs="Arial"/>
        </w:rPr>
        <w:tab/>
      </w:r>
      <w:r w:rsidRPr="007C3942">
        <w:rPr>
          <w:rFonts w:cs="Arial"/>
        </w:rPr>
        <w:t xml:space="preserve">el establecimiento de metas, indicadores, programas y un plan de trabajo en relación con las tecnologías de la información y </w:t>
      </w:r>
      <w:r w:rsidR="00A76C77" w:rsidRPr="007C3942">
        <w:rPr>
          <w:rFonts w:cs="Arial"/>
        </w:rPr>
        <w:t>la comunicación</w:t>
      </w:r>
      <w:r w:rsidR="00C5364A" w:rsidRPr="007C3942">
        <w:rPr>
          <w:rFonts w:cs="Arial"/>
        </w:rPr>
        <w:t xml:space="preserve"> (incluyendo medios audiovisuales y televisión)</w:t>
      </w:r>
      <w:r w:rsidR="00A76C77" w:rsidRPr="007C3942">
        <w:rPr>
          <w:rFonts w:cs="Arial"/>
        </w:rPr>
        <w:t xml:space="preserve"> y su</w:t>
      </w:r>
      <w:r w:rsidRPr="007C3942">
        <w:rPr>
          <w:rFonts w:cs="Arial"/>
        </w:rPr>
        <w:t xml:space="preserve"> acceso y aprovechamiento por parte de niñas, niños y adolescentes, </w:t>
      </w:r>
      <w:r w:rsidR="00465D37" w:rsidRPr="007C3942">
        <w:rPr>
          <w:rFonts w:cs="Arial"/>
        </w:rPr>
        <w:t xml:space="preserve">y </w:t>
      </w:r>
    </w:p>
    <w:p w14:paraId="65A95EED" w14:textId="77777777" w:rsidR="00A76C77" w:rsidRPr="007C3942" w:rsidRDefault="00A76C77" w:rsidP="002658DC">
      <w:pPr>
        <w:spacing w:after="0" w:line="276" w:lineRule="auto"/>
        <w:ind w:left="426" w:hanging="426"/>
        <w:jc w:val="both"/>
        <w:rPr>
          <w:rFonts w:cs="Arial"/>
        </w:rPr>
      </w:pPr>
    </w:p>
    <w:p w14:paraId="2C37863E" w14:textId="7BD99C3F" w:rsidR="00D11276" w:rsidRPr="007C3942" w:rsidRDefault="00AF0545" w:rsidP="002658DC">
      <w:pPr>
        <w:spacing w:after="0" w:line="276" w:lineRule="auto"/>
        <w:ind w:left="426" w:hanging="426"/>
        <w:jc w:val="both"/>
        <w:rPr>
          <w:rFonts w:cs="Arial"/>
          <w:lang w:val="es-ES"/>
        </w:rPr>
      </w:pPr>
      <w:r w:rsidRPr="007C3942">
        <w:rPr>
          <w:rFonts w:cs="Arial"/>
        </w:rPr>
        <w:t xml:space="preserve">(3) </w:t>
      </w:r>
      <w:r w:rsidR="00A76C77" w:rsidRPr="007C3942">
        <w:rPr>
          <w:rFonts w:cs="Arial"/>
        </w:rPr>
        <w:tab/>
      </w:r>
      <w:r w:rsidR="00465D37" w:rsidRPr="007C3942">
        <w:rPr>
          <w:rFonts w:cs="Arial"/>
        </w:rPr>
        <w:t xml:space="preserve">el establecimiento de metas, indicadores, programas y plan de trabajo para la </w:t>
      </w:r>
      <w:r w:rsidRPr="007C3942">
        <w:rPr>
          <w:rFonts w:cs="Arial"/>
        </w:rPr>
        <w:t>generación de contenidos</w:t>
      </w:r>
      <w:r w:rsidR="00465D37" w:rsidRPr="007C3942">
        <w:rPr>
          <w:rFonts w:cs="Arial"/>
        </w:rPr>
        <w:t xml:space="preserve"> audiovisuales relevantes a la niñez mexicana que pueda difundirse a través de distintas plataformas tecnológicas.</w:t>
      </w:r>
    </w:p>
    <w:p w14:paraId="2DAB9F5D" w14:textId="77777777" w:rsidR="00A76C77" w:rsidRDefault="00A76C77" w:rsidP="002658DC">
      <w:pPr>
        <w:spacing w:after="0" w:line="276" w:lineRule="auto"/>
        <w:jc w:val="both"/>
        <w:rPr>
          <w:rFonts w:cs="Arial"/>
          <w:lang w:val="es-ES"/>
        </w:rPr>
      </w:pPr>
    </w:p>
    <w:p w14:paraId="5281E61F" w14:textId="77777777" w:rsidR="002658DC" w:rsidRPr="007C3942" w:rsidRDefault="002658DC" w:rsidP="002658DC">
      <w:pPr>
        <w:spacing w:after="0" w:line="276" w:lineRule="auto"/>
        <w:jc w:val="both"/>
        <w:rPr>
          <w:rFonts w:cs="Arial"/>
          <w:lang w:val="es-ES"/>
        </w:rPr>
      </w:pPr>
    </w:p>
    <w:p w14:paraId="5EDB447D" w14:textId="395D0206" w:rsidR="00D11276" w:rsidRPr="007C3942" w:rsidRDefault="00A76C77" w:rsidP="002658DC">
      <w:pPr>
        <w:spacing w:after="0" w:line="276" w:lineRule="auto"/>
        <w:jc w:val="both"/>
        <w:rPr>
          <w:rFonts w:cs="Arial"/>
        </w:rPr>
      </w:pPr>
      <w:r w:rsidRPr="007C3942">
        <w:rPr>
          <w:rFonts w:cs="Arial"/>
          <w:lang w:val="es-ES"/>
        </w:rPr>
        <w:t xml:space="preserve">La propuesta tiene su fundamento en los artículos 127 apartado C fracción III y 129 de la </w:t>
      </w:r>
      <w:r w:rsidR="00D11276" w:rsidRPr="007C3942">
        <w:rPr>
          <w:rFonts w:cs="Arial"/>
        </w:rPr>
        <w:t>Ley General de los Derechos de las Niñas, Niños y Adolescentes</w:t>
      </w:r>
      <w:r w:rsidRPr="007C3942">
        <w:rPr>
          <w:rFonts w:cs="Arial"/>
        </w:rPr>
        <w:t xml:space="preserve"> (LG</w:t>
      </w:r>
      <w:r w:rsidR="00D11276" w:rsidRPr="007C3942">
        <w:rPr>
          <w:rFonts w:cs="Arial"/>
        </w:rPr>
        <w:t>NNA)</w:t>
      </w:r>
      <w:r w:rsidRPr="007C3942">
        <w:rPr>
          <w:rFonts w:cs="Arial"/>
        </w:rPr>
        <w:t xml:space="preserve"> mismos que señalan que </w:t>
      </w:r>
      <w:r w:rsidR="00D11276" w:rsidRPr="007C3942">
        <w:rPr>
          <w:rFonts w:cs="Arial"/>
        </w:rPr>
        <w:t xml:space="preserve">el IFT forma parte del </w:t>
      </w:r>
      <w:r w:rsidRPr="007C3942">
        <w:rPr>
          <w:rFonts w:cs="Arial"/>
        </w:rPr>
        <w:t xml:space="preserve">SIPINNA y que </w:t>
      </w:r>
      <w:r w:rsidR="00D11276" w:rsidRPr="007C3942">
        <w:rPr>
          <w:rFonts w:cs="Arial"/>
        </w:rPr>
        <w:t>para el mejor cumplimiento de sus funciones, el Sistema Nacional de Protección Integral podrá constituir comisiones encargadas de atender asuntos o materias específicas</w:t>
      </w:r>
      <w:r w:rsidRPr="007C3942">
        <w:rPr>
          <w:rFonts w:cs="Arial"/>
        </w:rPr>
        <w:t xml:space="preserve">. Adicionalmente también encuentra fundamento la creación de la comisión permanente referida en los </w:t>
      </w:r>
      <w:r w:rsidR="00D11276" w:rsidRPr="007C3942">
        <w:rPr>
          <w:rFonts w:cs="Arial"/>
        </w:rPr>
        <w:t xml:space="preserve">lineamientos Vigésimo Segundo y Vigésimo Tercero de los Lineamientos Generales para la Integración, Organización y Funcionamiento de las Comisiones del Sistema Nacional de Protección Integral </w:t>
      </w:r>
      <w:r w:rsidRPr="007C3942">
        <w:rPr>
          <w:rFonts w:cs="Arial"/>
        </w:rPr>
        <w:t>de Niñas, Niños y Adolescentes</w:t>
      </w:r>
      <w:r w:rsidR="00D11276" w:rsidRPr="007C3942">
        <w:rPr>
          <w:rFonts w:cs="Arial"/>
        </w:rPr>
        <w:t>.</w:t>
      </w:r>
    </w:p>
    <w:p w14:paraId="40238316" w14:textId="77777777" w:rsidR="00A76C77" w:rsidRDefault="00A76C77" w:rsidP="002658DC">
      <w:pPr>
        <w:spacing w:after="0" w:line="276" w:lineRule="auto"/>
        <w:jc w:val="both"/>
        <w:rPr>
          <w:rFonts w:cs="Arial"/>
        </w:rPr>
      </w:pPr>
    </w:p>
    <w:p w14:paraId="5C660349" w14:textId="77777777" w:rsidR="002658DC" w:rsidRPr="007C3942" w:rsidRDefault="002658DC" w:rsidP="002658DC">
      <w:pPr>
        <w:spacing w:after="0" w:line="276" w:lineRule="auto"/>
        <w:jc w:val="both"/>
        <w:rPr>
          <w:rFonts w:cs="Arial"/>
        </w:rPr>
      </w:pPr>
    </w:p>
    <w:p w14:paraId="636B9020" w14:textId="26D15280" w:rsidR="00A76C77" w:rsidRPr="007C3942" w:rsidRDefault="00A76C77" w:rsidP="002658DC">
      <w:pPr>
        <w:spacing w:after="0" w:line="276" w:lineRule="auto"/>
        <w:jc w:val="both"/>
        <w:rPr>
          <w:rFonts w:cs="Arial"/>
        </w:rPr>
      </w:pPr>
      <w:r w:rsidRPr="007C3942">
        <w:rPr>
          <w:rFonts w:cs="Arial"/>
        </w:rPr>
        <w:t xml:space="preserve">Con base en lo señalado, este Consejo Consultivo recomienda al Presidente del Instituto Federal de Telecomunicaciones y </w:t>
      </w:r>
      <w:r w:rsidR="00835D11" w:rsidRPr="007C3942">
        <w:rPr>
          <w:rFonts w:cs="Arial"/>
        </w:rPr>
        <w:t xml:space="preserve">a </w:t>
      </w:r>
      <w:r w:rsidRPr="007C3942">
        <w:rPr>
          <w:rFonts w:cs="Arial"/>
        </w:rPr>
        <w:t>l</w:t>
      </w:r>
      <w:r w:rsidR="00835D11" w:rsidRPr="007C3942">
        <w:rPr>
          <w:rFonts w:cs="Arial"/>
        </w:rPr>
        <w:t>a Secretaría Ejecutiva del SIPINNA</w:t>
      </w:r>
      <w:r w:rsidRPr="007C3942">
        <w:rPr>
          <w:rFonts w:cs="Arial"/>
        </w:rPr>
        <w:t xml:space="preserve"> que:</w:t>
      </w:r>
    </w:p>
    <w:p w14:paraId="2D68B3D7" w14:textId="77777777" w:rsidR="00A76C77" w:rsidRDefault="00A76C77" w:rsidP="002658DC">
      <w:pPr>
        <w:spacing w:after="0" w:line="276" w:lineRule="auto"/>
        <w:jc w:val="both"/>
        <w:rPr>
          <w:rFonts w:cs="Arial"/>
        </w:rPr>
      </w:pPr>
    </w:p>
    <w:p w14:paraId="5098E10F" w14:textId="77777777" w:rsidR="002658DC" w:rsidRPr="007C3942" w:rsidRDefault="002658DC" w:rsidP="002658DC">
      <w:pPr>
        <w:spacing w:after="0" w:line="276" w:lineRule="auto"/>
        <w:jc w:val="both"/>
        <w:rPr>
          <w:rFonts w:cs="Arial"/>
        </w:rPr>
      </w:pPr>
    </w:p>
    <w:p w14:paraId="08384F26" w14:textId="26A8BEB3" w:rsidR="00A76C77" w:rsidRPr="007C3942" w:rsidRDefault="00A76C77" w:rsidP="002658DC">
      <w:pPr>
        <w:spacing w:after="0" w:line="276" w:lineRule="auto"/>
        <w:jc w:val="both"/>
        <w:rPr>
          <w:rFonts w:cs="Arial"/>
        </w:rPr>
      </w:pPr>
      <w:r w:rsidRPr="007C3942">
        <w:rPr>
          <w:rFonts w:cs="Arial"/>
          <w:b/>
        </w:rPr>
        <w:t>ÚNICO:</w:t>
      </w:r>
      <w:r w:rsidRPr="007C3942">
        <w:rPr>
          <w:rFonts w:cs="Arial"/>
        </w:rPr>
        <w:t xml:space="preserve"> Se cree una comisión permanente en el </w:t>
      </w:r>
      <w:r w:rsidRPr="007C3942">
        <w:rPr>
          <w:rFonts w:cs="Arial"/>
          <w:lang w:val="es-ES"/>
        </w:rPr>
        <w:t xml:space="preserve">Sistema Nacional de Protección Integral de Niñas, Niños y Adolescentes (SIPINNA) </w:t>
      </w:r>
      <w:r w:rsidRPr="007C3942">
        <w:rPr>
          <w:rFonts w:cs="Arial"/>
        </w:rPr>
        <w:t>para:</w:t>
      </w:r>
    </w:p>
    <w:p w14:paraId="24C81892" w14:textId="77777777" w:rsidR="00A76C77" w:rsidRDefault="00A76C77" w:rsidP="002658DC">
      <w:pPr>
        <w:spacing w:after="0" w:line="276" w:lineRule="auto"/>
        <w:ind w:left="426" w:hanging="426"/>
        <w:jc w:val="both"/>
        <w:rPr>
          <w:rFonts w:cs="Arial"/>
        </w:rPr>
      </w:pPr>
    </w:p>
    <w:p w14:paraId="13FED89D" w14:textId="77777777" w:rsidR="002658DC" w:rsidRPr="007C3942" w:rsidRDefault="002658DC" w:rsidP="002658DC">
      <w:pPr>
        <w:spacing w:after="0" w:line="276" w:lineRule="auto"/>
        <w:ind w:left="426" w:hanging="426"/>
        <w:jc w:val="both"/>
        <w:rPr>
          <w:rFonts w:cs="Arial"/>
        </w:rPr>
      </w:pPr>
    </w:p>
    <w:p w14:paraId="7341205F" w14:textId="77777777" w:rsidR="00A76C77" w:rsidRPr="007C3942" w:rsidRDefault="00A76C77" w:rsidP="002658DC">
      <w:pPr>
        <w:spacing w:after="0" w:line="276" w:lineRule="auto"/>
        <w:ind w:left="426" w:hanging="426"/>
        <w:jc w:val="both"/>
        <w:rPr>
          <w:rFonts w:cs="Arial"/>
        </w:rPr>
      </w:pPr>
      <w:r w:rsidRPr="007C3942">
        <w:rPr>
          <w:rFonts w:cs="Arial"/>
        </w:rPr>
        <w:t xml:space="preserve">(1) </w:t>
      </w:r>
      <w:r w:rsidRPr="007C3942">
        <w:rPr>
          <w:rFonts w:cs="Arial"/>
        </w:rPr>
        <w:tab/>
        <w:t xml:space="preserve">el estudio y análisis de las oportunidades, retos y riesgos que enfrentan las niñas, niños y adolescentes en la era digital, </w:t>
      </w:r>
    </w:p>
    <w:p w14:paraId="3E4A576B" w14:textId="77777777" w:rsidR="004437A1" w:rsidRDefault="004437A1" w:rsidP="002658DC">
      <w:pPr>
        <w:spacing w:after="0" w:line="276" w:lineRule="auto"/>
        <w:ind w:left="426" w:hanging="426"/>
        <w:jc w:val="both"/>
        <w:rPr>
          <w:rFonts w:cs="Arial"/>
        </w:rPr>
      </w:pPr>
    </w:p>
    <w:p w14:paraId="17E9DCCA" w14:textId="4E839FF4" w:rsidR="00A76C77" w:rsidRPr="007C3942" w:rsidRDefault="00A76C77" w:rsidP="002658DC">
      <w:pPr>
        <w:spacing w:after="0" w:line="276" w:lineRule="auto"/>
        <w:ind w:left="426" w:hanging="426"/>
        <w:jc w:val="both"/>
        <w:rPr>
          <w:rFonts w:cs="Arial"/>
        </w:rPr>
      </w:pPr>
      <w:r w:rsidRPr="007C3942">
        <w:rPr>
          <w:rFonts w:cs="Arial"/>
        </w:rPr>
        <w:t xml:space="preserve">(2) </w:t>
      </w:r>
      <w:r w:rsidRPr="007C3942">
        <w:rPr>
          <w:rFonts w:cs="Arial"/>
        </w:rPr>
        <w:tab/>
        <w:t xml:space="preserve">el establecimiento de metas, indicadores, programas y un plan de trabajo en relación con las tecnologías de la información y la comunicación </w:t>
      </w:r>
      <w:r w:rsidR="003E7CA4" w:rsidRPr="007C3942">
        <w:rPr>
          <w:rFonts w:cs="Arial"/>
        </w:rPr>
        <w:t xml:space="preserve">(incluyendo medios audiovisuales y televisión) </w:t>
      </w:r>
      <w:r w:rsidRPr="007C3942">
        <w:rPr>
          <w:rFonts w:cs="Arial"/>
        </w:rPr>
        <w:t xml:space="preserve">y su acceso y aprovechamiento por parte de niñas, niños y adolescentes, y </w:t>
      </w:r>
    </w:p>
    <w:p w14:paraId="2088BB6E" w14:textId="77777777" w:rsidR="00A76C77" w:rsidRDefault="00A76C77" w:rsidP="002658DC">
      <w:pPr>
        <w:spacing w:after="0" w:line="276" w:lineRule="auto"/>
        <w:ind w:left="426" w:hanging="426"/>
        <w:jc w:val="both"/>
        <w:rPr>
          <w:rFonts w:cs="Arial"/>
        </w:rPr>
      </w:pPr>
    </w:p>
    <w:p w14:paraId="1CDF4D26" w14:textId="709DAE5E" w:rsidR="00D11276" w:rsidRDefault="00A76C77" w:rsidP="002658DC">
      <w:pPr>
        <w:spacing w:after="0" w:line="276" w:lineRule="auto"/>
        <w:ind w:left="426" w:hanging="426"/>
        <w:jc w:val="both"/>
        <w:rPr>
          <w:rFonts w:cs="Arial"/>
        </w:rPr>
      </w:pPr>
      <w:r w:rsidRPr="007C3942">
        <w:rPr>
          <w:rFonts w:cs="Arial"/>
        </w:rPr>
        <w:lastRenderedPageBreak/>
        <w:t xml:space="preserve">(3) </w:t>
      </w:r>
      <w:r w:rsidRPr="007C3942">
        <w:rPr>
          <w:rFonts w:cs="Arial"/>
        </w:rPr>
        <w:tab/>
        <w:t>el establecimiento de metas, indicadores, programas y plan de trabajo para la generación de contenidos audiovisuales relevantes a la niñez mexicana que pueda difundirse a través de distintas plataformas tecnológicas.</w:t>
      </w:r>
    </w:p>
    <w:p w14:paraId="7AE1896F" w14:textId="77777777" w:rsidR="007C3942" w:rsidRDefault="007C3942" w:rsidP="007C3942">
      <w:pPr>
        <w:spacing w:after="0" w:line="240" w:lineRule="auto"/>
        <w:ind w:left="426" w:hanging="426"/>
        <w:jc w:val="both"/>
        <w:rPr>
          <w:rFonts w:cs="Arial"/>
        </w:rPr>
      </w:pPr>
    </w:p>
    <w:p w14:paraId="6A5215CC" w14:textId="77777777" w:rsidR="002658DC" w:rsidRDefault="002658DC" w:rsidP="007C3942">
      <w:pPr>
        <w:spacing w:after="0" w:line="240" w:lineRule="auto"/>
        <w:ind w:left="426" w:hanging="426"/>
        <w:jc w:val="both"/>
        <w:rPr>
          <w:rFonts w:cs="Arial"/>
        </w:rPr>
      </w:pPr>
    </w:p>
    <w:p w14:paraId="7588E789" w14:textId="77777777" w:rsidR="002658DC" w:rsidRPr="00B90CE2" w:rsidRDefault="002658DC" w:rsidP="002658DC">
      <w:pPr>
        <w:autoSpaceDE w:val="0"/>
        <w:autoSpaceDN w:val="0"/>
        <w:adjustRightInd w:val="0"/>
        <w:jc w:val="center"/>
        <w:rPr>
          <w:rFonts w:ascii="Calibri" w:eastAsia="Calibri" w:hAnsi="Calibri" w:cs="Times New Roman"/>
          <w:b/>
          <w:bCs/>
        </w:rPr>
      </w:pPr>
      <w:r w:rsidRPr="00B90CE2">
        <w:rPr>
          <w:rFonts w:ascii="Calibri" w:eastAsia="Calibri" w:hAnsi="Calibri" w:cs="Times New Roman"/>
          <w:b/>
          <w:bCs/>
        </w:rPr>
        <w:t xml:space="preserve">Dr. Ernesto M. Flores-Roux </w:t>
      </w:r>
    </w:p>
    <w:p w14:paraId="20275B39" w14:textId="77777777" w:rsidR="002658DC" w:rsidRPr="00B90CE2" w:rsidRDefault="002658DC" w:rsidP="002658DC">
      <w:pPr>
        <w:autoSpaceDE w:val="0"/>
        <w:autoSpaceDN w:val="0"/>
        <w:adjustRightInd w:val="0"/>
        <w:jc w:val="center"/>
        <w:rPr>
          <w:rFonts w:ascii="Calibri" w:eastAsia="Calibri" w:hAnsi="Calibri" w:cs="Times New Roman"/>
          <w:b/>
          <w:bCs/>
        </w:rPr>
      </w:pPr>
      <w:r w:rsidRPr="00B90CE2">
        <w:rPr>
          <w:rFonts w:ascii="Calibri" w:eastAsia="Calibri" w:hAnsi="Calibri" w:cs="Times New Roman"/>
          <w:b/>
          <w:bCs/>
        </w:rPr>
        <w:t>Presidente</w:t>
      </w:r>
    </w:p>
    <w:p w14:paraId="33A5E926" w14:textId="6C373040" w:rsidR="002658DC" w:rsidRPr="00B90CE2" w:rsidRDefault="002658DC" w:rsidP="002658DC">
      <w:pPr>
        <w:autoSpaceDE w:val="0"/>
        <w:autoSpaceDN w:val="0"/>
        <w:adjustRightInd w:val="0"/>
        <w:jc w:val="center"/>
        <w:rPr>
          <w:rFonts w:ascii="Calibri" w:eastAsia="Calibri" w:hAnsi="Calibri" w:cs="Times New Roman"/>
          <w:b/>
          <w:bCs/>
        </w:rPr>
      </w:pPr>
      <w:r w:rsidRPr="00B90CE2">
        <w:rPr>
          <w:rFonts w:ascii="Calibri" w:eastAsia="Calibri" w:hAnsi="Calibri" w:cs="Times New Roman"/>
          <w:b/>
          <w:bCs/>
        </w:rPr>
        <w:t>Lic. Juan José Crispín Borbolla</w:t>
      </w:r>
    </w:p>
    <w:p w14:paraId="193E7D80" w14:textId="1C42FADE" w:rsidR="002658DC" w:rsidRDefault="002658DC" w:rsidP="004437A1">
      <w:pPr>
        <w:autoSpaceDE w:val="0"/>
        <w:autoSpaceDN w:val="0"/>
        <w:adjustRightInd w:val="0"/>
        <w:jc w:val="center"/>
        <w:rPr>
          <w:rFonts w:asciiTheme="majorHAnsi" w:hAnsiTheme="majorHAnsi"/>
          <w:lang w:val="es-ES_tradnl"/>
        </w:rPr>
      </w:pPr>
      <w:r w:rsidRPr="00B90CE2">
        <w:rPr>
          <w:rFonts w:ascii="Calibri" w:eastAsia="Calibri" w:hAnsi="Calibri" w:cs="Times New Roman"/>
          <w:b/>
          <w:bCs/>
        </w:rPr>
        <w:t>Secretario del Consejo</w:t>
      </w:r>
    </w:p>
    <w:p w14:paraId="207754F2" w14:textId="7A98FBAE" w:rsidR="002658DC" w:rsidRPr="00E015D9" w:rsidRDefault="002658DC" w:rsidP="002658DC">
      <w:pPr>
        <w:jc w:val="both"/>
        <w:rPr>
          <w:rFonts w:ascii="Calibri" w:hAnsi="Calibri" w:cs="Arial"/>
          <w:sz w:val="18"/>
          <w:szCs w:val="18"/>
          <w:lang w:val="es-ES_tradnl"/>
        </w:rPr>
      </w:pPr>
      <w:r w:rsidRPr="00A5156D">
        <w:rPr>
          <w:rFonts w:ascii="Calibri" w:hAnsi="Calibri" w:cs="Arial"/>
          <w:sz w:val="18"/>
          <w:szCs w:val="18"/>
          <w:lang w:val="es-ES_tradnl"/>
        </w:rPr>
        <w:t xml:space="preserve">La presente Recomendación fue aprobada por el II Consejo Consultivo del Instituto Federal de Telecomunicaciones por </w:t>
      </w:r>
      <w:r>
        <w:rPr>
          <w:rFonts w:ascii="Calibri" w:hAnsi="Calibri" w:cs="Arial"/>
          <w:sz w:val="18"/>
          <w:szCs w:val="18"/>
          <w:lang w:val="es-ES_tradnl"/>
        </w:rPr>
        <w:t>unanimidad de votos de los Consejeros</w:t>
      </w:r>
      <w:r w:rsidRPr="00A5156D">
        <w:rPr>
          <w:rFonts w:ascii="Calibri" w:hAnsi="Calibri" w:cs="Arial"/>
          <w:sz w:val="18"/>
          <w:szCs w:val="18"/>
          <w:lang w:val="es-ES_tradnl"/>
        </w:rPr>
        <w:t xml:space="preserve">: Clara Luz Álvarez González de Castilla, Carlos Arturo Bello Hernández, </w:t>
      </w:r>
      <w:r>
        <w:rPr>
          <w:rFonts w:ascii="Calibri" w:hAnsi="Calibri" w:cs="Arial"/>
          <w:sz w:val="18"/>
          <w:szCs w:val="18"/>
          <w:lang w:val="es-ES_tradnl"/>
        </w:rPr>
        <w:t xml:space="preserve">Enriqueta Cabrera Cuarón, </w:t>
      </w:r>
      <w:r w:rsidRPr="00A5156D">
        <w:rPr>
          <w:rFonts w:ascii="Calibri" w:hAnsi="Calibri" w:cs="Arial"/>
          <w:sz w:val="18"/>
          <w:szCs w:val="18"/>
          <w:lang w:val="es-ES_tradnl"/>
        </w:rPr>
        <w:t>Ernesto M. Flores-Roux, Gerardo Francisco González Abarca, Santiago Gutiérrez Fernández, Erick Huerta Velázquez, Irene Levy Mustri, Elisa V. Mariscal Medina, Luis Miguel Martínez Cervantes</w:t>
      </w:r>
      <w:r w:rsidR="00DF7A4D">
        <w:rPr>
          <w:rFonts w:ascii="Calibri" w:hAnsi="Calibri" w:cs="Arial"/>
          <w:sz w:val="18"/>
          <w:szCs w:val="18"/>
          <w:lang w:val="es-ES_tradnl"/>
        </w:rPr>
        <w:t xml:space="preserve"> y</w:t>
      </w:r>
      <w:r w:rsidRPr="00A5156D">
        <w:rPr>
          <w:rFonts w:ascii="Calibri" w:hAnsi="Calibri" w:cs="Arial"/>
          <w:sz w:val="18"/>
          <w:szCs w:val="18"/>
          <w:lang w:val="es-ES_tradnl"/>
        </w:rPr>
        <w:t xml:space="preserve"> Carlos Alejandro Merchán Escalante</w:t>
      </w:r>
      <w:r w:rsidRPr="00E015D9">
        <w:rPr>
          <w:rFonts w:ascii="Calibri" w:hAnsi="Calibri" w:cs="Arial"/>
          <w:sz w:val="18"/>
          <w:szCs w:val="18"/>
          <w:lang w:val="es-ES_tradnl"/>
        </w:rPr>
        <w:t>, en</w:t>
      </w:r>
      <w:r w:rsidR="00DF7A4D">
        <w:rPr>
          <w:rFonts w:ascii="Calibri" w:hAnsi="Calibri" w:cs="Arial"/>
          <w:sz w:val="18"/>
          <w:szCs w:val="18"/>
          <w:lang w:val="es-ES_tradnl"/>
        </w:rPr>
        <w:t xml:space="preserve"> su</w:t>
      </w:r>
      <w:r w:rsidRPr="00E015D9">
        <w:rPr>
          <w:rFonts w:ascii="Calibri" w:hAnsi="Calibri" w:cs="Arial"/>
          <w:sz w:val="18"/>
          <w:szCs w:val="18"/>
          <w:lang w:val="es-ES_tradnl"/>
        </w:rPr>
        <w:t xml:space="preserve"> </w:t>
      </w:r>
      <w:r w:rsidR="00DF7A4D">
        <w:rPr>
          <w:rFonts w:ascii="Calibri" w:hAnsi="Calibri" w:cs="Arial"/>
          <w:sz w:val="18"/>
          <w:szCs w:val="18"/>
          <w:lang w:val="es-ES_tradnl"/>
        </w:rPr>
        <w:t>III Sesión Ordinaria celebrada el 16 de marzo de 2017, mediante Acuerdo CC/IFT/160317/8</w:t>
      </w:r>
      <w:r w:rsidRPr="00E015D9">
        <w:rPr>
          <w:rFonts w:ascii="Calibri" w:hAnsi="Calibri" w:cs="Arial"/>
          <w:sz w:val="18"/>
          <w:szCs w:val="18"/>
          <w:lang w:val="es-ES_tradnl"/>
        </w:rPr>
        <w:t>.</w:t>
      </w:r>
    </w:p>
    <w:p w14:paraId="0424B2EB" w14:textId="77777777" w:rsidR="002658DC" w:rsidRPr="00963275" w:rsidRDefault="002658DC" w:rsidP="002658DC">
      <w:pPr>
        <w:autoSpaceDE w:val="0"/>
        <w:autoSpaceDN w:val="0"/>
        <w:adjustRightInd w:val="0"/>
        <w:jc w:val="both"/>
        <w:rPr>
          <w:rFonts w:asciiTheme="majorHAnsi" w:hAnsiTheme="majorHAnsi"/>
          <w:lang w:val="es-ES_tradnl"/>
        </w:rPr>
      </w:pPr>
      <w:r w:rsidRPr="00B90CE2">
        <w:rPr>
          <w:rFonts w:ascii="Calibri" w:eastAsia="Calibri" w:hAnsi="Calibri" w:cs="Times New Roman"/>
          <w:bCs/>
          <w:sz w:val="18"/>
          <w:szCs w:val="18"/>
        </w:rPr>
        <w:t xml:space="preserve">El Grupo de Trabajo </w:t>
      </w:r>
      <w:r>
        <w:rPr>
          <w:rFonts w:ascii="Calibri" w:eastAsia="Calibri" w:hAnsi="Calibri" w:cs="Times New Roman"/>
          <w:bCs/>
          <w:sz w:val="18"/>
          <w:szCs w:val="18"/>
        </w:rPr>
        <w:t>Audiencias</w:t>
      </w:r>
      <w:r w:rsidRPr="00B90CE2">
        <w:rPr>
          <w:rFonts w:ascii="Calibri" w:eastAsia="Calibri" w:hAnsi="Calibri" w:cs="Times New Roman"/>
          <w:bCs/>
          <w:sz w:val="18"/>
          <w:szCs w:val="18"/>
        </w:rPr>
        <w:t xml:space="preserve"> que desarrolló el proyecto de Recomendación, está integrado por</w:t>
      </w:r>
      <w:r w:rsidRPr="009B20CF">
        <w:t xml:space="preserve"> </w:t>
      </w:r>
      <w:r w:rsidRPr="00CE6814">
        <w:rPr>
          <w:rFonts w:ascii="Calibri" w:eastAsia="Calibri" w:hAnsi="Calibri" w:cs="Times New Roman"/>
          <w:bCs/>
          <w:sz w:val="18"/>
          <w:szCs w:val="18"/>
        </w:rPr>
        <w:t>Clara Luz Álvarez González de Castilla</w:t>
      </w:r>
      <w:r>
        <w:rPr>
          <w:rFonts w:ascii="Calibri" w:eastAsia="Calibri" w:hAnsi="Calibri" w:cs="Times New Roman"/>
          <w:bCs/>
          <w:sz w:val="18"/>
          <w:szCs w:val="18"/>
        </w:rPr>
        <w:t xml:space="preserve">, </w:t>
      </w:r>
      <w:r>
        <w:rPr>
          <w:rFonts w:ascii="Calibri" w:hAnsi="Calibri" w:cs="Arial"/>
          <w:sz w:val="18"/>
          <w:szCs w:val="18"/>
          <w:lang w:val="es-ES_tradnl"/>
        </w:rPr>
        <w:t>Patricia Arriaga Jordán y Enriqueta Cabrera Cuarón.</w:t>
      </w:r>
    </w:p>
    <w:p w14:paraId="39626C9F" w14:textId="77777777" w:rsidR="007C3942" w:rsidRPr="007C3942" w:rsidRDefault="007C3942" w:rsidP="007C3942">
      <w:pPr>
        <w:spacing w:after="0" w:line="240" w:lineRule="auto"/>
        <w:ind w:left="426" w:hanging="426"/>
        <w:jc w:val="both"/>
        <w:rPr>
          <w:rFonts w:cs="Arial"/>
        </w:rPr>
      </w:pPr>
    </w:p>
    <w:sectPr w:rsidR="007C3942" w:rsidRPr="007C3942" w:rsidSect="00001C6C">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7EF63" w14:textId="77777777" w:rsidR="00F23607" w:rsidRDefault="00F23607" w:rsidP="00D11276">
      <w:pPr>
        <w:spacing w:after="0" w:line="240" w:lineRule="auto"/>
      </w:pPr>
      <w:r>
        <w:separator/>
      </w:r>
    </w:p>
  </w:endnote>
  <w:endnote w:type="continuationSeparator" w:id="0">
    <w:p w14:paraId="13867B95" w14:textId="77777777" w:rsidR="00F23607" w:rsidRDefault="00F23607" w:rsidP="00D1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448062"/>
      <w:docPartObj>
        <w:docPartGallery w:val="Page Numbers (Bottom of Page)"/>
        <w:docPartUnique/>
      </w:docPartObj>
    </w:sdtPr>
    <w:sdtEndPr/>
    <w:sdtContent>
      <w:p w14:paraId="539AB35A" w14:textId="441CC20E" w:rsidR="00C474E4" w:rsidRDefault="00C474E4">
        <w:pPr>
          <w:pStyle w:val="Piedepgina"/>
          <w:jc w:val="right"/>
        </w:pPr>
        <w:r w:rsidRPr="00C474E4">
          <w:rPr>
            <w:sz w:val="18"/>
            <w:szCs w:val="18"/>
          </w:rPr>
          <w:fldChar w:fldCharType="begin"/>
        </w:r>
        <w:r w:rsidRPr="00C474E4">
          <w:rPr>
            <w:sz w:val="18"/>
            <w:szCs w:val="18"/>
          </w:rPr>
          <w:instrText>PAGE   \* MERGEFORMAT</w:instrText>
        </w:r>
        <w:r w:rsidRPr="00C474E4">
          <w:rPr>
            <w:sz w:val="18"/>
            <w:szCs w:val="18"/>
          </w:rPr>
          <w:fldChar w:fldCharType="separate"/>
        </w:r>
        <w:r w:rsidR="00E36C23" w:rsidRPr="00E36C23">
          <w:rPr>
            <w:noProof/>
            <w:sz w:val="18"/>
            <w:szCs w:val="18"/>
            <w:lang w:val="es-ES"/>
          </w:rPr>
          <w:t>1</w:t>
        </w:r>
        <w:r w:rsidRPr="00C474E4">
          <w:rPr>
            <w:sz w:val="18"/>
            <w:szCs w:val="18"/>
          </w:rPr>
          <w:fldChar w:fldCharType="end"/>
        </w:r>
      </w:p>
    </w:sdtContent>
  </w:sdt>
  <w:p w14:paraId="2200E1A6" w14:textId="77777777" w:rsidR="00C474E4" w:rsidRDefault="00C474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44997" w14:textId="77777777" w:rsidR="00F23607" w:rsidRDefault="00F23607" w:rsidP="00D11276">
      <w:pPr>
        <w:spacing w:after="0" w:line="240" w:lineRule="auto"/>
      </w:pPr>
      <w:r>
        <w:separator/>
      </w:r>
    </w:p>
  </w:footnote>
  <w:footnote w:type="continuationSeparator" w:id="0">
    <w:p w14:paraId="307A098B" w14:textId="77777777" w:rsidR="00F23607" w:rsidRDefault="00F23607" w:rsidP="00D11276">
      <w:pPr>
        <w:spacing w:after="0" w:line="240" w:lineRule="auto"/>
      </w:pPr>
      <w:r>
        <w:continuationSeparator/>
      </w:r>
    </w:p>
  </w:footnote>
  <w:footnote w:id="1">
    <w:p w14:paraId="684E7102" w14:textId="77777777" w:rsidR="00AF0545" w:rsidRPr="007C3942" w:rsidRDefault="00AF0545" w:rsidP="00AF0545">
      <w:pPr>
        <w:pStyle w:val="Textonotapie"/>
        <w:jc w:val="both"/>
        <w:rPr>
          <w:rFonts w:cs="Arial"/>
          <w:lang w:val="es-ES"/>
        </w:rPr>
      </w:pPr>
      <w:r w:rsidRPr="007C3942">
        <w:rPr>
          <w:rStyle w:val="Refdenotaalpie"/>
          <w:rFonts w:cs="Arial"/>
        </w:rPr>
        <w:footnoteRef/>
      </w:r>
      <w:r w:rsidRPr="007C3942">
        <w:rPr>
          <w:rFonts w:cs="Arial"/>
        </w:rPr>
        <w:t xml:space="preserve"> Artículo Tercero fracción IX transitorio del Decreto por el que se reforman y adicionan diversas disposiciones de los artículos 6º, 7º, 27, 28, 73, 78, 94 y 105 de la Constitución Política de los Estados Unidos Mexicanos, en materia de telecomunicaciones, y artículo</w:t>
      </w:r>
      <w:r w:rsidRPr="007C3942">
        <w:rPr>
          <w:rFonts w:cs="Arial"/>
          <w:lang w:val="es-ES"/>
        </w:rPr>
        <w:t xml:space="preserve"> 34 de la Ley Federal de Telecomunicaciones y Radiodifusión.</w:t>
      </w:r>
    </w:p>
  </w:footnote>
  <w:footnote w:id="2">
    <w:p w14:paraId="245248D9" w14:textId="46F93E60" w:rsidR="00AF0545" w:rsidRPr="007C3942" w:rsidRDefault="00AF0545" w:rsidP="00AF0545">
      <w:pPr>
        <w:pStyle w:val="Textonotapie"/>
        <w:jc w:val="both"/>
        <w:rPr>
          <w:rFonts w:cs="Arial"/>
          <w:lang w:val="es-ES"/>
        </w:rPr>
      </w:pPr>
      <w:r w:rsidRPr="007C3942">
        <w:rPr>
          <w:rStyle w:val="Refdenotaalpie"/>
          <w:rFonts w:cs="Arial"/>
        </w:rPr>
        <w:footnoteRef/>
      </w:r>
      <w:r w:rsidRPr="007C3942">
        <w:rPr>
          <w:rFonts w:cs="Arial"/>
        </w:rPr>
        <w:t xml:space="preserve"> </w:t>
      </w:r>
      <w:r w:rsidRPr="007C3942">
        <w:rPr>
          <w:rFonts w:cs="Arial"/>
          <w:lang w:val="es-ES"/>
        </w:rPr>
        <w:t xml:space="preserve">Recomendación que emite el Consejo Consultivo del Instituto Federal de Telecomunicaciones respecto a Audiencias de Radiodifusión y Telecomunicaciones, aprobada el 28 de noviembre de 2016 y disponible en </w:t>
      </w:r>
      <w:hyperlink r:id="rId1" w:tooltip="HIpervínculo a recomendación de Audiencias de Radiodifusión y Telcomunicaciones" w:history="1">
        <w:r w:rsidRPr="007C3942">
          <w:rPr>
            <w:rStyle w:val="Hipervnculo"/>
            <w:rFonts w:cs="Arial"/>
            <w:lang w:val="es-ES"/>
          </w:rPr>
          <w:t>http://consejoconsultivo.ift.org.mx/docs/recomendaciones/Recomendacion-Audiencias-Telecomunicaciones.pdf</w:t>
        </w:r>
      </w:hyperlink>
      <w:r w:rsidRPr="007C3942">
        <w:rPr>
          <w:rFonts w:cs="Arial"/>
          <w:lang w:val="es-ES"/>
        </w:rPr>
        <w:t xml:space="preserve">; y </w:t>
      </w:r>
      <w:r w:rsidRPr="007C3942">
        <w:rPr>
          <w:rFonts w:cs="Arial"/>
          <w:color w:val="000000" w:themeColor="text1"/>
        </w:rPr>
        <w:t xml:space="preserve">Recomendación del Consejo Consultivo del Instituto Federal de Telecomunicaciones respecto de acciones institucionales en el contexto de la nueva legislación en la materia, estímulos e incentivos a concesionarios y productores; los derechos informativos y culturales de los ciudadanos y el interés superior de la infancia, aprobada el 23 de abril de 2015 y disponible en </w:t>
      </w:r>
      <w:hyperlink r:id="rId2" w:tooltip="HIpervínculo a recomendación acciones institucionales" w:history="1">
        <w:r w:rsidRPr="007C3942">
          <w:rPr>
            <w:rStyle w:val="Hipervnculo"/>
            <w:rFonts w:cs="Arial"/>
          </w:rPr>
          <w:t>http://consejoconsultivo.ift.org.mx/docs/recomendaciones/RecomendacionAccionesInstitucionales_en_el_contexto_de_la_nueva_legislacion-Audiencias.pdf</w:t>
        </w:r>
      </w:hyperlink>
      <w:r w:rsidRPr="007C3942">
        <w:rPr>
          <w:rFonts w:cs="Arial"/>
          <w:color w:val="000000" w:themeColor="text1"/>
        </w:rPr>
        <w:t xml:space="preserve"> y en </w:t>
      </w:r>
      <w:hyperlink r:id="rId3" w:tooltip="Hipervínculo a recomendación acciones institucionales en su versión ejecutiva" w:history="1">
        <w:r w:rsidRPr="007C3942">
          <w:rPr>
            <w:rStyle w:val="Hipervnculo"/>
            <w:rFonts w:cs="Arial"/>
          </w:rPr>
          <w:t>http://consejoconsultivo.ift.org.mx/docs/recomendaciones/Recomendación%20Acciones%20Institucionales%20en%20el%20contexto%20de%20la%20nueva%20legislación-Audiencias.pdf</w:t>
        </w:r>
      </w:hyperlink>
      <w:r w:rsidRPr="007C3942">
        <w:rPr>
          <w:rFonts w:cs="Arial"/>
          <w:color w:val="000000" w:themeColor="text1"/>
        </w:rPr>
        <w:t xml:space="preserve"> (versión ejecutiva)</w:t>
      </w:r>
      <w:r w:rsidRPr="007C3942">
        <w:rPr>
          <w:rFonts w:cs="Arial"/>
          <w:lang w:val="es-ES"/>
        </w:rPr>
        <w:t xml:space="preserve">. </w:t>
      </w:r>
    </w:p>
  </w:footnote>
  <w:footnote w:id="3">
    <w:p w14:paraId="03C16EA0" w14:textId="7E0CFC71" w:rsidR="00AF0545" w:rsidRPr="007C3942" w:rsidRDefault="00AF0545" w:rsidP="00AF0545">
      <w:pPr>
        <w:pStyle w:val="Textonotapie"/>
        <w:jc w:val="both"/>
        <w:rPr>
          <w:rFonts w:cs="Arial"/>
          <w:lang w:val="es-ES"/>
        </w:rPr>
      </w:pPr>
      <w:r w:rsidRPr="007C3942">
        <w:rPr>
          <w:rStyle w:val="Refdenotaalpie"/>
          <w:rFonts w:cs="Arial"/>
        </w:rPr>
        <w:footnoteRef/>
      </w:r>
      <w:r w:rsidRPr="007C3942">
        <w:rPr>
          <w:rFonts w:cs="Arial"/>
        </w:rPr>
        <w:t xml:space="preserve"> </w:t>
      </w:r>
      <w:r w:rsidRPr="007C3942">
        <w:rPr>
          <w:rFonts w:cs="Arial"/>
          <w:lang w:val="es-ES"/>
        </w:rPr>
        <w:t xml:space="preserve">Carta del Consejo Consultivo del IFT de fecha 17 de diciembre de 2015, dirigida al Pleno del IFT en relación con los lineamientos de clasificación de contenidos audiovisuales publicados por la Secretaría de Gobernación el 4 de noviembre de 2015. Esta carta está disponible en </w:t>
      </w:r>
      <w:hyperlink r:id="rId4" w:tooltip="Hipervínculo a carta de lineamientos de clasificación de contenidos audiovisuales" w:history="1">
        <w:r w:rsidRPr="007C3942">
          <w:rPr>
            <w:rStyle w:val="Hipervnculo"/>
            <w:rFonts w:cs="Arial"/>
            <w:lang w:val="es-ES"/>
          </w:rPr>
          <w:t>http://consejoconsultivo.ift.org.mx/docs/recomendaciones/Carta-Lineamientos-IFT.pdf</w:t>
        </w:r>
      </w:hyperlink>
      <w:r w:rsidRPr="007C3942">
        <w:rPr>
          <w:rFonts w:cs="Arial"/>
          <w:lang w:val="es-ES"/>
        </w:rPr>
        <w:t>.</w:t>
      </w:r>
    </w:p>
  </w:footnote>
  <w:footnote w:id="4">
    <w:p w14:paraId="2EBD8FAC" w14:textId="70589BC9" w:rsidR="00AF0545" w:rsidRPr="007C3942" w:rsidRDefault="00AF0545" w:rsidP="00AF0545">
      <w:pPr>
        <w:pStyle w:val="Textonotapie"/>
        <w:jc w:val="both"/>
        <w:rPr>
          <w:rFonts w:cs="Arial"/>
          <w:lang w:val="es-ES"/>
        </w:rPr>
      </w:pPr>
      <w:r w:rsidRPr="007C3942">
        <w:rPr>
          <w:rStyle w:val="Refdenotaalpie"/>
          <w:rFonts w:cs="Arial"/>
        </w:rPr>
        <w:footnoteRef/>
      </w:r>
      <w:r w:rsidRPr="007C3942">
        <w:rPr>
          <w:rFonts w:cs="Arial"/>
        </w:rPr>
        <w:t xml:space="preserve"> </w:t>
      </w:r>
      <w:r w:rsidRPr="007C3942">
        <w:rPr>
          <w:rFonts w:cs="Arial"/>
          <w:lang w:val="es-ES"/>
        </w:rPr>
        <w:t xml:space="preserve">Carta del Consejo Consultivo del IFT de fecha 17 de diciembre de 2015, dirigida al Subsecretario de Normatividad y Medios de la Secretaría de Gobernación en relación con los lineamientos de clasificación de contenidos audiovisuales publicados por dicha autoridad el 4 de noviembre de 2015. Esta carta está disponible en </w:t>
      </w:r>
      <w:hyperlink r:id="rId5" w:tooltip="Hipervínculo a carta sore lineamientos de clasificación de contenidos audiovisuales" w:history="1">
        <w:r w:rsidRPr="007C3942">
          <w:rPr>
            <w:rStyle w:val="Hipervnculo"/>
            <w:rFonts w:cs="Arial"/>
            <w:lang w:val="es-ES"/>
          </w:rPr>
          <w:t>http://consejoconsultivo.ift.org.mx/docs/recomendaciones/Carta-Lineamiento-SEGOB.pdf</w:t>
        </w:r>
      </w:hyperlink>
      <w:r w:rsidRPr="007C3942">
        <w:rPr>
          <w:rFonts w:cs="Arial"/>
          <w:lang w:val="es-ES"/>
        </w:rPr>
        <w:t>.</w:t>
      </w:r>
    </w:p>
  </w:footnote>
  <w:footnote w:id="5">
    <w:p w14:paraId="1C4E2138" w14:textId="6E422C9B" w:rsidR="00962085" w:rsidRDefault="00962085">
      <w:pPr>
        <w:pStyle w:val="Textonotapie"/>
        <w:rPr>
          <w:rFonts w:cs="Arial"/>
          <w:lang w:val="es-ES"/>
        </w:rPr>
      </w:pPr>
      <w:r w:rsidRPr="007C3942">
        <w:rPr>
          <w:rStyle w:val="Refdenotaalpie"/>
          <w:rFonts w:cs="Arial"/>
        </w:rPr>
        <w:footnoteRef/>
      </w:r>
      <w:r w:rsidRPr="007C3942">
        <w:rPr>
          <w:rFonts w:cs="Arial"/>
        </w:rPr>
        <w:t xml:space="preserve"> </w:t>
      </w:r>
      <w:r w:rsidR="00A76C77" w:rsidRPr="007C3942">
        <w:rPr>
          <w:rFonts w:cs="Arial"/>
          <w:lang w:val="es-ES"/>
        </w:rPr>
        <w:t xml:space="preserve"> </w:t>
      </w:r>
      <w:hyperlink r:id="rId6" w:tooltip="Hipervínculo a comunicado de presnsa sobre derechos de las audiencias" w:history="1">
        <w:r w:rsidR="007C3942" w:rsidRPr="00EC1EAD">
          <w:rPr>
            <w:rStyle w:val="Hipervnculo"/>
            <w:rFonts w:cs="Arial"/>
            <w:lang w:val="es-ES"/>
          </w:rPr>
          <w:t>http://consejoconsultivo.ift.org.mx/docs/cprensa/2017/Comunicado_Prensa_Derechos_de_las_Audiencias.pdf</w:t>
        </w:r>
      </w:hyperlink>
    </w:p>
    <w:p w14:paraId="2A0974B6" w14:textId="77777777" w:rsidR="007C3942" w:rsidRPr="007C3942" w:rsidRDefault="007C3942">
      <w:pPr>
        <w:pStyle w:val="Textonotapie"/>
        <w:rPr>
          <w:rFonts w:cs="Arial"/>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B7E4" w14:textId="1BDA1F3C" w:rsidR="00001C6C" w:rsidRDefault="004437A1" w:rsidP="00E36C23">
    <w:pPr>
      <w:pStyle w:val="Encabezado"/>
    </w:pPr>
    <w:r w:rsidRPr="00BB43AC">
      <w:rPr>
        <w:noProof/>
        <w:lang w:eastAsia="es-MX"/>
      </w:rPr>
      <w:drawing>
        <wp:inline distT="0" distB="0" distL="0" distR="0" wp14:anchorId="19ECF3E7" wp14:editId="325593C0">
          <wp:extent cx="3775075" cy="955675"/>
          <wp:effectExtent l="0" t="0" r="0" b="0"/>
          <wp:docPr id="22" name="Imagen 22" descr="Hoja membretada con el logotipo del Consejo Consultivo." title="Logo del Consejo Consulti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n 9" descr="Hoja membretada con el logotipo del Consejo Consultivo." title="Logo del Consejo Consultiv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075" cy="955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276"/>
    <w:rsid w:val="00001C6C"/>
    <w:rsid w:val="001074DA"/>
    <w:rsid w:val="00134EB5"/>
    <w:rsid w:val="002658DC"/>
    <w:rsid w:val="00301691"/>
    <w:rsid w:val="003E7CA4"/>
    <w:rsid w:val="0043446C"/>
    <w:rsid w:val="004437A1"/>
    <w:rsid w:val="00465D37"/>
    <w:rsid w:val="00652A5B"/>
    <w:rsid w:val="007A2154"/>
    <w:rsid w:val="007C3942"/>
    <w:rsid w:val="00835D11"/>
    <w:rsid w:val="00962085"/>
    <w:rsid w:val="009B2F72"/>
    <w:rsid w:val="009C0174"/>
    <w:rsid w:val="009E4284"/>
    <w:rsid w:val="00A76C77"/>
    <w:rsid w:val="00AF0545"/>
    <w:rsid w:val="00C443E4"/>
    <w:rsid w:val="00C474E4"/>
    <w:rsid w:val="00C5364A"/>
    <w:rsid w:val="00D11276"/>
    <w:rsid w:val="00DF7A4D"/>
    <w:rsid w:val="00E36C23"/>
    <w:rsid w:val="00F236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8B0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76"/>
    <w:pPr>
      <w:spacing w:after="160" w:line="259" w:lineRule="auto"/>
    </w:pPr>
    <w:rPr>
      <w:sz w:val="22"/>
      <w:szCs w:val="22"/>
      <w:lang w:val="es-MX"/>
    </w:rPr>
  </w:style>
  <w:style w:type="paragraph" w:styleId="Ttulo1">
    <w:name w:val="heading 1"/>
    <w:basedOn w:val="Normal"/>
    <w:next w:val="Normal"/>
    <w:link w:val="Ttulo1Car"/>
    <w:uiPriority w:val="9"/>
    <w:qFormat/>
    <w:rsid w:val="004437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11276"/>
    <w:pPr>
      <w:spacing w:after="0" w:line="240" w:lineRule="auto"/>
    </w:pPr>
    <w:rPr>
      <w:sz w:val="20"/>
      <w:szCs w:val="20"/>
    </w:rPr>
  </w:style>
  <w:style w:type="character" w:customStyle="1" w:styleId="TextonotapieCar">
    <w:name w:val="Texto nota pie Car"/>
    <w:basedOn w:val="Fuentedeprrafopredeter"/>
    <w:link w:val="Textonotapie"/>
    <w:uiPriority w:val="99"/>
    <w:rsid w:val="00D11276"/>
    <w:rPr>
      <w:sz w:val="20"/>
      <w:szCs w:val="20"/>
      <w:lang w:val="es-MX"/>
    </w:rPr>
  </w:style>
  <w:style w:type="character" w:styleId="Refdenotaalpie">
    <w:name w:val="footnote reference"/>
    <w:basedOn w:val="Fuentedeprrafopredeter"/>
    <w:uiPriority w:val="99"/>
    <w:unhideWhenUsed/>
    <w:rsid w:val="00D11276"/>
    <w:rPr>
      <w:vertAlign w:val="superscript"/>
    </w:rPr>
  </w:style>
  <w:style w:type="character" w:styleId="Hipervnculo">
    <w:name w:val="Hyperlink"/>
    <w:basedOn w:val="Fuentedeprrafopredeter"/>
    <w:uiPriority w:val="99"/>
    <w:unhideWhenUsed/>
    <w:rsid w:val="00D11276"/>
    <w:rPr>
      <w:color w:val="0563C1" w:themeColor="hyperlink"/>
      <w:u w:val="single"/>
    </w:rPr>
  </w:style>
  <w:style w:type="paragraph" w:styleId="Encabezado">
    <w:name w:val="header"/>
    <w:basedOn w:val="Normal"/>
    <w:link w:val="EncabezadoCar"/>
    <w:uiPriority w:val="99"/>
    <w:unhideWhenUsed/>
    <w:rsid w:val="00001C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C6C"/>
    <w:rPr>
      <w:sz w:val="22"/>
      <w:szCs w:val="22"/>
      <w:lang w:val="es-MX"/>
    </w:rPr>
  </w:style>
  <w:style w:type="paragraph" w:styleId="Piedepgina">
    <w:name w:val="footer"/>
    <w:basedOn w:val="Normal"/>
    <w:link w:val="PiedepginaCar"/>
    <w:uiPriority w:val="99"/>
    <w:unhideWhenUsed/>
    <w:rsid w:val="00001C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C6C"/>
    <w:rPr>
      <w:sz w:val="22"/>
      <w:szCs w:val="22"/>
      <w:lang w:val="es-MX"/>
    </w:rPr>
  </w:style>
  <w:style w:type="character" w:customStyle="1" w:styleId="Ttulo1Car">
    <w:name w:val="Título 1 Car"/>
    <w:basedOn w:val="Fuentedeprrafopredeter"/>
    <w:link w:val="Ttulo1"/>
    <w:uiPriority w:val="9"/>
    <w:rsid w:val="004437A1"/>
    <w:rPr>
      <w:rFonts w:asciiTheme="majorHAnsi" w:eastAsiaTheme="majorEastAsia" w:hAnsiTheme="majorHAnsi" w:cstheme="majorBidi"/>
      <w:color w:val="2F5496"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onsejoconsultivo.ift.org.mx/docs/recomendaciones/Recomendaci&#243;n%20Acciones%20Institucionales%20en%20el%20contexto%20de%20la%20nueva%20legislaci&#243;n-Audiencias.pdf" TargetMode="External"/><Relationship Id="rId2" Type="http://schemas.openxmlformats.org/officeDocument/2006/relationships/hyperlink" Target="http://consejoconsultivo.ift.org.mx/docs/recomendaciones/RecomendacionAccionesInstitucionales_en_el_contexto_de_la_nueva_legislacion-Audiencias.pdf" TargetMode="External"/><Relationship Id="rId1" Type="http://schemas.openxmlformats.org/officeDocument/2006/relationships/hyperlink" Target="http://consejoconsultivo.ift.org.mx/docs/recomendaciones/Recomendacion-Audiencias-Telecomunicaciones.pdf" TargetMode="External"/><Relationship Id="rId6" Type="http://schemas.openxmlformats.org/officeDocument/2006/relationships/hyperlink" Target="http://consejoconsultivo.ift.org.mx/docs/cprensa/2017/Comunicado_Prensa_Derechos_de_las_Audiencias.pdf" TargetMode="External"/><Relationship Id="rId5" Type="http://schemas.openxmlformats.org/officeDocument/2006/relationships/hyperlink" Target="http://consejoconsultivo.ift.org.mx/docs/recomendaciones/Carta-Lineamiento-SEGOB.pdf" TargetMode="External"/><Relationship Id="rId4" Type="http://schemas.openxmlformats.org/officeDocument/2006/relationships/hyperlink" Target="http://consejoconsultivo.ift.org.mx/docs/recomendaciones/Carta-Lineamientos-IF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A963-678B-4E94-BDFF-0D945D85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Alma Teresa Perez Belmont</cp:lastModifiedBy>
  <cp:revision>2</cp:revision>
  <dcterms:created xsi:type="dcterms:W3CDTF">2017-03-31T16:50:00Z</dcterms:created>
  <dcterms:modified xsi:type="dcterms:W3CDTF">2017-03-31T16:50:00Z</dcterms:modified>
</cp:coreProperties>
</file>