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0974" w14:textId="7E76A080" w:rsidR="003707B8" w:rsidRDefault="003707B8" w:rsidP="000A6AD3">
      <w:pPr>
        <w:spacing w:line="276" w:lineRule="auto"/>
        <w:jc w:val="right"/>
      </w:pPr>
    </w:p>
    <w:p w14:paraId="1D905B47" w14:textId="168580E6" w:rsidR="00570FB3" w:rsidRDefault="00570FB3" w:rsidP="000A6AD3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1C3548">
        <w:rPr>
          <w:rFonts w:ascii="ITC Avant Garde" w:hAnsi="ITC Avant Garde"/>
          <w:sz w:val="22"/>
          <w:szCs w:val="22"/>
        </w:rPr>
        <w:t>a 30</w:t>
      </w:r>
      <w:r w:rsidR="00CF680E">
        <w:rPr>
          <w:rFonts w:ascii="ITC Avant Garde" w:hAnsi="ITC Avant Garde"/>
          <w:sz w:val="22"/>
          <w:szCs w:val="22"/>
        </w:rPr>
        <w:t xml:space="preserve"> de noviembre</w:t>
      </w:r>
      <w:r w:rsidRPr="002452FA">
        <w:rPr>
          <w:rFonts w:ascii="ITC Avant Garde" w:hAnsi="ITC Avant Garde"/>
          <w:sz w:val="22"/>
          <w:szCs w:val="22"/>
        </w:rPr>
        <w:t xml:space="preserve"> de 2020</w:t>
      </w:r>
      <w:r>
        <w:rPr>
          <w:rFonts w:ascii="ITC Avant Garde" w:hAnsi="ITC Avant Garde"/>
          <w:sz w:val="22"/>
          <w:szCs w:val="22"/>
        </w:rPr>
        <w:t>.</w:t>
      </w:r>
    </w:p>
    <w:p w14:paraId="69861038" w14:textId="77777777" w:rsidR="00884918" w:rsidRPr="002452FA" w:rsidRDefault="00884918" w:rsidP="000A6AD3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460A7ED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1BB10C5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232762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ECE575" w14:textId="7B54F029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 w:rsidR="006651C3"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C5B1A">
        <w:rPr>
          <w:rFonts w:ascii="ITC Avant Garde" w:hAnsi="ITC Avant Garde"/>
          <w:b/>
          <w:sz w:val="22"/>
          <w:szCs w:val="22"/>
        </w:rPr>
        <w:t>V</w:t>
      </w:r>
      <w:r w:rsidR="00CF680E">
        <w:rPr>
          <w:rFonts w:ascii="ITC Avant Garde" w:hAnsi="ITC Avant Garde"/>
          <w:b/>
          <w:sz w:val="22"/>
          <w:szCs w:val="22"/>
        </w:rPr>
        <w:t>I</w:t>
      </w:r>
      <w:r w:rsidR="001C3548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</w:t>
      </w:r>
      <w:r w:rsidR="001C3548">
        <w:rPr>
          <w:rFonts w:ascii="ITC Avant Garde" w:hAnsi="ITC Avant Garde"/>
          <w:b/>
          <w:sz w:val="22"/>
          <w:szCs w:val="22"/>
        </w:rPr>
        <w:t xml:space="preserve"> celebrarse el próximo jueves 3 de dic</w:t>
      </w:r>
      <w:r w:rsidR="00CF680E">
        <w:rPr>
          <w:rFonts w:ascii="ITC Avant Garde" w:hAnsi="ITC Avant Garde"/>
          <w:b/>
          <w:sz w:val="22"/>
          <w:szCs w:val="22"/>
        </w:rPr>
        <w:t>ie</w:t>
      </w:r>
      <w:r w:rsidR="00377C66">
        <w:rPr>
          <w:rFonts w:ascii="ITC Avant Garde" w:hAnsi="ITC Avant Garde"/>
          <w:b/>
          <w:sz w:val="22"/>
          <w:szCs w:val="22"/>
        </w:rPr>
        <w:t>mbre</w:t>
      </w:r>
      <w:r w:rsidRPr="00570FB3">
        <w:rPr>
          <w:rFonts w:ascii="ITC Avant Garde" w:hAnsi="ITC Avant Garde"/>
          <w:b/>
          <w:sz w:val="22"/>
          <w:szCs w:val="22"/>
        </w:rPr>
        <w:t xml:space="preserve">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="006651C3">
        <w:rPr>
          <w:rFonts w:ascii="ITC Avant Garde" w:hAnsi="ITC Avant Garde"/>
          <w:sz w:val="22"/>
          <w:szCs w:val="22"/>
        </w:rPr>
        <w:t xml:space="preserve">y que se realizará </w:t>
      </w:r>
      <w:r w:rsidR="00E94764">
        <w:rPr>
          <w:rFonts w:ascii="ITC Avant Garde" w:hAnsi="ITC Avant Garde"/>
          <w:sz w:val="22"/>
          <w:szCs w:val="22"/>
        </w:rPr>
        <w:t>a través de medios electrónicos de comunicación a distancia.</w:t>
      </w:r>
    </w:p>
    <w:p w14:paraId="5F2B810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23030833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29EF6AD8" w14:textId="072D4EF3" w:rsidR="000A6AD3" w:rsidRPr="004B395A" w:rsidRDefault="000A6AD3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0E2BB81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7540384D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3BBCC627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5D487F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CFABCA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0A6AD3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A8C76A7" w14:textId="6BD6DD1E" w:rsidR="004E4D2B" w:rsidRDefault="00474B48" w:rsidP="005D18A4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CF680E">
        <w:rPr>
          <w:rFonts w:ascii="ITC Avant Garde" w:eastAsiaTheme="minorEastAsia" w:hAnsi="ITC Avant Garde"/>
          <w:sz w:val="22"/>
          <w:szCs w:val="22"/>
        </w:rPr>
        <w:t>Aprobación del Acta de la V</w:t>
      </w:r>
      <w:r w:rsidR="001C3548">
        <w:rPr>
          <w:rFonts w:ascii="ITC Avant Garde" w:eastAsiaTheme="minorEastAsia" w:hAnsi="ITC Avant Garde"/>
          <w:sz w:val="22"/>
          <w:szCs w:val="22"/>
        </w:rPr>
        <w:t>I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 Cons</w:t>
      </w:r>
      <w:r w:rsidR="001C3548">
        <w:rPr>
          <w:rFonts w:ascii="ITC Avant Garde" w:eastAsiaTheme="minorEastAsia" w:hAnsi="ITC Avant Garde"/>
          <w:sz w:val="22"/>
          <w:szCs w:val="22"/>
        </w:rPr>
        <w:t>ejo Consultivo, celebrada el 5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1C3548">
        <w:rPr>
          <w:rFonts w:ascii="ITC Avant Garde" w:eastAsiaTheme="minorEastAsia" w:hAnsi="ITC Avant Garde"/>
          <w:sz w:val="22"/>
          <w:szCs w:val="22"/>
        </w:rPr>
        <w:t>de noviem</w:t>
      </w:r>
      <w:r w:rsidR="00CF680E">
        <w:rPr>
          <w:rFonts w:ascii="ITC Avant Garde" w:eastAsiaTheme="minorEastAsia" w:hAnsi="ITC Avant Garde"/>
          <w:sz w:val="22"/>
          <w:szCs w:val="22"/>
        </w:rPr>
        <w:t>bre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 xml:space="preserve"> de 2020.</w:t>
      </w:r>
    </w:p>
    <w:p w14:paraId="08C9BD9E" w14:textId="5D26A5B9" w:rsidR="009C09A6" w:rsidRDefault="009C09A6" w:rsidP="001C3548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III.2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1C3548" w:rsidRPr="003707B8">
        <w:rPr>
          <w:rFonts w:ascii="ITC Avant Garde" w:hAnsi="ITC Avant Garde"/>
          <w:sz w:val="22"/>
          <w:szCs w:val="22"/>
        </w:rPr>
        <w:t>Recomendación que emite el Consejo Consultivo del Instituto Fed</w:t>
      </w:r>
      <w:r w:rsidR="00CB4268">
        <w:rPr>
          <w:rFonts w:ascii="ITC Avant Garde" w:hAnsi="ITC Avant Garde"/>
          <w:sz w:val="22"/>
          <w:szCs w:val="22"/>
        </w:rPr>
        <w:t>eral de Telecomunicaciones sobre</w:t>
      </w:r>
      <w:r w:rsidR="00FA6CF2">
        <w:rPr>
          <w:rFonts w:ascii="ITC Avant Garde" w:hAnsi="ITC Avant Garde"/>
          <w:sz w:val="22"/>
          <w:szCs w:val="22"/>
        </w:rPr>
        <w:t xml:space="preserve"> los</w:t>
      </w:r>
      <w:r w:rsidR="00CB4268">
        <w:rPr>
          <w:rFonts w:ascii="ITC Avant Garde" w:hAnsi="ITC Avant Garde"/>
          <w:sz w:val="22"/>
          <w:szCs w:val="22"/>
        </w:rPr>
        <w:t xml:space="preserve"> Lineamientos sobre el uso de números nacionales desde la nube de Internet</w:t>
      </w:r>
      <w:r w:rsidR="001C3548" w:rsidRPr="003707B8">
        <w:rPr>
          <w:rFonts w:ascii="ITC Avant Garde" w:hAnsi="ITC Avant Garde"/>
          <w:sz w:val="22"/>
          <w:szCs w:val="22"/>
        </w:rPr>
        <w:t>.</w:t>
      </w:r>
    </w:p>
    <w:p w14:paraId="124EF8FC" w14:textId="61C56BF5" w:rsidR="00CB4268" w:rsidRDefault="00933F43" w:rsidP="00CB4268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933F43">
        <w:rPr>
          <w:rFonts w:ascii="ITC Avant Garde" w:eastAsiaTheme="minorEastAsia" w:hAnsi="ITC Avant Garde"/>
          <w:sz w:val="22"/>
          <w:szCs w:val="22"/>
        </w:rPr>
        <w:t>III.</w:t>
      </w:r>
      <w:r w:rsidR="009C09A6">
        <w:rPr>
          <w:rFonts w:ascii="ITC Avant Garde" w:hAnsi="ITC Avant Garde"/>
          <w:sz w:val="22"/>
          <w:szCs w:val="22"/>
        </w:rPr>
        <w:t>3</w:t>
      </w:r>
      <w:r>
        <w:rPr>
          <w:rFonts w:ascii="ITC Avant Garde" w:hAnsi="ITC Avant Garde"/>
          <w:sz w:val="22"/>
          <w:szCs w:val="22"/>
        </w:rPr>
        <w:tab/>
      </w:r>
      <w:r w:rsidRPr="00D92266">
        <w:rPr>
          <w:rFonts w:ascii="ITC Avant Garde" w:hAnsi="ITC Avant Garde"/>
          <w:sz w:val="22"/>
          <w:szCs w:val="22"/>
        </w:rPr>
        <w:tab/>
      </w:r>
      <w:r w:rsidR="00CB4268" w:rsidRPr="003707B8">
        <w:rPr>
          <w:rFonts w:ascii="ITC Avant Garde" w:hAnsi="ITC Avant Garde"/>
          <w:sz w:val="22"/>
          <w:szCs w:val="22"/>
        </w:rPr>
        <w:t>Recomendación que emite el Consejo Consultivo del Instituto Fed</w:t>
      </w:r>
      <w:r w:rsidR="00CB4268">
        <w:rPr>
          <w:rFonts w:ascii="ITC Avant Garde" w:hAnsi="ITC Avant Garde"/>
          <w:sz w:val="22"/>
          <w:szCs w:val="22"/>
        </w:rPr>
        <w:t>eral de Telecomunicaciones para promover la economía digital</w:t>
      </w:r>
      <w:r w:rsidR="00CB4268" w:rsidRPr="003707B8">
        <w:rPr>
          <w:rFonts w:ascii="ITC Avant Garde" w:hAnsi="ITC Avant Garde"/>
          <w:sz w:val="22"/>
          <w:szCs w:val="22"/>
        </w:rPr>
        <w:t>.</w:t>
      </w:r>
    </w:p>
    <w:p w14:paraId="340D35F8" w14:textId="350F48BD" w:rsidR="00933F43" w:rsidRDefault="00933F43" w:rsidP="00933F43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</w:p>
    <w:p w14:paraId="0A393BD0" w14:textId="19EA215F" w:rsidR="00884918" w:rsidRDefault="00884918" w:rsidP="00933F43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</w:p>
    <w:p w14:paraId="460F0171" w14:textId="77777777" w:rsidR="00C72F81" w:rsidRDefault="00C72F81" w:rsidP="00933F43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</w:p>
    <w:p w14:paraId="10886FED" w14:textId="37044E76" w:rsidR="00B0682F" w:rsidRPr="00B0682F" w:rsidRDefault="00B0682F" w:rsidP="00942926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  <w:r w:rsidRPr="00B0682F">
        <w:rPr>
          <w:rFonts w:ascii="ITC Avant Garde" w:eastAsiaTheme="minorEastAsia" w:hAnsi="ITC Avant Garde"/>
          <w:sz w:val="22"/>
          <w:szCs w:val="22"/>
        </w:rPr>
        <w:t>III.</w:t>
      </w:r>
      <w:r>
        <w:rPr>
          <w:rFonts w:ascii="ITC Avant Garde" w:hAnsi="ITC Avant Garde"/>
          <w:sz w:val="22"/>
          <w:szCs w:val="22"/>
        </w:rPr>
        <w:t>4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  <w:t xml:space="preserve"> </w:t>
      </w:r>
      <w:r w:rsidR="00942926">
        <w:rPr>
          <w:rFonts w:ascii="ITC Avant Garde" w:eastAsiaTheme="minorEastAsia" w:hAnsi="ITC Avant Garde"/>
          <w:sz w:val="22"/>
          <w:szCs w:val="22"/>
        </w:rPr>
        <w:t>Informe de avances de los Grupos de Trabajo.</w:t>
      </w:r>
    </w:p>
    <w:p w14:paraId="5D9D325D" w14:textId="77777777" w:rsidR="003707B8" w:rsidRDefault="003707B8" w:rsidP="00B0682F">
      <w:pPr>
        <w:tabs>
          <w:tab w:val="left" w:pos="567"/>
        </w:tabs>
        <w:spacing w:after="0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</w:p>
    <w:p w14:paraId="66EE0DFE" w14:textId="34321231" w:rsidR="00D92266" w:rsidRDefault="00D92266" w:rsidP="00D92266">
      <w:pPr>
        <w:tabs>
          <w:tab w:val="left" w:pos="567"/>
        </w:tabs>
        <w:spacing w:after="0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</w:p>
    <w:p w14:paraId="04E124C8" w14:textId="564EDEF5" w:rsidR="00781855" w:rsidRPr="00781855" w:rsidRDefault="002D0B8E" w:rsidP="00D92266">
      <w:pPr>
        <w:pStyle w:val="Prrafodelista"/>
        <w:numPr>
          <w:ilvl w:val="0"/>
          <w:numId w:val="12"/>
        </w:numPr>
        <w:tabs>
          <w:tab w:val="left" w:pos="567"/>
        </w:tabs>
        <w:spacing w:line="276" w:lineRule="auto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14:paraId="2E46F2C3" w14:textId="4F573018" w:rsidR="00D92266" w:rsidRDefault="00D92266" w:rsidP="00D92266">
      <w:pPr>
        <w:tabs>
          <w:tab w:val="left" w:pos="567"/>
        </w:tabs>
        <w:spacing w:after="200" w:line="276" w:lineRule="auto"/>
        <w:rPr>
          <w:rFonts w:ascii="ITC Avant Garde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 xml:space="preserve">  </w:t>
      </w:r>
      <w:r w:rsidRPr="009D16BF">
        <w:rPr>
          <w:rFonts w:ascii="ITC Avant Garde" w:eastAsiaTheme="minorEastAsia" w:hAnsi="ITC Avant Garde"/>
          <w:sz w:val="22"/>
          <w:szCs w:val="22"/>
        </w:rPr>
        <w:t>IV.</w:t>
      </w:r>
      <w:r w:rsidR="00B0682F">
        <w:rPr>
          <w:rFonts w:ascii="ITC Avant Garde" w:hAnsi="ITC Avant Garde"/>
          <w:sz w:val="22"/>
          <w:szCs w:val="22"/>
        </w:rPr>
        <w:t>1</w:t>
      </w:r>
      <w:r w:rsidR="001A51B0">
        <w:rPr>
          <w:rFonts w:ascii="ITC Avant Garde" w:hAnsi="ITC Avant Garde"/>
          <w:sz w:val="22"/>
          <w:szCs w:val="22"/>
        </w:rPr>
        <w:tab/>
      </w:r>
      <w:r w:rsidR="001A51B0">
        <w:rPr>
          <w:rFonts w:ascii="ITC Avant Garde" w:hAnsi="ITC Avant Garde"/>
          <w:sz w:val="22"/>
          <w:szCs w:val="22"/>
        </w:rPr>
        <w:tab/>
      </w:r>
      <w:r w:rsidR="00942926">
        <w:rPr>
          <w:rFonts w:ascii="ITC Avant Garde" w:hAnsi="ITC Avant Garde"/>
          <w:sz w:val="22"/>
          <w:szCs w:val="22"/>
        </w:rPr>
        <w:t>Formato de Participación respecto a la Consulta Pública sobre el Proyecto “Hoja</w:t>
      </w:r>
      <w:r w:rsidR="00942926" w:rsidRPr="00B0682F">
        <w:rPr>
          <w:rFonts w:ascii="ITC Avant Garde" w:hAnsi="ITC Avant Garde"/>
          <w:sz w:val="22"/>
          <w:szCs w:val="22"/>
        </w:rPr>
        <w:t xml:space="preserve"> de </w:t>
      </w:r>
      <w:r w:rsidR="00C72F81">
        <w:rPr>
          <w:rFonts w:ascii="ITC Avant Garde" w:hAnsi="ITC Avant Garde"/>
          <w:sz w:val="22"/>
          <w:szCs w:val="22"/>
        </w:rPr>
        <w:tab/>
      </w:r>
      <w:r w:rsidR="00C72F81">
        <w:rPr>
          <w:rFonts w:ascii="ITC Avant Garde" w:hAnsi="ITC Avant Garde"/>
          <w:sz w:val="22"/>
          <w:szCs w:val="22"/>
        </w:rPr>
        <w:tab/>
      </w:r>
      <w:r w:rsidR="00C72F81">
        <w:rPr>
          <w:rFonts w:ascii="ITC Avant Garde" w:hAnsi="ITC Avant Garde"/>
          <w:sz w:val="22"/>
          <w:szCs w:val="22"/>
        </w:rPr>
        <w:tab/>
      </w:r>
      <w:r w:rsidR="00942926" w:rsidRPr="00B0682F">
        <w:rPr>
          <w:rFonts w:ascii="ITC Avant Garde" w:hAnsi="ITC Avant Garde"/>
          <w:sz w:val="22"/>
          <w:szCs w:val="22"/>
        </w:rPr>
        <w:t>Ruta del Instituto</w:t>
      </w:r>
      <w:r w:rsidR="00942926">
        <w:rPr>
          <w:rFonts w:ascii="ITC Avant Garde" w:hAnsi="ITC Avant Garde"/>
          <w:sz w:val="22"/>
          <w:szCs w:val="22"/>
        </w:rPr>
        <w:t xml:space="preserve"> </w:t>
      </w:r>
      <w:r w:rsidR="00942926" w:rsidRPr="00B0682F">
        <w:rPr>
          <w:rFonts w:ascii="ITC Avant Garde" w:hAnsi="ITC Avant Garde"/>
          <w:sz w:val="22"/>
          <w:szCs w:val="22"/>
        </w:rPr>
        <w:t>Federal de</w:t>
      </w:r>
      <w:r w:rsidR="00942926">
        <w:rPr>
          <w:rFonts w:ascii="ITC Avant Garde" w:hAnsi="ITC Avant Garde"/>
          <w:sz w:val="22"/>
          <w:szCs w:val="22"/>
        </w:rPr>
        <w:t xml:space="preserve"> Telecomunicaciones 2020-2024".</w:t>
      </w:r>
    </w:p>
    <w:p w14:paraId="6FFA417F" w14:textId="14942F67" w:rsidR="002D0B8E" w:rsidRDefault="002D0B8E" w:rsidP="00D92266">
      <w:pPr>
        <w:pStyle w:val="Prrafodelista"/>
        <w:tabs>
          <w:tab w:val="left" w:pos="567"/>
        </w:tabs>
        <w:spacing w:line="276" w:lineRule="auto"/>
        <w:ind w:left="0"/>
        <w:rPr>
          <w:rFonts w:ascii="ITC Avant Garde" w:eastAsiaTheme="minorHAnsi" w:hAnsi="ITC Avant Garde"/>
          <w:sz w:val="22"/>
          <w:szCs w:val="22"/>
        </w:rPr>
      </w:pPr>
    </w:p>
    <w:p w14:paraId="121786DA" w14:textId="5B221592" w:rsidR="00DA2030" w:rsidRDefault="00DA2030" w:rsidP="00D92266">
      <w:pPr>
        <w:pStyle w:val="Prrafodelista"/>
        <w:tabs>
          <w:tab w:val="left" w:pos="567"/>
        </w:tabs>
        <w:spacing w:line="276" w:lineRule="auto"/>
        <w:ind w:left="0"/>
        <w:rPr>
          <w:rFonts w:ascii="ITC Avant Garde" w:hAnsi="ITC Avant Garde"/>
          <w:b/>
          <w:sz w:val="22"/>
          <w:szCs w:val="22"/>
        </w:rPr>
      </w:pPr>
    </w:p>
    <w:p w14:paraId="45A265D8" w14:textId="77777777" w:rsidR="004E5541" w:rsidRDefault="004E5541" w:rsidP="00D92266">
      <w:pPr>
        <w:pStyle w:val="Prrafodelista"/>
        <w:tabs>
          <w:tab w:val="left" w:pos="567"/>
        </w:tabs>
        <w:spacing w:line="276" w:lineRule="auto"/>
        <w:ind w:left="0"/>
        <w:rPr>
          <w:rFonts w:ascii="ITC Avant Garde" w:hAnsi="ITC Avant Garde"/>
          <w:b/>
          <w:sz w:val="22"/>
          <w:szCs w:val="22"/>
        </w:rPr>
      </w:pPr>
    </w:p>
    <w:p w14:paraId="43E15B8C" w14:textId="583C507C" w:rsidR="002D0B8E" w:rsidRDefault="002D0B8E" w:rsidP="002D0B8E">
      <w:pPr>
        <w:pStyle w:val="Prrafodelista"/>
        <w:tabs>
          <w:tab w:val="left" w:pos="567"/>
        </w:tabs>
        <w:spacing w:after="100" w:afterAutospacing="1" w:line="276" w:lineRule="auto"/>
        <w:ind w:left="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  </w:t>
      </w:r>
    </w:p>
    <w:p w14:paraId="5D1C5974" w14:textId="76AFD2AC" w:rsidR="00781855" w:rsidRDefault="004E4D2B" w:rsidP="003F3FF9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  <w:bookmarkStart w:id="0" w:name="_GoBack"/>
      <w:bookmarkEnd w:id="0"/>
    </w:p>
    <w:p w14:paraId="380A3828" w14:textId="1AC065E5" w:rsidR="00DA2030" w:rsidRDefault="00DA2030" w:rsidP="004E4D2B">
      <w:pPr>
        <w:spacing w:after="0" w:line="240" w:lineRule="auto"/>
        <w:jc w:val="center"/>
        <w:rPr>
          <w:rFonts w:ascii="ITC Avant Garde" w:hAnsi="ITC Avant Garde"/>
          <w:noProof/>
          <w:sz w:val="22"/>
          <w:szCs w:val="22"/>
          <w:lang w:eastAsia="es-MX"/>
        </w:rPr>
      </w:pPr>
    </w:p>
    <w:p w14:paraId="019245BD" w14:textId="6DA0B58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14:paraId="638A11A0" w14:textId="2A1B1751" w:rsidR="004E4D2B" w:rsidRPr="006651C3" w:rsidRDefault="004E4D2B" w:rsidP="006651C3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E4D2B" w:rsidRPr="006651C3" w:rsidSect="001A51B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EEAE" w14:textId="77777777" w:rsidR="008E7218" w:rsidRDefault="008E7218" w:rsidP="0068060B">
      <w:pPr>
        <w:spacing w:after="0" w:line="240" w:lineRule="auto"/>
      </w:pPr>
      <w:r>
        <w:separator/>
      </w:r>
    </w:p>
  </w:endnote>
  <w:endnote w:type="continuationSeparator" w:id="0">
    <w:p w14:paraId="1227EC06" w14:textId="77777777" w:rsidR="008E7218" w:rsidRDefault="008E7218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7DD97734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3F3FF9" w:rsidRPr="003F3FF9">
          <w:rPr>
            <w:rFonts w:ascii="ITC Avant Garde" w:hAnsi="ITC Avant Garde"/>
            <w:noProof/>
            <w:sz w:val="16"/>
            <w:szCs w:val="16"/>
            <w:lang w:val="es-ES"/>
          </w:rPr>
          <w:t>2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E22FC6" w:rsidRDefault="00E22F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E22FC6" w:rsidRDefault="00E22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4D41" w14:textId="77777777" w:rsidR="008E7218" w:rsidRDefault="008E7218" w:rsidP="0068060B">
      <w:pPr>
        <w:spacing w:after="0" w:line="240" w:lineRule="auto"/>
      </w:pPr>
      <w:r>
        <w:separator/>
      </w:r>
    </w:p>
  </w:footnote>
  <w:footnote w:type="continuationSeparator" w:id="0">
    <w:p w14:paraId="0A7E034C" w14:textId="77777777" w:rsidR="008E7218" w:rsidRDefault="008E7218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21ED" w14:textId="77777777" w:rsidR="003707B8" w:rsidRDefault="003707B8" w:rsidP="009510B7">
    <w:pPr>
      <w:pStyle w:val="Encabezado"/>
      <w:ind w:left="4419" w:hanging="4419"/>
    </w:pPr>
  </w:p>
  <w:p w14:paraId="4A3F1E89" w14:textId="77777777" w:rsidR="003707B8" w:rsidRDefault="003707B8" w:rsidP="009510B7">
    <w:pPr>
      <w:pStyle w:val="Encabezado"/>
      <w:ind w:left="4419" w:hanging="4419"/>
    </w:pPr>
  </w:p>
  <w:p w14:paraId="428FAE95" w14:textId="77777777" w:rsidR="003707B8" w:rsidRDefault="003707B8" w:rsidP="009510B7">
    <w:pPr>
      <w:pStyle w:val="Encabezado"/>
      <w:ind w:left="4419" w:hanging="4419"/>
    </w:pPr>
  </w:p>
  <w:p w14:paraId="3CE2454D" w14:textId="77777777" w:rsidR="003707B8" w:rsidRDefault="003707B8" w:rsidP="009510B7">
    <w:pPr>
      <w:pStyle w:val="Encabezado"/>
      <w:ind w:left="4419" w:hanging="4419"/>
    </w:pPr>
  </w:p>
  <w:p w14:paraId="7207441B" w14:textId="77777777" w:rsidR="003707B8" w:rsidRDefault="003707B8" w:rsidP="009510B7">
    <w:pPr>
      <w:pStyle w:val="Encabezado"/>
      <w:ind w:left="4419" w:hanging="4419"/>
    </w:pPr>
  </w:p>
  <w:p w14:paraId="4E820FF7" w14:textId="77777777" w:rsidR="003707B8" w:rsidRDefault="003707B8" w:rsidP="009510B7">
    <w:pPr>
      <w:pStyle w:val="Encabezado"/>
      <w:ind w:left="4419" w:hanging="4419"/>
    </w:pPr>
  </w:p>
  <w:p w14:paraId="732C1845" w14:textId="77777777" w:rsidR="003707B8" w:rsidRDefault="003707B8" w:rsidP="009510B7">
    <w:pPr>
      <w:pStyle w:val="Encabezado"/>
      <w:ind w:left="4419" w:hanging="4419"/>
    </w:pPr>
  </w:p>
  <w:p w14:paraId="1F2D43B0" w14:textId="3DCCC19A" w:rsidR="0068060B" w:rsidRDefault="008E7218" w:rsidP="009510B7">
    <w:pPr>
      <w:pStyle w:val="Encabezado"/>
      <w:ind w:left="4419" w:hanging="4419"/>
    </w:pPr>
    <w:r>
      <w:rPr>
        <w:noProof/>
        <w:lang w:eastAsia="es-MX"/>
      </w:rPr>
      <w:pict w14:anchorId="495CD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84.3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4E4D2B" w:rsidRDefault="004E4D2B">
    <w:pPr>
      <w:pStyle w:val="Encabezado"/>
    </w:pPr>
  </w:p>
  <w:p w14:paraId="0EEB5712" w14:textId="77777777" w:rsidR="004E4D2B" w:rsidRDefault="004E4D2B">
    <w:pPr>
      <w:pStyle w:val="Encabezado"/>
    </w:pPr>
  </w:p>
  <w:p w14:paraId="7578061B" w14:textId="77777777" w:rsidR="0068060B" w:rsidRDefault="0068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A6AD3"/>
    <w:rsid w:val="000B3CB5"/>
    <w:rsid w:val="000E3EA5"/>
    <w:rsid w:val="000F1D77"/>
    <w:rsid w:val="001113A5"/>
    <w:rsid w:val="00142C79"/>
    <w:rsid w:val="0014707D"/>
    <w:rsid w:val="001A51B0"/>
    <w:rsid w:val="001A67C7"/>
    <w:rsid w:val="001C3548"/>
    <w:rsid w:val="00212931"/>
    <w:rsid w:val="002D0B8E"/>
    <w:rsid w:val="002F3B73"/>
    <w:rsid w:val="003118BD"/>
    <w:rsid w:val="003707B8"/>
    <w:rsid w:val="00377C66"/>
    <w:rsid w:val="00385E2C"/>
    <w:rsid w:val="003E356F"/>
    <w:rsid w:val="003F3FF9"/>
    <w:rsid w:val="00405D71"/>
    <w:rsid w:val="004351AA"/>
    <w:rsid w:val="00444E31"/>
    <w:rsid w:val="00466ACD"/>
    <w:rsid w:val="004674FA"/>
    <w:rsid w:val="00470FA8"/>
    <w:rsid w:val="00474B48"/>
    <w:rsid w:val="004E4D2B"/>
    <w:rsid w:val="004E5541"/>
    <w:rsid w:val="005507C0"/>
    <w:rsid w:val="00570FB3"/>
    <w:rsid w:val="005D18A4"/>
    <w:rsid w:val="005E4FAE"/>
    <w:rsid w:val="00607E52"/>
    <w:rsid w:val="006467EA"/>
    <w:rsid w:val="00652D9D"/>
    <w:rsid w:val="006651C3"/>
    <w:rsid w:val="0068060B"/>
    <w:rsid w:val="00680AD1"/>
    <w:rsid w:val="006F16DA"/>
    <w:rsid w:val="006F7E03"/>
    <w:rsid w:val="00707E54"/>
    <w:rsid w:val="00714E6C"/>
    <w:rsid w:val="00731508"/>
    <w:rsid w:val="007439C6"/>
    <w:rsid w:val="00773D6D"/>
    <w:rsid w:val="00781855"/>
    <w:rsid w:val="00792C61"/>
    <w:rsid w:val="007A1974"/>
    <w:rsid w:val="007D55D8"/>
    <w:rsid w:val="00821522"/>
    <w:rsid w:val="00821AB5"/>
    <w:rsid w:val="0083691E"/>
    <w:rsid w:val="00841DBE"/>
    <w:rsid w:val="00863FDB"/>
    <w:rsid w:val="00873543"/>
    <w:rsid w:val="00873CAC"/>
    <w:rsid w:val="00884918"/>
    <w:rsid w:val="008B4E39"/>
    <w:rsid w:val="008E7218"/>
    <w:rsid w:val="0091480C"/>
    <w:rsid w:val="00933F43"/>
    <w:rsid w:val="00942926"/>
    <w:rsid w:val="009510B7"/>
    <w:rsid w:val="00955049"/>
    <w:rsid w:val="00972B09"/>
    <w:rsid w:val="00976FDA"/>
    <w:rsid w:val="00992198"/>
    <w:rsid w:val="009C09A6"/>
    <w:rsid w:val="009D16BF"/>
    <w:rsid w:val="009E61F4"/>
    <w:rsid w:val="00A027F2"/>
    <w:rsid w:val="00A547B6"/>
    <w:rsid w:val="00A62680"/>
    <w:rsid w:val="00B0682F"/>
    <w:rsid w:val="00B44169"/>
    <w:rsid w:val="00BC79CF"/>
    <w:rsid w:val="00BD65A4"/>
    <w:rsid w:val="00C37A7D"/>
    <w:rsid w:val="00C72F81"/>
    <w:rsid w:val="00CA1065"/>
    <w:rsid w:val="00CB4268"/>
    <w:rsid w:val="00CF680E"/>
    <w:rsid w:val="00D14337"/>
    <w:rsid w:val="00D92266"/>
    <w:rsid w:val="00DA2030"/>
    <w:rsid w:val="00DA7926"/>
    <w:rsid w:val="00E02FCE"/>
    <w:rsid w:val="00E10B8E"/>
    <w:rsid w:val="00E14A32"/>
    <w:rsid w:val="00E22FC6"/>
    <w:rsid w:val="00E251CF"/>
    <w:rsid w:val="00E93DF6"/>
    <w:rsid w:val="00E94764"/>
    <w:rsid w:val="00EC5B1A"/>
    <w:rsid w:val="00FA3892"/>
    <w:rsid w:val="00FA6CF2"/>
    <w:rsid w:val="00FC619E"/>
    <w:rsid w:val="00FD2BF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A3D-E705-435A-A826-F4C31744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2</cp:revision>
  <cp:lastPrinted>2020-07-06T19:27:00Z</cp:lastPrinted>
  <dcterms:created xsi:type="dcterms:W3CDTF">2020-11-30T22:12:00Z</dcterms:created>
  <dcterms:modified xsi:type="dcterms:W3CDTF">2020-11-30T22:12:00Z</dcterms:modified>
</cp:coreProperties>
</file>