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F0974" w14:textId="7E76A080" w:rsidR="003707B8" w:rsidRDefault="003707B8" w:rsidP="000A6AD3">
      <w:pPr>
        <w:spacing w:line="276" w:lineRule="auto"/>
        <w:jc w:val="right"/>
      </w:pPr>
    </w:p>
    <w:p w14:paraId="1D905B47" w14:textId="72134D36" w:rsidR="00570FB3" w:rsidRDefault="00570FB3" w:rsidP="000A6AD3">
      <w:pPr>
        <w:spacing w:line="276" w:lineRule="auto"/>
        <w:jc w:val="right"/>
        <w:rPr>
          <w:rFonts w:ascii="ITC Avant Garde" w:hAnsi="ITC Avant Garde"/>
          <w:sz w:val="22"/>
          <w:szCs w:val="22"/>
        </w:rPr>
      </w:pPr>
      <w:r w:rsidRPr="002452FA">
        <w:rPr>
          <w:rFonts w:ascii="ITC Avant Garde" w:hAnsi="ITC Avant Garde"/>
          <w:sz w:val="22"/>
          <w:szCs w:val="22"/>
        </w:rPr>
        <w:t xml:space="preserve">Ciudad de México, </w:t>
      </w:r>
      <w:r w:rsidR="00CF680E">
        <w:rPr>
          <w:rFonts w:ascii="ITC Avant Garde" w:hAnsi="ITC Avant Garde"/>
          <w:sz w:val="22"/>
          <w:szCs w:val="22"/>
        </w:rPr>
        <w:t>a 2 de noviembre</w:t>
      </w:r>
      <w:r w:rsidRPr="002452FA">
        <w:rPr>
          <w:rFonts w:ascii="ITC Avant Garde" w:hAnsi="ITC Avant Garde"/>
          <w:sz w:val="22"/>
          <w:szCs w:val="22"/>
        </w:rPr>
        <w:t xml:space="preserve"> de 2020</w:t>
      </w:r>
      <w:r>
        <w:rPr>
          <w:rFonts w:ascii="ITC Avant Garde" w:hAnsi="ITC Avant Garde"/>
          <w:sz w:val="22"/>
          <w:szCs w:val="22"/>
        </w:rPr>
        <w:t>.</w:t>
      </w:r>
    </w:p>
    <w:p w14:paraId="69861038" w14:textId="77777777" w:rsidR="00884918" w:rsidRPr="002452FA" w:rsidRDefault="00884918" w:rsidP="000A6AD3">
      <w:pPr>
        <w:spacing w:line="276" w:lineRule="auto"/>
        <w:jc w:val="right"/>
        <w:rPr>
          <w:rFonts w:ascii="ITC Avant Garde" w:hAnsi="ITC Avant Garde"/>
          <w:sz w:val="22"/>
          <w:szCs w:val="22"/>
        </w:rPr>
      </w:pPr>
    </w:p>
    <w:p w14:paraId="460A7ED8" w14:textId="77777777" w:rsidR="004E4D2B" w:rsidRPr="004B395A" w:rsidRDefault="004E4D2B" w:rsidP="000A6AD3">
      <w:pPr>
        <w:spacing w:after="0" w:line="276" w:lineRule="auto"/>
        <w:rPr>
          <w:rFonts w:ascii="ITC Avant Garde" w:hAnsi="ITC Avant Garde"/>
          <w:b/>
          <w:sz w:val="22"/>
          <w:szCs w:val="22"/>
        </w:rPr>
      </w:pPr>
      <w:r w:rsidRPr="004B395A">
        <w:rPr>
          <w:rFonts w:ascii="ITC Avant Garde" w:hAnsi="ITC Avant Garde"/>
          <w:b/>
          <w:sz w:val="22"/>
          <w:szCs w:val="22"/>
        </w:rPr>
        <w:t xml:space="preserve">CC. Consejeros del Consejo Consultivo. </w:t>
      </w:r>
    </w:p>
    <w:p w14:paraId="1BB10C52" w14:textId="77777777" w:rsidR="004E4D2B" w:rsidRPr="004B395A" w:rsidRDefault="004E4D2B" w:rsidP="000A6AD3">
      <w:pPr>
        <w:spacing w:after="0" w:line="276" w:lineRule="auto"/>
        <w:rPr>
          <w:rFonts w:ascii="ITC Avant Garde" w:hAnsi="ITC Avant Garde"/>
          <w:b/>
          <w:sz w:val="22"/>
          <w:szCs w:val="22"/>
        </w:rPr>
      </w:pPr>
      <w:r w:rsidRPr="004B395A">
        <w:rPr>
          <w:rFonts w:ascii="ITC Avant Garde" w:hAnsi="ITC Avant Garde"/>
          <w:b/>
          <w:sz w:val="22"/>
          <w:szCs w:val="22"/>
        </w:rPr>
        <w:t>Presentes,</w:t>
      </w:r>
    </w:p>
    <w:p w14:paraId="7232762F" w14:textId="77777777" w:rsidR="004E4D2B" w:rsidRPr="004B395A" w:rsidRDefault="004E4D2B" w:rsidP="000A6AD3">
      <w:pPr>
        <w:spacing w:after="0" w:line="276" w:lineRule="auto"/>
        <w:rPr>
          <w:rFonts w:ascii="ITC Avant Garde" w:hAnsi="ITC Avant Garde"/>
          <w:sz w:val="22"/>
          <w:szCs w:val="22"/>
        </w:rPr>
      </w:pPr>
    </w:p>
    <w:p w14:paraId="14ECE575" w14:textId="3DA75184" w:rsidR="004E4D2B" w:rsidRPr="004B395A" w:rsidRDefault="004E4D2B" w:rsidP="000A6AD3">
      <w:pPr>
        <w:spacing w:after="0" w:line="276" w:lineRule="auto"/>
        <w:rPr>
          <w:rFonts w:ascii="ITC Avant Garde" w:hAnsi="ITC Avant Garde"/>
          <w:sz w:val="22"/>
          <w:szCs w:val="22"/>
        </w:rPr>
      </w:pPr>
      <w:r w:rsidRPr="004B395A">
        <w:rPr>
          <w:rFonts w:ascii="ITC Avant Garde" w:hAnsi="ITC Avant Garde"/>
          <w:sz w:val="22"/>
          <w:szCs w:val="22"/>
        </w:rPr>
        <w:t>Con fundamento en el artículo 34 de la Ley Federal de Telecomunicaciones y Radiodifusión, en relación con el artículo 17, fracción XI; así como 4, último párrafo, 78 y 79 del Estatuto Orgánico del Instituto Federal de Telecomunicaciones</w:t>
      </w:r>
      <w:r w:rsidR="006651C3">
        <w:rPr>
          <w:rFonts w:ascii="ITC Avant Garde" w:hAnsi="ITC Avant Garde"/>
          <w:sz w:val="22"/>
          <w:szCs w:val="22"/>
        </w:rPr>
        <w:t xml:space="preserve"> y los artículos 8,12 y 22 de las Reglas de Operación del Consejo Consultivo</w:t>
      </w:r>
      <w:r w:rsidRPr="004B395A">
        <w:rPr>
          <w:rFonts w:ascii="ITC Avant Garde" w:hAnsi="ITC Avant Garde"/>
          <w:sz w:val="22"/>
          <w:szCs w:val="22"/>
        </w:rPr>
        <w:t xml:space="preserve">, me permito convocarlos a la </w:t>
      </w:r>
      <w:r w:rsidR="00EC5B1A">
        <w:rPr>
          <w:rFonts w:ascii="ITC Avant Garde" w:hAnsi="ITC Avant Garde"/>
          <w:b/>
          <w:sz w:val="22"/>
          <w:szCs w:val="22"/>
        </w:rPr>
        <w:t>V</w:t>
      </w:r>
      <w:r w:rsidR="00CF680E">
        <w:rPr>
          <w:rFonts w:ascii="ITC Avant Garde" w:hAnsi="ITC Avant Garde"/>
          <w:b/>
          <w:sz w:val="22"/>
          <w:szCs w:val="22"/>
        </w:rPr>
        <w:t>I</w:t>
      </w:r>
      <w:r w:rsidRPr="00570FB3">
        <w:rPr>
          <w:rFonts w:ascii="ITC Avant Garde" w:hAnsi="ITC Avant Garde"/>
          <w:b/>
          <w:sz w:val="22"/>
          <w:szCs w:val="22"/>
        </w:rPr>
        <w:t xml:space="preserve"> Sesión Ordinaria a</w:t>
      </w:r>
      <w:r w:rsidR="00CF680E">
        <w:rPr>
          <w:rFonts w:ascii="ITC Avant Garde" w:hAnsi="ITC Avant Garde"/>
          <w:b/>
          <w:sz w:val="22"/>
          <w:szCs w:val="22"/>
        </w:rPr>
        <w:t xml:space="preserve"> celebrarse el próximo jueves 5 de novie</w:t>
      </w:r>
      <w:r w:rsidR="00377C66">
        <w:rPr>
          <w:rFonts w:ascii="ITC Avant Garde" w:hAnsi="ITC Avant Garde"/>
          <w:b/>
          <w:sz w:val="22"/>
          <w:szCs w:val="22"/>
        </w:rPr>
        <w:t>mbre</w:t>
      </w:r>
      <w:r w:rsidRPr="00570FB3">
        <w:rPr>
          <w:rFonts w:ascii="ITC Avant Garde" w:hAnsi="ITC Avant Garde"/>
          <w:b/>
          <w:sz w:val="22"/>
          <w:szCs w:val="22"/>
        </w:rPr>
        <w:t xml:space="preserve"> de 2020, a las 15:00 horas</w:t>
      </w:r>
      <w:r w:rsidRPr="004B395A">
        <w:rPr>
          <w:rFonts w:ascii="ITC Avant Garde" w:hAnsi="ITC Avant Garde"/>
          <w:sz w:val="22"/>
          <w:szCs w:val="22"/>
        </w:rPr>
        <w:t xml:space="preserve"> </w:t>
      </w:r>
      <w:r w:rsidR="006651C3">
        <w:rPr>
          <w:rFonts w:ascii="ITC Avant Garde" w:hAnsi="ITC Avant Garde"/>
          <w:sz w:val="22"/>
          <w:szCs w:val="22"/>
        </w:rPr>
        <w:t xml:space="preserve">y que se realizará </w:t>
      </w:r>
      <w:r w:rsidR="00E94764">
        <w:rPr>
          <w:rFonts w:ascii="ITC Avant Garde" w:hAnsi="ITC Avant Garde"/>
          <w:sz w:val="22"/>
          <w:szCs w:val="22"/>
        </w:rPr>
        <w:t>a través de medios electrónicos de comunicación a distancia.</w:t>
      </w:r>
    </w:p>
    <w:p w14:paraId="5F2B810F" w14:textId="77777777" w:rsidR="004E4D2B" w:rsidRPr="004B395A" w:rsidRDefault="004E4D2B" w:rsidP="000A6AD3">
      <w:pPr>
        <w:spacing w:after="0" w:line="276" w:lineRule="auto"/>
        <w:rPr>
          <w:rFonts w:ascii="ITC Avant Garde" w:hAnsi="ITC Avant Garde"/>
          <w:sz w:val="22"/>
          <w:szCs w:val="22"/>
        </w:rPr>
      </w:pPr>
    </w:p>
    <w:p w14:paraId="23030833" w14:textId="77777777" w:rsidR="004E4D2B" w:rsidRPr="004B395A" w:rsidRDefault="004E4D2B" w:rsidP="000A6AD3">
      <w:pPr>
        <w:spacing w:after="0" w:line="276" w:lineRule="auto"/>
        <w:rPr>
          <w:rFonts w:ascii="ITC Avant Garde" w:hAnsi="ITC Avant Garde"/>
          <w:sz w:val="22"/>
          <w:szCs w:val="22"/>
        </w:rPr>
      </w:pPr>
      <w:r w:rsidRPr="004B395A">
        <w:rPr>
          <w:rFonts w:ascii="ITC Avant Garde" w:hAnsi="ITC Avant Garde"/>
          <w:sz w:val="22"/>
          <w:szCs w:val="22"/>
        </w:rPr>
        <w:t>Dicha sesión se llevará a cabo bajo el siguiente Orden del Día, a ser aprobado por los Consejeros:</w:t>
      </w:r>
    </w:p>
    <w:p w14:paraId="29EF6AD8" w14:textId="072D4EF3" w:rsidR="000A6AD3" w:rsidRPr="004B395A" w:rsidRDefault="000A6AD3" w:rsidP="000A6AD3">
      <w:pPr>
        <w:spacing w:after="0" w:line="276" w:lineRule="auto"/>
        <w:rPr>
          <w:rFonts w:ascii="ITC Avant Garde" w:hAnsi="ITC Avant Garde"/>
          <w:sz w:val="22"/>
          <w:szCs w:val="22"/>
        </w:rPr>
      </w:pPr>
    </w:p>
    <w:p w14:paraId="60E2BB81" w14:textId="77777777" w:rsidR="004E4D2B" w:rsidRDefault="004E4D2B" w:rsidP="000A6AD3">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7540384D" w14:textId="77777777" w:rsidR="004E4D2B" w:rsidRDefault="004E4D2B" w:rsidP="000A6AD3">
      <w:pPr>
        <w:spacing w:after="0" w:line="276" w:lineRule="auto"/>
        <w:jc w:val="center"/>
        <w:rPr>
          <w:rFonts w:ascii="ITC Avant Garde" w:hAnsi="ITC Avant Garde"/>
          <w:b/>
          <w:sz w:val="22"/>
          <w:szCs w:val="22"/>
          <w:u w:val="single"/>
        </w:rPr>
      </w:pPr>
    </w:p>
    <w:p w14:paraId="3BBCC627" w14:textId="77777777" w:rsidR="004E4D2B" w:rsidRPr="004B395A" w:rsidRDefault="004E4D2B" w:rsidP="000A6AD3">
      <w:pPr>
        <w:spacing w:after="0" w:line="276" w:lineRule="auto"/>
        <w:rPr>
          <w:rFonts w:ascii="ITC Avant Garde" w:hAnsi="ITC Avant Garde"/>
          <w:b/>
          <w:sz w:val="22"/>
          <w:szCs w:val="22"/>
        </w:rPr>
      </w:pPr>
    </w:p>
    <w:p w14:paraId="540A9A76" w14:textId="77777777" w:rsidR="004E4D2B" w:rsidRPr="004B395A" w:rsidRDefault="004E4D2B" w:rsidP="000A6AD3">
      <w:pPr>
        <w:pStyle w:val="Prrafodelista"/>
        <w:numPr>
          <w:ilvl w:val="0"/>
          <w:numId w:val="12"/>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35D487F8" w14:textId="77777777" w:rsidR="004E4D2B" w:rsidRPr="004B395A" w:rsidRDefault="004E4D2B" w:rsidP="000A6AD3">
      <w:pPr>
        <w:spacing w:after="0" w:line="276" w:lineRule="auto"/>
        <w:rPr>
          <w:rFonts w:ascii="ITC Avant Garde" w:hAnsi="ITC Avant Garde"/>
          <w:sz w:val="22"/>
          <w:szCs w:val="22"/>
        </w:rPr>
      </w:pPr>
    </w:p>
    <w:p w14:paraId="35710C89" w14:textId="77777777" w:rsidR="004E4D2B" w:rsidRPr="004B395A" w:rsidRDefault="004E4D2B" w:rsidP="000A6AD3">
      <w:pPr>
        <w:pStyle w:val="Prrafodelista"/>
        <w:numPr>
          <w:ilvl w:val="0"/>
          <w:numId w:val="12"/>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4CFABCA2" w14:textId="77777777" w:rsidR="004E4D2B" w:rsidRPr="004B395A" w:rsidRDefault="004E4D2B" w:rsidP="000A6AD3">
      <w:pPr>
        <w:spacing w:after="0" w:line="276" w:lineRule="auto"/>
        <w:rPr>
          <w:rFonts w:ascii="ITC Avant Garde" w:hAnsi="ITC Avant Garde"/>
          <w:b/>
          <w:sz w:val="22"/>
          <w:szCs w:val="22"/>
        </w:rPr>
      </w:pPr>
    </w:p>
    <w:p w14:paraId="4A237D06" w14:textId="77777777" w:rsidR="004E4D2B" w:rsidRDefault="004E4D2B" w:rsidP="000A6AD3">
      <w:pPr>
        <w:pStyle w:val="Prrafodelista"/>
        <w:numPr>
          <w:ilvl w:val="0"/>
          <w:numId w:val="12"/>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4E8037C7" w14:textId="77777777" w:rsidR="004E4D2B" w:rsidRPr="004B395A" w:rsidRDefault="004E4D2B" w:rsidP="000A6AD3">
      <w:pPr>
        <w:pStyle w:val="Prrafodelista"/>
        <w:spacing w:after="0" w:line="276" w:lineRule="auto"/>
        <w:rPr>
          <w:rFonts w:ascii="ITC Avant Garde" w:hAnsi="ITC Avant Garde"/>
          <w:b/>
          <w:sz w:val="22"/>
          <w:szCs w:val="22"/>
        </w:rPr>
      </w:pPr>
    </w:p>
    <w:p w14:paraId="7A8C76A7" w14:textId="199BCB0F" w:rsidR="004E4D2B" w:rsidRDefault="00474B48" w:rsidP="005D18A4">
      <w:pPr>
        <w:tabs>
          <w:tab w:val="left" w:pos="567"/>
        </w:tabs>
        <w:spacing w:after="100" w:afterAutospacing="1" w:line="276" w:lineRule="auto"/>
        <w:ind w:left="708" w:hanging="566"/>
        <w:rPr>
          <w:rFonts w:ascii="ITC Avant Garde" w:eastAsiaTheme="minorEastAsia" w:hAnsi="ITC Avant Garde"/>
          <w:sz w:val="22"/>
          <w:szCs w:val="22"/>
        </w:rPr>
      </w:pPr>
      <w:r>
        <w:rPr>
          <w:rFonts w:ascii="ITC Avant Garde" w:eastAsiaTheme="minorEastAsia" w:hAnsi="ITC Avant Garde"/>
          <w:sz w:val="22"/>
          <w:szCs w:val="22"/>
        </w:rPr>
        <w:t>III.1</w:t>
      </w:r>
      <w:r>
        <w:rPr>
          <w:rFonts w:ascii="ITC Avant Garde" w:eastAsiaTheme="minorEastAsia" w:hAnsi="ITC Avant Garde"/>
          <w:sz w:val="22"/>
          <w:szCs w:val="22"/>
        </w:rPr>
        <w:tab/>
      </w:r>
      <w:r>
        <w:rPr>
          <w:rFonts w:ascii="ITC Avant Garde" w:eastAsiaTheme="minorEastAsia" w:hAnsi="ITC Avant Garde"/>
          <w:sz w:val="22"/>
          <w:szCs w:val="22"/>
        </w:rPr>
        <w:tab/>
      </w:r>
      <w:r w:rsidR="00CF680E">
        <w:rPr>
          <w:rFonts w:ascii="ITC Avant Garde" w:eastAsiaTheme="minorEastAsia" w:hAnsi="ITC Avant Garde"/>
          <w:sz w:val="22"/>
          <w:szCs w:val="22"/>
        </w:rPr>
        <w:t>Aprobación del Acta de la V</w:t>
      </w:r>
      <w:r w:rsidR="00466ACD" w:rsidRPr="00474B48">
        <w:rPr>
          <w:rFonts w:ascii="ITC Avant Garde" w:eastAsiaTheme="minorEastAsia" w:hAnsi="ITC Avant Garde"/>
          <w:sz w:val="22"/>
          <w:szCs w:val="22"/>
        </w:rPr>
        <w:t xml:space="preserve"> Sesión Ordinaria del V Cons</w:t>
      </w:r>
      <w:r w:rsidR="00CF680E">
        <w:rPr>
          <w:rFonts w:ascii="ITC Avant Garde" w:eastAsiaTheme="minorEastAsia" w:hAnsi="ITC Avant Garde"/>
          <w:sz w:val="22"/>
          <w:szCs w:val="22"/>
        </w:rPr>
        <w:t>ejo Consultivo, celebrada el 1</w:t>
      </w:r>
      <w:r>
        <w:rPr>
          <w:rFonts w:ascii="ITC Avant Garde" w:eastAsiaTheme="minorEastAsia" w:hAnsi="ITC Avant Garde"/>
          <w:sz w:val="22"/>
          <w:szCs w:val="22"/>
        </w:rPr>
        <w:t xml:space="preserve"> </w:t>
      </w:r>
      <w:r w:rsidR="00CF680E">
        <w:rPr>
          <w:rFonts w:ascii="ITC Avant Garde" w:eastAsiaTheme="minorEastAsia" w:hAnsi="ITC Avant Garde"/>
          <w:sz w:val="22"/>
          <w:szCs w:val="22"/>
        </w:rPr>
        <w:t>de octubre</w:t>
      </w:r>
      <w:r w:rsidR="00466ACD" w:rsidRPr="00474B48">
        <w:rPr>
          <w:rFonts w:ascii="ITC Avant Garde" w:eastAsiaTheme="minorEastAsia" w:hAnsi="ITC Avant Garde"/>
          <w:sz w:val="22"/>
          <w:szCs w:val="22"/>
        </w:rPr>
        <w:t xml:space="preserve"> de 2020.</w:t>
      </w:r>
    </w:p>
    <w:p w14:paraId="08C9BD9E" w14:textId="4CD71F78" w:rsidR="009C09A6" w:rsidRDefault="009C09A6" w:rsidP="005D18A4">
      <w:pPr>
        <w:tabs>
          <w:tab w:val="left" w:pos="567"/>
        </w:tabs>
        <w:spacing w:after="100" w:afterAutospacing="1" w:line="276" w:lineRule="auto"/>
        <w:ind w:left="708" w:hanging="566"/>
        <w:rPr>
          <w:rFonts w:ascii="ITC Avant Garde" w:eastAsiaTheme="minorEastAsia" w:hAnsi="ITC Avant Garde"/>
          <w:sz w:val="22"/>
          <w:szCs w:val="22"/>
        </w:rPr>
      </w:pPr>
      <w:r>
        <w:rPr>
          <w:rFonts w:ascii="ITC Avant Garde" w:eastAsiaTheme="minorEastAsia" w:hAnsi="ITC Avant Garde"/>
          <w:sz w:val="22"/>
          <w:szCs w:val="22"/>
        </w:rPr>
        <w:t>III.2</w:t>
      </w:r>
      <w:r>
        <w:rPr>
          <w:rFonts w:ascii="ITC Avant Garde" w:eastAsiaTheme="minorEastAsia" w:hAnsi="ITC Avant Garde"/>
          <w:sz w:val="22"/>
          <w:szCs w:val="22"/>
        </w:rPr>
        <w:tab/>
      </w:r>
      <w:r>
        <w:rPr>
          <w:rFonts w:ascii="ITC Avant Garde" w:eastAsiaTheme="minorEastAsia" w:hAnsi="ITC Avant Garde"/>
          <w:sz w:val="22"/>
          <w:szCs w:val="22"/>
        </w:rPr>
        <w:tab/>
      </w:r>
      <w:r w:rsidR="003707B8" w:rsidRPr="003707B8">
        <w:rPr>
          <w:rFonts w:ascii="ITC Avant Garde" w:hAnsi="ITC Avant Garde"/>
          <w:sz w:val="22"/>
          <w:szCs w:val="22"/>
        </w:rPr>
        <w:t>Recomendación que emite el Consejo Consultivo del Instituto Federal de Telecomunicaciones para el fortalecimiento de acciones para avanzar en la igualdad de género en foros en los que participe el Instituto o sus funcionarios.</w:t>
      </w:r>
    </w:p>
    <w:p w14:paraId="340D35F8" w14:textId="7D359DBF" w:rsidR="00933F43" w:rsidRDefault="00933F43" w:rsidP="00933F43">
      <w:pPr>
        <w:tabs>
          <w:tab w:val="left" w:pos="567"/>
        </w:tabs>
        <w:spacing w:after="100" w:afterAutospacing="1" w:line="276" w:lineRule="auto"/>
        <w:ind w:left="708" w:hanging="566"/>
        <w:rPr>
          <w:rFonts w:ascii="ITC Avant Garde" w:hAnsi="ITC Avant Garde"/>
          <w:sz w:val="22"/>
          <w:szCs w:val="22"/>
        </w:rPr>
      </w:pPr>
      <w:r w:rsidRPr="00933F43">
        <w:rPr>
          <w:rFonts w:ascii="ITC Avant Garde" w:eastAsiaTheme="minorEastAsia" w:hAnsi="ITC Avant Garde"/>
          <w:sz w:val="22"/>
          <w:szCs w:val="22"/>
        </w:rPr>
        <w:t>III.</w:t>
      </w:r>
      <w:r w:rsidR="009C09A6">
        <w:rPr>
          <w:rFonts w:ascii="ITC Avant Garde" w:hAnsi="ITC Avant Garde"/>
          <w:sz w:val="22"/>
          <w:szCs w:val="22"/>
        </w:rPr>
        <w:t>3</w:t>
      </w:r>
      <w:r>
        <w:rPr>
          <w:rFonts w:ascii="ITC Avant Garde" w:hAnsi="ITC Avant Garde"/>
          <w:sz w:val="22"/>
          <w:szCs w:val="22"/>
        </w:rPr>
        <w:tab/>
      </w:r>
      <w:r w:rsidRPr="00D92266">
        <w:rPr>
          <w:rFonts w:ascii="ITC Avant Garde" w:hAnsi="ITC Avant Garde"/>
          <w:sz w:val="22"/>
          <w:szCs w:val="22"/>
        </w:rPr>
        <w:tab/>
      </w:r>
      <w:r w:rsidR="003707B8" w:rsidRPr="003707B8">
        <w:rPr>
          <w:rFonts w:ascii="ITC Avant Garde" w:hAnsi="ITC Avant Garde"/>
          <w:sz w:val="22"/>
          <w:szCs w:val="22"/>
        </w:rPr>
        <w:t xml:space="preserve">Recomendación que emite el Consejo Consultivo del Instituto Federal de Telecomunicaciones sobre la actualización del Plan Técnico Fundamental de Numeración para habilitar y regularizar el uso y comercialización de números locales virtuales. </w:t>
      </w:r>
    </w:p>
    <w:p w14:paraId="78AD9C42" w14:textId="429932A8" w:rsidR="003707B8" w:rsidRDefault="003707B8" w:rsidP="00933F43">
      <w:pPr>
        <w:tabs>
          <w:tab w:val="left" w:pos="567"/>
        </w:tabs>
        <w:spacing w:after="100" w:afterAutospacing="1" w:line="276" w:lineRule="auto"/>
        <w:ind w:left="708" w:hanging="566"/>
        <w:rPr>
          <w:rFonts w:ascii="ITC Avant Garde" w:hAnsi="ITC Avant Garde"/>
          <w:sz w:val="22"/>
          <w:szCs w:val="22"/>
        </w:rPr>
      </w:pPr>
    </w:p>
    <w:p w14:paraId="0A393BD0" w14:textId="77777777" w:rsidR="00884918" w:rsidRDefault="00884918" w:rsidP="00933F43">
      <w:pPr>
        <w:tabs>
          <w:tab w:val="left" w:pos="567"/>
        </w:tabs>
        <w:spacing w:after="100" w:afterAutospacing="1" w:line="276" w:lineRule="auto"/>
        <w:ind w:left="708" w:hanging="566"/>
        <w:rPr>
          <w:rFonts w:ascii="ITC Avant Garde" w:hAnsi="ITC Avant Garde"/>
          <w:sz w:val="22"/>
          <w:szCs w:val="22"/>
        </w:rPr>
      </w:pPr>
    </w:p>
    <w:p w14:paraId="10886FED" w14:textId="484B8B54" w:rsidR="00B0682F" w:rsidRPr="00B0682F" w:rsidRDefault="00B0682F" w:rsidP="003707B8">
      <w:pPr>
        <w:tabs>
          <w:tab w:val="left" w:pos="567"/>
        </w:tabs>
        <w:spacing w:after="100" w:afterAutospacing="1" w:line="276" w:lineRule="auto"/>
        <w:ind w:left="708" w:hanging="566"/>
        <w:rPr>
          <w:rFonts w:ascii="ITC Avant Garde" w:hAnsi="ITC Avant Garde"/>
          <w:sz w:val="22"/>
          <w:szCs w:val="22"/>
        </w:rPr>
      </w:pPr>
      <w:r w:rsidRPr="00B0682F">
        <w:rPr>
          <w:rFonts w:ascii="ITC Avant Garde" w:eastAsiaTheme="minorEastAsia" w:hAnsi="ITC Avant Garde"/>
          <w:sz w:val="22"/>
          <w:szCs w:val="22"/>
        </w:rPr>
        <w:t>III.</w:t>
      </w:r>
      <w:r>
        <w:rPr>
          <w:rFonts w:ascii="ITC Avant Garde" w:hAnsi="ITC Avant Garde"/>
          <w:sz w:val="22"/>
          <w:szCs w:val="22"/>
        </w:rPr>
        <w:t>4</w:t>
      </w:r>
      <w:r>
        <w:rPr>
          <w:rFonts w:ascii="ITC Avant Garde" w:hAnsi="ITC Avant Garde"/>
          <w:sz w:val="22"/>
          <w:szCs w:val="22"/>
        </w:rPr>
        <w:tab/>
      </w:r>
      <w:r>
        <w:rPr>
          <w:rFonts w:ascii="ITC Avant Garde" w:hAnsi="ITC Avant Garde"/>
          <w:sz w:val="22"/>
          <w:szCs w:val="22"/>
        </w:rPr>
        <w:tab/>
      </w:r>
      <w:r w:rsidRPr="00B0682F">
        <w:rPr>
          <w:rFonts w:ascii="ITC Avant Garde" w:hAnsi="ITC Avant Garde"/>
          <w:sz w:val="22"/>
          <w:szCs w:val="22"/>
        </w:rPr>
        <w:t>Recomenda</w:t>
      </w:r>
      <w:r>
        <w:rPr>
          <w:rFonts w:ascii="ITC Avant Garde" w:hAnsi="ITC Avant Garde"/>
          <w:sz w:val="22"/>
          <w:szCs w:val="22"/>
        </w:rPr>
        <w:t>ción que emite el Consejo Consultivo del Institut</w:t>
      </w:r>
      <w:r w:rsidR="007E4CFA">
        <w:rPr>
          <w:rFonts w:ascii="ITC Avant Garde" w:hAnsi="ITC Avant Garde"/>
          <w:sz w:val="22"/>
          <w:szCs w:val="22"/>
        </w:rPr>
        <w:t xml:space="preserve">o Federal de Telecomunicaciones </w:t>
      </w:r>
      <w:r>
        <w:rPr>
          <w:rFonts w:ascii="ITC Avant Garde" w:hAnsi="ITC Avant Garde"/>
          <w:sz w:val="22"/>
          <w:szCs w:val="22"/>
        </w:rPr>
        <w:t>sobre el Proyecto “Hoja</w:t>
      </w:r>
      <w:r w:rsidRPr="00B0682F">
        <w:rPr>
          <w:rFonts w:ascii="ITC Avant Garde" w:hAnsi="ITC Avant Garde"/>
          <w:sz w:val="22"/>
          <w:szCs w:val="22"/>
        </w:rPr>
        <w:t xml:space="preserve"> de Ruta del Instituto</w:t>
      </w:r>
      <w:r>
        <w:rPr>
          <w:rFonts w:ascii="ITC Avant Garde" w:hAnsi="ITC Avant Garde"/>
          <w:sz w:val="22"/>
          <w:szCs w:val="22"/>
        </w:rPr>
        <w:t xml:space="preserve"> </w:t>
      </w:r>
      <w:r w:rsidRPr="00B0682F">
        <w:rPr>
          <w:rFonts w:ascii="ITC Avant Garde" w:hAnsi="ITC Avant Garde"/>
          <w:sz w:val="22"/>
          <w:szCs w:val="22"/>
        </w:rPr>
        <w:t>Federal de</w:t>
      </w:r>
      <w:r>
        <w:rPr>
          <w:rFonts w:ascii="ITC Avant Garde" w:hAnsi="ITC Avant Garde"/>
          <w:sz w:val="22"/>
          <w:szCs w:val="22"/>
        </w:rPr>
        <w:t xml:space="preserve"> Telecomunicaciones 2020-2024"</w:t>
      </w:r>
      <w:r w:rsidR="002F3B73">
        <w:rPr>
          <w:rFonts w:ascii="ITC Avant Garde" w:hAnsi="ITC Avant Garde"/>
          <w:sz w:val="22"/>
          <w:szCs w:val="22"/>
        </w:rPr>
        <w:t>.</w:t>
      </w:r>
    </w:p>
    <w:p w14:paraId="642D0146" w14:textId="1C8962BA" w:rsidR="002D0B8E" w:rsidRDefault="002D0B8E" w:rsidP="00B0682F">
      <w:pPr>
        <w:tabs>
          <w:tab w:val="left" w:pos="567"/>
        </w:tabs>
        <w:spacing w:after="0" w:line="276" w:lineRule="auto"/>
        <w:ind w:left="708" w:hanging="566"/>
        <w:rPr>
          <w:rFonts w:ascii="ITC Avant Garde" w:eastAsiaTheme="minorEastAsia" w:hAnsi="ITC Avant Garde"/>
          <w:sz w:val="22"/>
          <w:szCs w:val="22"/>
        </w:rPr>
      </w:pPr>
      <w:r>
        <w:rPr>
          <w:rFonts w:ascii="ITC Avant Garde" w:eastAsiaTheme="minorEastAsia" w:hAnsi="ITC Avant Garde"/>
          <w:sz w:val="22"/>
          <w:szCs w:val="22"/>
        </w:rPr>
        <w:t>I</w:t>
      </w:r>
      <w:r w:rsidR="00B0682F">
        <w:rPr>
          <w:rFonts w:ascii="ITC Avant Garde" w:eastAsiaTheme="minorEastAsia" w:hAnsi="ITC Avant Garde"/>
          <w:sz w:val="22"/>
          <w:szCs w:val="22"/>
        </w:rPr>
        <w:t>II.5</w:t>
      </w:r>
      <w:r w:rsidR="00B0682F">
        <w:rPr>
          <w:rFonts w:ascii="ITC Avant Garde" w:eastAsiaTheme="minorEastAsia" w:hAnsi="ITC Avant Garde"/>
          <w:sz w:val="22"/>
          <w:szCs w:val="22"/>
        </w:rPr>
        <w:tab/>
      </w:r>
      <w:r w:rsidR="00B0682F">
        <w:rPr>
          <w:rFonts w:ascii="ITC Avant Garde" w:eastAsiaTheme="minorEastAsia" w:hAnsi="ITC Avant Garde"/>
          <w:sz w:val="22"/>
          <w:szCs w:val="22"/>
        </w:rPr>
        <w:tab/>
      </w:r>
      <w:r>
        <w:rPr>
          <w:rFonts w:ascii="ITC Avant Garde" w:eastAsiaTheme="minorEastAsia" w:hAnsi="ITC Avant Garde"/>
          <w:sz w:val="22"/>
          <w:szCs w:val="22"/>
        </w:rPr>
        <w:t xml:space="preserve">Informe de avances de los Grupos de Trabajo. </w:t>
      </w:r>
    </w:p>
    <w:p w14:paraId="5D9D325D" w14:textId="77777777" w:rsidR="003707B8" w:rsidRDefault="003707B8" w:rsidP="00B0682F">
      <w:pPr>
        <w:tabs>
          <w:tab w:val="left" w:pos="567"/>
        </w:tabs>
        <w:spacing w:after="0" w:line="276" w:lineRule="auto"/>
        <w:ind w:left="708" w:hanging="566"/>
        <w:rPr>
          <w:rFonts w:ascii="ITC Avant Garde" w:eastAsiaTheme="minorEastAsia" w:hAnsi="ITC Avant Garde"/>
          <w:sz w:val="22"/>
          <w:szCs w:val="22"/>
        </w:rPr>
      </w:pPr>
    </w:p>
    <w:p w14:paraId="66EE0DFE" w14:textId="34321231" w:rsidR="00D92266" w:rsidRDefault="00D92266" w:rsidP="00D92266">
      <w:pPr>
        <w:tabs>
          <w:tab w:val="left" w:pos="567"/>
        </w:tabs>
        <w:spacing w:after="0" w:line="276" w:lineRule="auto"/>
        <w:ind w:left="708" w:hanging="566"/>
        <w:rPr>
          <w:rFonts w:ascii="ITC Avant Garde" w:eastAsiaTheme="minorEastAsia" w:hAnsi="ITC Avant Garde"/>
          <w:sz w:val="22"/>
          <w:szCs w:val="22"/>
        </w:rPr>
      </w:pPr>
    </w:p>
    <w:p w14:paraId="04E124C8" w14:textId="564EDEF5" w:rsidR="00781855" w:rsidRPr="00781855" w:rsidRDefault="002D0B8E" w:rsidP="00D92266">
      <w:pPr>
        <w:pStyle w:val="Prrafodelista"/>
        <w:numPr>
          <w:ilvl w:val="0"/>
          <w:numId w:val="12"/>
        </w:numPr>
        <w:tabs>
          <w:tab w:val="left" w:pos="567"/>
        </w:tabs>
        <w:spacing w:line="276" w:lineRule="auto"/>
        <w:rPr>
          <w:rFonts w:ascii="ITC Avant Garde" w:hAnsi="ITC Avant Garde"/>
          <w:b/>
          <w:sz w:val="22"/>
          <w:szCs w:val="22"/>
        </w:rPr>
      </w:pPr>
      <w:r w:rsidRPr="002D0B8E">
        <w:rPr>
          <w:rFonts w:ascii="ITC Avant Garde" w:hAnsi="ITC Avant Garde"/>
          <w:b/>
          <w:sz w:val="22"/>
          <w:szCs w:val="22"/>
        </w:rPr>
        <w:t xml:space="preserve">ASUNTOS GENERALES </w:t>
      </w:r>
    </w:p>
    <w:p w14:paraId="2E46F2C3" w14:textId="6337FB69" w:rsidR="00D92266" w:rsidRDefault="00D92266" w:rsidP="00D92266">
      <w:pPr>
        <w:tabs>
          <w:tab w:val="left" w:pos="567"/>
        </w:tabs>
        <w:spacing w:after="200" w:line="276" w:lineRule="auto"/>
        <w:rPr>
          <w:rFonts w:ascii="ITC Avant Garde" w:hAnsi="ITC Avant Garde"/>
          <w:sz w:val="22"/>
          <w:szCs w:val="22"/>
        </w:rPr>
      </w:pPr>
      <w:r>
        <w:rPr>
          <w:rFonts w:ascii="ITC Avant Garde" w:eastAsiaTheme="minorEastAsia" w:hAnsi="ITC Avant Garde"/>
          <w:sz w:val="22"/>
          <w:szCs w:val="22"/>
        </w:rPr>
        <w:t xml:space="preserve">  </w:t>
      </w:r>
      <w:r w:rsidRPr="009D16BF">
        <w:rPr>
          <w:rFonts w:ascii="ITC Avant Garde" w:eastAsiaTheme="minorEastAsia" w:hAnsi="ITC Avant Garde"/>
          <w:sz w:val="22"/>
          <w:szCs w:val="22"/>
        </w:rPr>
        <w:t>IV.</w:t>
      </w:r>
      <w:r w:rsidR="00B0682F">
        <w:rPr>
          <w:rFonts w:ascii="ITC Avant Garde" w:hAnsi="ITC Avant Garde"/>
          <w:sz w:val="22"/>
          <w:szCs w:val="22"/>
        </w:rPr>
        <w:t>1</w:t>
      </w:r>
      <w:r w:rsidR="001A51B0">
        <w:rPr>
          <w:rFonts w:ascii="ITC Avant Garde" w:hAnsi="ITC Avant Garde"/>
          <w:sz w:val="22"/>
          <w:szCs w:val="22"/>
        </w:rPr>
        <w:tab/>
      </w:r>
      <w:r w:rsidR="001A51B0">
        <w:rPr>
          <w:rFonts w:ascii="ITC Avant Garde" w:hAnsi="ITC Avant Garde"/>
          <w:sz w:val="22"/>
          <w:szCs w:val="22"/>
        </w:rPr>
        <w:tab/>
      </w:r>
      <w:r w:rsidR="00792C61">
        <w:rPr>
          <w:rFonts w:ascii="ITC Avant Garde" w:hAnsi="ITC Avant Garde"/>
          <w:sz w:val="22"/>
          <w:szCs w:val="22"/>
        </w:rPr>
        <w:t>Programa “S</w:t>
      </w:r>
      <w:r>
        <w:rPr>
          <w:rFonts w:ascii="ITC Avant Garde" w:hAnsi="ITC Avant Garde"/>
          <w:sz w:val="22"/>
          <w:szCs w:val="22"/>
        </w:rPr>
        <w:t>eminario 5G</w:t>
      </w:r>
      <w:r w:rsidR="00792C61">
        <w:rPr>
          <w:rFonts w:ascii="ITC Avant Garde" w:hAnsi="ITC Avant Garde"/>
          <w:sz w:val="22"/>
          <w:szCs w:val="22"/>
        </w:rPr>
        <w:t>”</w:t>
      </w:r>
      <w:r>
        <w:rPr>
          <w:rFonts w:ascii="ITC Avant Garde" w:hAnsi="ITC Avant Garde"/>
          <w:sz w:val="22"/>
          <w:szCs w:val="22"/>
        </w:rPr>
        <w:t>, 6 de noviembre de 2020</w:t>
      </w:r>
      <w:r w:rsidR="001A51B0">
        <w:rPr>
          <w:rFonts w:ascii="ITC Avant Garde" w:hAnsi="ITC Avant Garde"/>
          <w:sz w:val="22"/>
          <w:szCs w:val="22"/>
        </w:rPr>
        <w:t>.</w:t>
      </w:r>
    </w:p>
    <w:p w14:paraId="6FFA417F" w14:textId="14942F67" w:rsidR="002D0B8E" w:rsidRDefault="002D0B8E" w:rsidP="00D92266">
      <w:pPr>
        <w:pStyle w:val="Prrafodelista"/>
        <w:tabs>
          <w:tab w:val="left" w:pos="567"/>
        </w:tabs>
        <w:spacing w:line="276" w:lineRule="auto"/>
        <w:ind w:left="0"/>
        <w:rPr>
          <w:rFonts w:ascii="ITC Avant Garde" w:eastAsiaTheme="minorHAnsi" w:hAnsi="ITC Avant Garde"/>
          <w:sz w:val="22"/>
          <w:szCs w:val="22"/>
        </w:rPr>
      </w:pPr>
    </w:p>
    <w:p w14:paraId="13EB342D" w14:textId="77777777" w:rsidR="00884918" w:rsidRDefault="00884918" w:rsidP="00D92266">
      <w:pPr>
        <w:pStyle w:val="Prrafodelista"/>
        <w:tabs>
          <w:tab w:val="left" w:pos="567"/>
        </w:tabs>
        <w:spacing w:line="276" w:lineRule="auto"/>
        <w:ind w:left="0"/>
        <w:rPr>
          <w:rFonts w:ascii="ITC Avant Garde" w:hAnsi="ITC Avant Garde"/>
          <w:b/>
          <w:sz w:val="22"/>
          <w:szCs w:val="22"/>
        </w:rPr>
      </w:pPr>
    </w:p>
    <w:p w14:paraId="43E15B8C" w14:textId="583C507C" w:rsidR="002D0B8E" w:rsidRDefault="002D0B8E" w:rsidP="002D0B8E">
      <w:pPr>
        <w:pStyle w:val="Prrafodelista"/>
        <w:tabs>
          <w:tab w:val="left" w:pos="567"/>
        </w:tabs>
        <w:spacing w:after="100" w:afterAutospacing="1" w:line="276" w:lineRule="auto"/>
        <w:ind w:left="0"/>
        <w:rPr>
          <w:rFonts w:ascii="ITC Avant Garde" w:hAnsi="ITC Avant Garde"/>
          <w:sz w:val="22"/>
          <w:szCs w:val="22"/>
        </w:rPr>
      </w:pPr>
      <w:r>
        <w:rPr>
          <w:rFonts w:ascii="ITC Avant Garde" w:hAnsi="ITC Avant Garde"/>
          <w:b/>
          <w:sz w:val="22"/>
          <w:szCs w:val="22"/>
        </w:rPr>
        <w:t xml:space="preserve">  </w:t>
      </w:r>
    </w:p>
    <w:p w14:paraId="29F938FC" w14:textId="7899EB35" w:rsidR="004E4D2B" w:rsidRPr="002D0B8E" w:rsidRDefault="004E4D2B" w:rsidP="002D0B8E">
      <w:pPr>
        <w:pStyle w:val="Prrafodelista"/>
        <w:tabs>
          <w:tab w:val="left" w:pos="567"/>
        </w:tabs>
        <w:spacing w:after="100" w:afterAutospacing="1" w:line="276" w:lineRule="auto"/>
        <w:ind w:left="0"/>
        <w:jc w:val="center"/>
        <w:rPr>
          <w:rFonts w:ascii="ITC Avant Garde" w:hAnsi="ITC Avant Garde"/>
          <w:b/>
          <w:sz w:val="22"/>
          <w:szCs w:val="22"/>
        </w:rPr>
      </w:pPr>
      <w:r w:rsidRPr="004B395A">
        <w:rPr>
          <w:rFonts w:ascii="ITC Avant Garde" w:hAnsi="ITC Avant Garde"/>
          <w:sz w:val="22"/>
          <w:szCs w:val="22"/>
        </w:rPr>
        <w:t>Atentamente,</w:t>
      </w:r>
    </w:p>
    <w:p w14:paraId="5D1C5974" w14:textId="4C424624" w:rsidR="00781855" w:rsidRDefault="00781855" w:rsidP="004E4D2B">
      <w:pPr>
        <w:spacing w:after="0" w:line="240" w:lineRule="auto"/>
        <w:jc w:val="center"/>
        <w:rPr>
          <w:rFonts w:ascii="ITC Avant Garde" w:hAnsi="ITC Avant Garde"/>
          <w:noProof/>
          <w:sz w:val="22"/>
          <w:szCs w:val="22"/>
          <w:lang w:eastAsia="es-MX"/>
        </w:rPr>
      </w:pPr>
      <w:bookmarkStart w:id="0" w:name="_GoBack"/>
      <w:bookmarkEnd w:id="0"/>
    </w:p>
    <w:p w14:paraId="019245BD" w14:textId="6DA0B587" w:rsidR="004E4D2B" w:rsidRPr="004B395A" w:rsidRDefault="004E4D2B" w:rsidP="004E4D2B">
      <w:pPr>
        <w:spacing w:after="0" w:line="240" w:lineRule="auto"/>
        <w:jc w:val="center"/>
        <w:rPr>
          <w:rFonts w:ascii="ITC Avant Garde" w:hAnsi="ITC Avant Garde"/>
          <w:sz w:val="22"/>
          <w:szCs w:val="22"/>
        </w:rPr>
      </w:pPr>
      <w:r w:rsidRPr="004B395A">
        <w:rPr>
          <w:rFonts w:ascii="ITC Avant Garde" w:hAnsi="ITC Avant Garde"/>
          <w:sz w:val="22"/>
          <w:szCs w:val="22"/>
        </w:rPr>
        <w:t>Juan José Crispín Borbolla</w:t>
      </w:r>
    </w:p>
    <w:p w14:paraId="638A11A0" w14:textId="2A1B1751" w:rsidR="004E4D2B" w:rsidRPr="006651C3" w:rsidRDefault="004E4D2B" w:rsidP="006651C3">
      <w:pPr>
        <w:spacing w:after="0" w:line="240" w:lineRule="auto"/>
        <w:jc w:val="center"/>
        <w:rPr>
          <w:rFonts w:ascii="ITC Avant Garde" w:hAnsi="ITC Avant Garde"/>
          <w:sz w:val="22"/>
          <w:szCs w:val="22"/>
        </w:rPr>
      </w:pPr>
      <w:r w:rsidRPr="004B395A">
        <w:rPr>
          <w:rFonts w:ascii="ITC Avant Garde" w:hAnsi="ITC Avant Garde"/>
          <w:sz w:val="22"/>
          <w:szCs w:val="22"/>
        </w:rPr>
        <w:t>Secretario del Consejo Consultivo</w:t>
      </w:r>
    </w:p>
    <w:sectPr w:rsidR="004E4D2B" w:rsidRPr="006651C3" w:rsidSect="001A51B0">
      <w:headerReference w:type="default" r:id="rId8"/>
      <w:footerReference w:type="default" r:id="rId9"/>
      <w:headerReference w:type="first" r:id="rId10"/>
      <w:footerReference w:type="first" r:id="rId11"/>
      <w:pgSz w:w="12240" w:h="15840" w:code="1"/>
      <w:pgMar w:top="1701" w:right="1134" w:bottom="1134" w:left="1134" w:header="425"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F9C1" w14:textId="77777777" w:rsidR="00AF68A5" w:rsidRDefault="00AF68A5" w:rsidP="0068060B">
      <w:pPr>
        <w:spacing w:after="0" w:line="240" w:lineRule="auto"/>
      </w:pPr>
      <w:r>
        <w:separator/>
      </w:r>
    </w:p>
  </w:endnote>
  <w:endnote w:type="continuationSeparator" w:id="0">
    <w:p w14:paraId="68399894" w14:textId="77777777" w:rsidR="00AF68A5" w:rsidRDefault="00AF68A5"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84406"/>
      <w:docPartObj>
        <w:docPartGallery w:val="Page Numbers (Bottom of Page)"/>
        <w:docPartUnique/>
      </w:docPartObj>
    </w:sdtPr>
    <w:sdtEndPr>
      <w:rPr>
        <w:rFonts w:ascii="ITC Avant Garde" w:hAnsi="ITC Avant Garde"/>
        <w:sz w:val="16"/>
        <w:szCs w:val="16"/>
      </w:rPr>
    </w:sdtEndPr>
    <w:sdtContent>
      <w:p w14:paraId="26A87B9D" w14:textId="0866A848" w:rsidR="00E22FC6" w:rsidRPr="00E22FC6" w:rsidRDefault="00E22FC6">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00893E06" w:rsidRPr="00893E06">
          <w:rPr>
            <w:rFonts w:ascii="ITC Avant Garde" w:hAnsi="ITC Avant Garde"/>
            <w:noProof/>
            <w:sz w:val="16"/>
            <w:szCs w:val="16"/>
            <w:lang w:val="es-ES"/>
          </w:rPr>
          <w:t>1</w:t>
        </w:r>
        <w:r w:rsidRPr="00E22FC6">
          <w:rPr>
            <w:rFonts w:ascii="ITC Avant Garde" w:hAnsi="ITC Avant Garde"/>
            <w:sz w:val="16"/>
            <w:szCs w:val="16"/>
          </w:rPr>
          <w:fldChar w:fldCharType="end"/>
        </w:r>
      </w:p>
    </w:sdtContent>
  </w:sdt>
  <w:p w14:paraId="289AFCB2" w14:textId="77777777" w:rsidR="00E22FC6" w:rsidRDefault="00E22F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10094"/>
      <w:docPartObj>
        <w:docPartGallery w:val="Page Numbers (Bottom of Page)"/>
        <w:docPartUnique/>
      </w:docPartObj>
    </w:sdtPr>
    <w:sdtEndPr>
      <w:rPr>
        <w:rFonts w:ascii="ITC Avant Garde" w:hAnsi="ITC Avant Garde"/>
        <w:sz w:val="16"/>
        <w:szCs w:val="16"/>
      </w:rPr>
    </w:sdtEndPr>
    <w:sdtContent>
      <w:p w14:paraId="4A7D6DBB" w14:textId="77777777" w:rsidR="00E22FC6" w:rsidRPr="00E22FC6" w:rsidRDefault="00E22FC6">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Pr="00E22FC6">
          <w:rPr>
            <w:rFonts w:ascii="ITC Avant Garde" w:hAnsi="ITC Avant Garde"/>
            <w:noProof/>
            <w:sz w:val="16"/>
            <w:szCs w:val="16"/>
            <w:lang w:val="es-ES"/>
          </w:rPr>
          <w:t>1</w:t>
        </w:r>
        <w:r w:rsidRPr="00E22FC6">
          <w:rPr>
            <w:rFonts w:ascii="ITC Avant Garde" w:hAnsi="ITC Avant Garde"/>
            <w:sz w:val="16"/>
            <w:szCs w:val="16"/>
          </w:rPr>
          <w:fldChar w:fldCharType="end"/>
        </w:r>
      </w:p>
    </w:sdtContent>
  </w:sdt>
  <w:p w14:paraId="48E76E35" w14:textId="77777777" w:rsidR="00E22FC6" w:rsidRDefault="00E22F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27C8" w14:textId="77777777" w:rsidR="00AF68A5" w:rsidRDefault="00AF68A5" w:rsidP="0068060B">
      <w:pPr>
        <w:spacing w:after="0" w:line="240" w:lineRule="auto"/>
      </w:pPr>
      <w:r>
        <w:separator/>
      </w:r>
    </w:p>
  </w:footnote>
  <w:footnote w:type="continuationSeparator" w:id="0">
    <w:p w14:paraId="2BCE4CB2" w14:textId="77777777" w:rsidR="00AF68A5" w:rsidRDefault="00AF68A5" w:rsidP="0068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1ED" w14:textId="77777777" w:rsidR="003707B8" w:rsidRDefault="003707B8" w:rsidP="009510B7">
    <w:pPr>
      <w:pStyle w:val="Encabezado"/>
      <w:ind w:left="4419" w:hanging="4419"/>
    </w:pPr>
  </w:p>
  <w:p w14:paraId="4A3F1E89" w14:textId="77777777" w:rsidR="003707B8" w:rsidRDefault="003707B8" w:rsidP="009510B7">
    <w:pPr>
      <w:pStyle w:val="Encabezado"/>
      <w:ind w:left="4419" w:hanging="4419"/>
    </w:pPr>
  </w:p>
  <w:p w14:paraId="428FAE95" w14:textId="77777777" w:rsidR="003707B8" w:rsidRDefault="003707B8" w:rsidP="009510B7">
    <w:pPr>
      <w:pStyle w:val="Encabezado"/>
      <w:ind w:left="4419" w:hanging="4419"/>
    </w:pPr>
  </w:p>
  <w:p w14:paraId="3CE2454D" w14:textId="77777777" w:rsidR="003707B8" w:rsidRDefault="003707B8" w:rsidP="009510B7">
    <w:pPr>
      <w:pStyle w:val="Encabezado"/>
      <w:ind w:left="4419" w:hanging="4419"/>
    </w:pPr>
  </w:p>
  <w:p w14:paraId="7207441B" w14:textId="77777777" w:rsidR="003707B8" w:rsidRDefault="003707B8" w:rsidP="009510B7">
    <w:pPr>
      <w:pStyle w:val="Encabezado"/>
      <w:ind w:left="4419" w:hanging="4419"/>
    </w:pPr>
  </w:p>
  <w:p w14:paraId="4E820FF7" w14:textId="77777777" w:rsidR="003707B8" w:rsidRDefault="003707B8" w:rsidP="009510B7">
    <w:pPr>
      <w:pStyle w:val="Encabezado"/>
      <w:ind w:left="4419" w:hanging="4419"/>
    </w:pPr>
  </w:p>
  <w:p w14:paraId="732C1845" w14:textId="77777777" w:rsidR="003707B8" w:rsidRDefault="003707B8" w:rsidP="009510B7">
    <w:pPr>
      <w:pStyle w:val="Encabezado"/>
      <w:ind w:left="4419" w:hanging="4419"/>
    </w:pPr>
  </w:p>
  <w:p w14:paraId="1F2D43B0" w14:textId="3DCCC19A" w:rsidR="0068060B" w:rsidRDefault="00AF68A5" w:rsidP="009510B7">
    <w:pPr>
      <w:pStyle w:val="Encabezado"/>
      <w:ind w:left="4419" w:hanging="4419"/>
    </w:pPr>
    <w:r>
      <w:rPr>
        <w:noProof/>
        <w:lang w:eastAsia="es-MX"/>
      </w:rPr>
      <w:pict w14:anchorId="495C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style="position:absolute;left:0;text-align:left;margin-left:-56.85pt;margin-top:-84.3pt;width:609.6pt;height:793.9pt;z-index:-251658752;mso-position-horizontal-relative:margin;mso-position-vertical-relative:margin" o:allowincell="f">
          <v:imagedata r:id="rId1" o:title="V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7FBE" w14:textId="0F8E11D3" w:rsidR="004E4D2B" w:rsidRDefault="004E4D2B">
    <w:pPr>
      <w:pStyle w:val="Encabezado"/>
    </w:pPr>
  </w:p>
  <w:p w14:paraId="0EEB5712" w14:textId="77777777" w:rsidR="004E4D2B" w:rsidRDefault="004E4D2B">
    <w:pPr>
      <w:pStyle w:val="Encabezado"/>
    </w:pPr>
  </w:p>
  <w:p w14:paraId="7578061B" w14:textId="77777777" w:rsidR="0068060B" w:rsidRDefault="006806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0B"/>
    <w:rsid w:val="00012AFA"/>
    <w:rsid w:val="00053388"/>
    <w:rsid w:val="000A6AD3"/>
    <w:rsid w:val="000B3CB5"/>
    <w:rsid w:val="000E3EA5"/>
    <w:rsid w:val="000F1D77"/>
    <w:rsid w:val="001113A5"/>
    <w:rsid w:val="00142C79"/>
    <w:rsid w:val="0014707D"/>
    <w:rsid w:val="001A51B0"/>
    <w:rsid w:val="001A67C7"/>
    <w:rsid w:val="00212931"/>
    <w:rsid w:val="002D0B8E"/>
    <w:rsid w:val="002F3B73"/>
    <w:rsid w:val="003118BD"/>
    <w:rsid w:val="003707B8"/>
    <w:rsid w:val="00377C66"/>
    <w:rsid w:val="00385E2C"/>
    <w:rsid w:val="003E356F"/>
    <w:rsid w:val="00405D71"/>
    <w:rsid w:val="004351AA"/>
    <w:rsid w:val="00444E31"/>
    <w:rsid w:val="00466ACD"/>
    <w:rsid w:val="004674FA"/>
    <w:rsid w:val="00470FA8"/>
    <w:rsid w:val="00474B48"/>
    <w:rsid w:val="004E4D2B"/>
    <w:rsid w:val="005507C0"/>
    <w:rsid w:val="00570FB3"/>
    <w:rsid w:val="005D18A4"/>
    <w:rsid w:val="00607E52"/>
    <w:rsid w:val="006467EA"/>
    <w:rsid w:val="006651C3"/>
    <w:rsid w:val="0068060B"/>
    <w:rsid w:val="00680AD1"/>
    <w:rsid w:val="006F16DA"/>
    <w:rsid w:val="006F7E03"/>
    <w:rsid w:val="00707E54"/>
    <w:rsid w:val="00714E6C"/>
    <w:rsid w:val="00731508"/>
    <w:rsid w:val="007439C6"/>
    <w:rsid w:val="00773D6D"/>
    <w:rsid w:val="00781855"/>
    <w:rsid w:val="00792C61"/>
    <w:rsid w:val="007A1974"/>
    <w:rsid w:val="007D55D8"/>
    <w:rsid w:val="007E4CFA"/>
    <w:rsid w:val="00821522"/>
    <w:rsid w:val="00821AB5"/>
    <w:rsid w:val="0083691E"/>
    <w:rsid w:val="00841DBE"/>
    <w:rsid w:val="00863FDB"/>
    <w:rsid w:val="00873543"/>
    <w:rsid w:val="00873CAC"/>
    <w:rsid w:val="00884918"/>
    <w:rsid w:val="00893E06"/>
    <w:rsid w:val="008B4E39"/>
    <w:rsid w:val="0091480C"/>
    <w:rsid w:val="00933F43"/>
    <w:rsid w:val="009510B7"/>
    <w:rsid w:val="00955049"/>
    <w:rsid w:val="00972B09"/>
    <w:rsid w:val="00976FDA"/>
    <w:rsid w:val="00992198"/>
    <w:rsid w:val="009C09A6"/>
    <w:rsid w:val="009D16BF"/>
    <w:rsid w:val="009E61F4"/>
    <w:rsid w:val="00A027F2"/>
    <w:rsid w:val="00A547B6"/>
    <w:rsid w:val="00A62680"/>
    <w:rsid w:val="00AF68A5"/>
    <w:rsid w:val="00B0682F"/>
    <w:rsid w:val="00B44169"/>
    <w:rsid w:val="00BC79CF"/>
    <w:rsid w:val="00BD65A4"/>
    <w:rsid w:val="00C37A7D"/>
    <w:rsid w:val="00CA1065"/>
    <w:rsid w:val="00CF680E"/>
    <w:rsid w:val="00D14337"/>
    <w:rsid w:val="00D572BD"/>
    <w:rsid w:val="00D92266"/>
    <w:rsid w:val="00DA7926"/>
    <w:rsid w:val="00E02FCE"/>
    <w:rsid w:val="00E10B8E"/>
    <w:rsid w:val="00E22FC6"/>
    <w:rsid w:val="00E251CF"/>
    <w:rsid w:val="00E93DF6"/>
    <w:rsid w:val="00E94764"/>
    <w:rsid w:val="00EC5B1A"/>
    <w:rsid w:val="00FC619E"/>
    <w:rsid w:val="00FE7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FC02F"/>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4E4D2B"/>
    <w:pPr>
      <w:spacing w:after="200" w:line="240" w:lineRule="auto"/>
      <w:ind w:left="720"/>
      <w:contextualSpacing/>
      <w:jc w:val="left"/>
    </w:pPr>
    <w:rPr>
      <w:rFonts w:asciiTheme="minorHAnsi" w:eastAsiaTheme="minorEastAsia" w:hAnsiTheme="minorHAnsi"/>
      <w:sz w:val="24"/>
      <w:szCs w:val="24"/>
    </w:rPr>
  </w:style>
  <w:style w:type="character" w:styleId="Refdecomentario">
    <w:name w:val="annotation reference"/>
    <w:basedOn w:val="Fuentedeprrafopredeter"/>
    <w:uiPriority w:val="99"/>
    <w:semiHidden/>
    <w:unhideWhenUsed/>
    <w:rsid w:val="00B44169"/>
    <w:rPr>
      <w:sz w:val="16"/>
      <w:szCs w:val="16"/>
    </w:rPr>
  </w:style>
  <w:style w:type="paragraph" w:styleId="Textocomentario">
    <w:name w:val="annotation text"/>
    <w:basedOn w:val="Normal"/>
    <w:link w:val="TextocomentarioCar"/>
    <w:uiPriority w:val="99"/>
    <w:semiHidden/>
    <w:unhideWhenUsed/>
    <w:rsid w:val="00B44169"/>
    <w:pPr>
      <w:spacing w:line="240" w:lineRule="auto"/>
    </w:pPr>
  </w:style>
  <w:style w:type="character" w:customStyle="1" w:styleId="TextocomentarioCar">
    <w:name w:val="Texto comentario Car"/>
    <w:basedOn w:val="Fuentedeprrafopredeter"/>
    <w:link w:val="Textocomentario"/>
    <w:uiPriority w:val="99"/>
    <w:semiHidden/>
    <w:rsid w:val="00B44169"/>
  </w:style>
  <w:style w:type="paragraph" w:styleId="Asuntodelcomentario">
    <w:name w:val="annotation subject"/>
    <w:basedOn w:val="Textocomentario"/>
    <w:next w:val="Textocomentario"/>
    <w:link w:val="AsuntodelcomentarioCar"/>
    <w:uiPriority w:val="99"/>
    <w:semiHidden/>
    <w:unhideWhenUsed/>
    <w:rsid w:val="00B44169"/>
    <w:rPr>
      <w:b/>
      <w:bCs/>
    </w:rPr>
  </w:style>
  <w:style w:type="character" w:customStyle="1" w:styleId="AsuntodelcomentarioCar">
    <w:name w:val="Asunto del comentario Car"/>
    <w:basedOn w:val="TextocomentarioCar"/>
    <w:link w:val="Asuntodelcomentario"/>
    <w:uiPriority w:val="99"/>
    <w:semiHidden/>
    <w:rsid w:val="00B44169"/>
    <w:rPr>
      <w:b/>
      <w:bCs/>
    </w:rPr>
  </w:style>
  <w:style w:type="paragraph" w:styleId="Textodeglobo">
    <w:name w:val="Balloon Text"/>
    <w:basedOn w:val="Normal"/>
    <w:link w:val="TextodegloboCar"/>
    <w:uiPriority w:val="99"/>
    <w:semiHidden/>
    <w:unhideWhenUsed/>
    <w:rsid w:val="00B4416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B5A4-260C-47E6-9B9F-4D8F1FB5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Eunice Rosales Cruz</cp:lastModifiedBy>
  <cp:revision>4</cp:revision>
  <cp:lastPrinted>2020-07-06T19:27:00Z</cp:lastPrinted>
  <dcterms:created xsi:type="dcterms:W3CDTF">2020-11-02T20:27:00Z</dcterms:created>
  <dcterms:modified xsi:type="dcterms:W3CDTF">2020-11-02T21:37:00Z</dcterms:modified>
</cp:coreProperties>
</file>