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4838" w14:textId="574DBC52" w:rsidR="009B29F5" w:rsidRPr="00605D3E" w:rsidRDefault="009B29F5" w:rsidP="00B9306F">
      <w:pPr>
        <w:spacing w:after="0" w:line="360" w:lineRule="auto"/>
        <w:ind w:left="142"/>
        <w:jc w:val="center"/>
        <w:rPr>
          <w:rFonts w:ascii="Calibri" w:hAnsi="Calibri" w:cs="Calibri"/>
          <w:sz w:val="24"/>
          <w:szCs w:val="24"/>
        </w:rPr>
      </w:pPr>
    </w:p>
    <w:p w14:paraId="2ADB0D81" w14:textId="4F1799FC"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b/>
          <w:bCs/>
          <w:sz w:val="24"/>
          <w:szCs w:val="24"/>
          <w:lang w:val="es-ES"/>
        </w:rPr>
        <w:t>RECOMENDACIÓN QUE EMITE EL CONSEJO CONSULTIVO DEL IFT REFERENTE A LA CREACIÓN Y PUBLICACIÓN DE UN REPORTE ANUAL SOBRE EL ESTADO QUE GUARDA LA INFRAESTRUCTURA DE INTERNET EN NUESTRO PAÍS</w:t>
      </w:r>
    </w:p>
    <w:p w14:paraId="30A1CD7B" w14:textId="7FCF7478" w:rsidR="009B29F5" w:rsidRDefault="009B29F5" w:rsidP="00605D3E">
      <w:pPr>
        <w:pStyle w:val="Prrafodelista"/>
        <w:numPr>
          <w:ilvl w:val="0"/>
          <w:numId w:val="14"/>
        </w:numPr>
        <w:spacing w:line="360" w:lineRule="auto"/>
        <w:rPr>
          <w:rFonts w:ascii="Calibri" w:hAnsi="Calibri" w:cs="Calibri"/>
          <w:b/>
          <w:bCs/>
          <w:lang w:val="es-ES"/>
        </w:rPr>
      </w:pPr>
      <w:r w:rsidRPr="00B9306F">
        <w:rPr>
          <w:rFonts w:ascii="Calibri" w:hAnsi="Calibri" w:cs="Calibri"/>
          <w:b/>
          <w:bCs/>
          <w:lang w:val="es-ES"/>
        </w:rPr>
        <w:t>SITUACIÓN</w:t>
      </w:r>
    </w:p>
    <w:p w14:paraId="54B4287D" w14:textId="77777777" w:rsidR="008612A9" w:rsidRPr="00B9306F" w:rsidRDefault="008612A9" w:rsidP="00B9306F">
      <w:pPr>
        <w:pStyle w:val="Prrafodelista"/>
        <w:spacing w:line="360" w:lineRule="auto"/>
        <w:rPr>
          <w:rFonts w:ascii="Calibri" w:hAnsi="Calibri" w:cs="Calibri"/>
          <w:b/>
          <w:bCs/>
          <w:lang w:val="es-ES"/>
        </w:rPr>
      </w:pPr>
    </w:p>
    <w:p w14:paraId="2C0A9779" w14:textId="77777777"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La pandemia nos ha mostrado que debemos estar preparados para responder efectivamente ante las situaciones de emergencia, particularmente cuando se trata de comunicaciones esenciales como la infraestructura y redes de acceso a Internet. Por ello, las autoridades regulatorias deben garantizar que los operadores de Proveedor de Servicios de Internet (ISP por sus siglas en inglés), de última milla, de Puntos de Intercambio de Internet (IXPs por sus siglas en inglés) y de Redes de Entrega de Contenidos (CDN por sus siglas en inglés), entre otros, que participan en competencia, en la construcción de una infraestructura nacional de telecomunicaciones, brinden a usuarios y consumidores estabilidad, alta disponibilidad, confiabilidad y neutralidad en el manejo de los datos que son transportados por las mismas, cuando éstos acceden a cualquier servicio.</w:t>
      </w:r>
    </w:p>
    <w:p w14:paraId="19557181" w14:textId="2942A035" w:rsidR="009B29F5"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 xml:space="preserve">Debido a que actualmente las redes de telecomunicaciones móviles y fijas, terrestres y satelitales, mayoritariamente utilizan el protocolo de Internet como medio de transporte y acceso, es necesario que se puedan medir algunos parámetros técnicos periódicamente de forma que, con esta información, simple o agregada se puedan considerar escenarios y en su caso, llevar a cabo medidas regulatorias que garanticen lo establecido en el párrafo anterior para usuarios y consumidores. De la misma forma, esta información al ser datos abiertos, pueden servir a potenciales inversionistas para incursionar en este mercado de provisión de servicios de Internet; a los operadores ya establecidos para proyectar crecimientos en zonas no atendidas, a la utilización de otros recursos como pueden ser los IXPs, centros de datos y otros recursos conectados a la red; o bien, pueden ser utilizados por el público en general para diversos fines.  </w:t>
      </w:r>
    </w:p>
    <w:p w14:paraId="32440E30" w14:textId="77E113DC" w:rsidR="00B9306F" w:rsidRDefault="00B9306F" w:rsidP="00B9306F">
      <w:pPr>
        <w:spacing w:line="360" w:lineRule="auto"/>
        <w:rPr>
          <w:rFonts w:ascii="Calibri" w:hAnsi="Calibri" w:cs="Calibri"/>
          <w:sz w:val="24"/>
          <w:szCs w:val="24"/>
          <w:lang w:val="es-ES"/>
        </w:rPr>
      </w:pPr>
    </w:p>
    <w:p w14:paraId="10C3E99E" w14:textId="46E60E44" w:rsidR="00B9306F" w:rsidRDefault="00B9306F" w:rsidP="00B9306F">
      <w:pPr>
        <w:spacing w:line="360" w:lineRule="auto"/>
        <w:rPr>
          <w:rFonts w:ascii="Calibri" w:hAnsi="Calibri" w:cs="Calibri"/>
          <w:sz w:val="24"/>
          <w:szCs w:val="24"/>
          <w:lang w:val="es-ES"/>
        </w:rPr>
      </w:pPr>
    </w:p>
    <w:p w14:paraId="02BE2591" w14:textId="77777777" w:rsidR="00B9306F" w:rsidRPr="00B9306F" w:rsidRDefault="00B9306F" w:rsidP="00B9306F">
      <w:pPr>
        <w:spacing w:line="360" w:lineRule="auto"/>
        <w:rPr>
          <w:rFonts w:ascii="Calibri" w:hAnsi="Calibri" w:cs="Calibri"/>
          <w:sz w:val="24"/>
          <w:szCs w:val="24"/>
          <w:lang w:val="es-ES"/>
        </w:rPr>
      </w:pPr>
    </w:p>
    <w:p w14:paraId="20DA8AE8" w14:textId="77777777" w:rsid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 xml:space="preserve">Además, la autoridad reguladora puede obtener la información de los operadores antes citados para conocer con mayor precisión los parámetros que serán indicativos de la resiliencia (incluso conocer a detalle su plan de recuperación de desastres o DRP -por sus siglas en inglés-) para la infraestructura desplegada por ellos. Esto le permitirá diseñar estrategias regulatorias que promuevan el despliegue de arquitecturas de red en el país más robustas y con mayor resiliencia, en beneficio de los usuarios y consumidores, al mismo tiempo que promueva también su interconexión con otras redes nacionales e internacionales. </w:t>
      </w:r>
    </w:p>
    <w:p w14:paraId="020A32C5" w14:textId="36456FB0"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De la misma forma, los datos recopilados pueden orientar una planeación del espectro tal que favorezca la adopción de medidas como pueden ser los usos dinámicos para incrementar los anchos de banda por usuario en ciertas zonas donde se concentró una emergencia, de forma que se pueda prevenir la escasez de espectro en tales situaciones y evite que los operadores tengan que utilizar técnicas de “throttling” del ancho de banda, rompiendo con los esquemas de neutralidad de la red.</w:t>
      </w:r>
    </w:p>
    <w:p w14:paraId="29F20F43" w14:textId="3CDC655B"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La información disponible en diversas fuentes en las que se reporta el estado que guarda Internet en nuestro país, no contienen la información relacionada con estos parámetros necesarios para robustecer el desempeño de las redes y hacerlas más resilientes, aún en situaciones de emergencia. ENDUTIH</w:t>
      </w:r>
      <w:r w:rsidR="00605D3E">
        <w:rPr>
          <w:rStyle w:val="Refdenotaalpie"/>
          <w:rFonts w:ascii="Calibri" w:hAnsi="Calibri" w:cs="Calibri"/>
          <w:sz w:val="24"/>
          <w:szCs w:val="24"/>
          <w:lang w:val="es-ES"/>
        </w:rPr>
        <w:footnoteReference w:id="1"/>
      </w:r>
      <w:r w:rsidRPr="00B9306F">
        <w:rPr>
          <w:rFonts w:ascii="Calibri" w:hAnsi="Calibri" w:cs="Calibri"/>
          <w:sz w:val="24"/>
          <w:szCs w:val="24"/>
          <w:lang w:val="es-ES"/>
        </w:rPr>
        <w:t xml:space="preserve"> brinda datos relevantes respecto al alcance en el despliegue de la conectividad fija y móvil, pero no ha sido diseñada para obtener otros parámetros de desempeño de las redes que dan acceso a Internet ni parámetros técnicos que identifican aspectos relevantes de la infraestructura de Internet. Contar con mediciones permite una mejora sustancial en el desarrollo de una infraestructura robusta y en la calidad de los servicios de Internet en el país.</w:t>
      </w:r>
    </w:p>
    <w:p w14:paraId="21F4A8DB" w14:textId="6B57E492" w:rsid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Si bien existen otras autoridades regulatorias que han publicado reportes sobre el estado que guarda el Internet en su país, como es el caso de la ARCEP</w:t>
      </w:r>
      <w:r w:rsidR="00605D3E">
        <w:rPr>
          <w:rStyle w:val="Refdenotaalpie"/>
          <w:rFonts w:ascii="Calibri" w:hAnsi="Calibri" w:cs="Calibri"/>
          <w:sz w:val="24"/>
          <w:szCs w:val="24"/>
          <w:lang w:val="es-ES"/>
        </w:rPr>
        <w:footnoteReference w:id="2"/>
      </w:r>
      <w:r w:rsidRPr="00B9306F">
        <w:rPr>
          <w:rFonts w:ascii="Calibri" w:hAnsi="Calibri" w:cs="Calibri"/>
          <w:sz w:val="24"/>
          <w:szCs w:val="24"/>
          <w:lang w:val="es-ES"/>
        </w:rPr>
        <w:t xml:space="preserve"> en Francia, que desde 2017 ha publicado un reporte que abarca desde los aspectos técnicos hasta los sociales de la Internet [1] y OFCOM</w:t>
      </w:r>
      <w:r w:rsidR="008612A9">
        <w:rPr>
          <w:rStyle w:val="Refdenotaalpie"/>
          <w:rFonts w:ascii="Calibri" w:hAnsi="Calibri" w:cs="Calibri"/>
          <w:sz w:val="24"/>
          <w:szCs w:val="24"/>
          <w:lang w:val="es-ES"/>
        </w:rPr>
        <w:footnoteReference w:id="3"/>
      </w:r>
      <w:r w:rsidRPr="00B9306F">
        <w:rPr>
          <w:rFonts w:ascii="Calibri" w:hAnsi="Calibri" w:cs="Calibri"/>
          <w:sz w:val="24"/>
          <w:szCs w:val="24"/>
          <w:lang w:val="es-ES"/>
        </w:rPr>
        <w:t xml:space="preserve"> que desde 2006 </w:t>
      </w:r>
    </w:p>
    <w:p w14:paraId="601045F0" w14:textId="77777777" w:rsidR="00B9306F" w:rsidRDefault="00B9306F" w:rsidP="00B9306F">
      <w:pPr>
        <w:spacing w:line="360" w:lineRule="auto"/>
        <w:rPr>
          <w:rFonts w:ascii="Calibri" w:hAnsi="Calibri" w:cs="Calibri"/>
          <w:sz w:val="24"/>
          <w:szCs w:val="24"/>
          <w:lang w:val="es-ES"/>
        </w:rPr>
      </w:pPr>
    </w:p>
    <w:p w14:paraId="0DE59321" w14:textId="41FE9E6B"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ha publicado anualmente una serie de reportes relacionados con los usos y actitudes de sus ciudadanos cuando utilizan servicios y aplicaciones en Internet [2], estos informes no contienen información detallada sobre aspectos técnicos de la infraestructura de Internet. Por ello, y para atender las preocupaciones que se describen en los párrafos anteriores, consideramos que el I</w:t>
      </w:r>
      <w:r w:rsidR="008612A9">
        <w:rPr>
          <w:rFonts w:ascii="Calibri" w:hAnsi="Calibri" w:cs="Calibri"/>
          <w:sz w:val="24"/>
          <w:szCs w:val="24"/>
          <w:lang w:val="es-ES"/>
        </w:rPr>
        <w:t xml:space="preserve">nstituto Federal de </w:t>
      </w:r>
      <w:r w:rsidRPr="00B9306F">
        <w:rPr>
          <w:rFonts w:ascii="Calibri" w:hAnsi="Calibri" w:cs="Calibri"/>
          <w:sz w:val="24"/>
          <w:szCs w:val="24"/>
          <w:lang w:val="es-ES"/>
        </w:rPr>
        <w:t>T</w:t>
      </w:r>
      <w:r w:rsidR="008612A9">
        <w:rPr>
          <w:rFonts w:ascii="Calibri" w:hAnsi="Calibri" w:cs="Calibri"/>
          <w:sz w:val="24"/>
          <w:szCs w:val="24"/>
          <w:lang w:val="es-ES"/>
        </w:rPr>
        <w:t>elecomunicaciones, en lo sucesivo, “IFT o Instituto”</w:t>
      </w:r>
      <w:r w:rsidRPr="00B9306F">
        <w:rPr>
          <w:rFonts w:ascii="Calibri" w:hAnsi="Calibri" w:cs="Calibri"/>
          <w:sz w:val="24"/>
          <w:szCs w:val="24"/>
          <w:lang w:val="es-ES"/>
        </w:rPr>
        <w:t>, dentro de su ámbito de competencia, debiera incorporar entre sus acciones inmediatas la creación y publicación de un reporte sobre el estado que guarda la infraestructura de Internet en el país tomando en consideración los siguientes aspectos (de forma enunciativa más no limitativa):</w:t>
      </w:r>
    </w:p>
    <w:p w14:paraId="3B4A0C04" w14:textId="6DB5446A"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 xml:space="preserve"> Operación de la infraestructura de Internet en México, con la incorporación de</w:t>
      </w:r>
      <w:r w:rsidR="008612A9">
        <w:rPr>
          <w:rFonts w:ascii="Calibri" w:hAnsi="Calibri" w:cs="Calibri"/>
          <w:lang w:val="es-ES"/>
        </w:rPr>
        <w:t>,</w:t>
      </w:r>
      <w:r w:rsidRPr="00B9306F">
        <w:rPr>
          <w:rFonts w:ascii="Calibri" w:hAnsi="Calibri" w:cs="Calibri"/>
          <w:lang w:val="es-ES"/>
        </w:rPr>
        <w:t xml:space="preserve"> al menos</w:t>
      </w:r>
      <w:r w:rsidR="008612A9">
        <w:rPr>
          <w:rFonts w:ascii="Calibri" w:hAnsi="Calibri" w:cs="Calibri"/>
          <w:lang w:val="es-ES"/>
        </w:rPr>
        <w:t>,</w:t>
      </w:r>
      <w:r w:rsidRPr="00B9306F">
        <w:rPr>
          <w:rFonts w:ascii="Calibri" w:hAnsi="Calibri" w:cs="Calibri"/>
          <w:lang w:val="es-ES"/>
        </w:rPr>
        <w:t xml:space="preserve"> los siguientes parámetros tecnológicos:</w:t>
      </w:r>
    </w:p>
    <w:p w14:paraId="22BBC3AE" w14:textId="0B91DEEB"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Grandes operadores ISP, Operadores WISP y redes de última milla, redes de televisión restringida</w:t>
      </w:r>
      <w:r w:rsidR="008612A9">
        <w:rPr>
          <w:rFonts w:ascii="Calibri" w:hAnsi="Calibri" w:cs="Calibri"/>
          <w:lang w:val="es-ES"/>
        </w:rPr>
        <w:t>;</w:t>
      </w:r>
    </w:p>
    <w:p w14:paraId="184EB5F7" w14:textId="76219DBB"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Tecnologías utilizadas</w:t>
      </w:r>
      <w:r w:rsidR="008612A9">
        <w:rPr>
          <w:rFonts w:ascii="Calibri" w:hAnsi="Calibri" w:cs="Calibri"/>
          <w:lang w:val="es-ES"/>
        </w:rPr>
        <w:t>;</w:t>
      </w:r>
    </w:p>
    <w:p w14:paraId="1EA790B6" w14:textId="3D10B07F"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Velocidades de descarga y de acceso</w:t>
      </w:r>
      <w:r w:rsidR="008612A9">
        <w:rPr>
          <w:rFonts w:ascii="Calibri" w:hAnsi="Calibri" w:cs="Calibri"/>
          <w:lang w:val="es-ES"/>
        </w:rPr>
        <w:t>;</w:t>
      </w:r>
    </w:p>
    <w:p w14:paraId="1D6750A3" w14:textId="77777777"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Protocolos IPv4 a IPV6.[3] (como puede ser la relación en Porcentaje de avance en la transición de acuerdo con los indicadores que ha propuesto medir APNIC)</w:t>
      </w:r>
    </w:p>
    <w:p w14:paraId="1F8D51BC" w14:textId="444FCE3B"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Tipo de transporte</w:t>
      </w:r>
      <w:r w:rsidR="008612A9">
        <w:rPr>
          <w:rFonts w:ascii="Calibri" w:hAnsi="Calibri" w:cs="Calibri"/>
          <w:lang w:val="es-ES"/>
        </w:rPr>
        <w:t>;</w:t>
      </w:r>
    </w:p>
    <w:p w14:paraId="0B856EF2" w14:textId="1C0C7683"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Calidad de servicio, mejores esfuerzos (“best effort”)</w:t>
      </w:r>
      <w:r w:rsidR="008612A9">
        <w:rPr>
          <w:rFonts w:ascii="Calibri" w:hAnsi="Calibri" w:cs="Calibri"/>
          <w:lang w:val="es-ES"/>
        </w:rPr>
        <w:t>, y</w:t>
      </w:r>
    </w:p>
    <w:p w14:paraId="18FDDEA2" w14:textId="252B432D"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Uso de protocolos en IoT y su coexistencia con Internet</w:t>
      </w:r>
      <w:r w:rsidR="008612A9">
        <w:rPr>
          <w:rFonts w:ascii="Calibri" w:hAnsi="Calibri" w:cs="Calibri"/>
          <w:lang w:val="es-ES"/>
        </w:rPr>
        <w:t>.</w:t>
      </w:r>
      <w:r w:rsidRPr="00B9306F">
        <w:rPr>
          <w:rFonts w:ascii="Calibri" w:hAnsi="Calibri" w:cs="Calibri"/>
          <w:lang w:val="es-ES"/>
        </w:rPr>
        <w:t xml:space="preserve"> [4]</w:t>
      </w:r>
    </w:p>
    <w:p w14:paraId="5E52A07A" w14:textId="07BCE90C"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Mapas de la coexistencia de arquitecturas públicas y privadas</w:t>
      </w:r>
      <w:r w:rsidR="008612A9">
        <w:rPr>
          <w:rFonts w:ascii="Calibri" w:hAnsi="Calibri" w:cs="Calibri"/>
          <w:lang w:val="es-ES"/>
        </w:rPr>
        <w:t>,</w:t>
      </w:r>
      <w:r w:rsidRPr="00B9306F">
        <w:rPr>
          <w:rFonts w:ascii="Calibri" w:hAnsi="Calibri" w:cs="Calibri"/>
          <w:lang w:val="es-ES"/>
        </w:rPr>
        <w:t xml:space="preserve"> hasta donde sea posible, considerando al menos los siguientes factores:</w:t>
      </w:r>
    </w:p>
    <w:p w14:paraId="22E347EE" w14:textId="754520B6"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Números de Sistemas Autónomos (ASN, por sus siglas en inglés)</w:t>
      </w:r>
      <w:r w:rsidR="008612A9">
        <w:rPr>
          <w:rFonts w:ascii="Calibri" w:hAnsi="Calibri" w:cs="Calibri"/>
          <w:lang w:val="es-ES"/>
        </w:rPr>
        <w:t>;</w:t>
      </w:r>
    </w:p>
    <w:p w14:paraId="044B469D" w14:textId="7804DE86"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Modelos de enrutamiento</w:t>
      </w:r>
      <w:r w:rsidR="008612A9">
        <w:rPr>
          <w:rFonts w:ascii="Calibri" w:hAnsi="Calibri" w:cs="Calibri"/>
          <w:lang w:val="es-ES"/>
        </w:rPr>
        <w:t>;</w:t>
      </w:r>
    </w:p>
    <w:p w14:paraId="56E09DA5" w14:textId="77777777"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Establecimiento de IXP y la participación de ISP, CDN y otros actores</w:t>
      </w:r>
    </w:p>
    <w:p w14:paraId="020CAE05" w14:textId="47147FF3" w:rsidR="009B29F5" w:rsidRPr="00B9306F"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VPNs y “peering” local</w:t>
      </w:r>
      <w:r w:rsidR="008612A9">
        <w:rPr>
          <w:rFonts w:ascii="Calibri" w:hAnsi="Calibri" w:cs="Calibri"/>
          <w:lang w:val="es-ES"/>
        </w:rPr>
        <w:t>, y</w:t>
      </w:r>
    </w:p>
    <w:p w14:paraId="3B7C9895" w14:textId="25E8B3D2" w:rsidR="009B29F5" w:rsidRDefault="009B29F5" w:rsidP="00B9306F">
      <w:pPr>
        <w:pStyle w:val="Prrafodelista"/>
        <w:numPr>
          <w:ilvl w:val="1"/>
          <w:numId w:val="13"/>
        </w:numPr>
        <w:spacing w:line="360" w:lineRule="auto"/>
        <w:jc w:val="both"/>
        <w:rPr>
          <w:rFonts w:ascii="Calibri" w:hAnsi="Calibri" w:cs="Calibri"/>
          <w:lang w:val="es-ES"/>
        </w:rPr>
      </w:pPr>
      <w:r w:rsidRPr="00B9306F">
        <w:rPr>
          <w:rFonts w:ascii="Calibri" w:hAnsi="Calibri" w:cs="Calibri"/>
          <w:lang w:val="es-ES"/>
        </w:rPr>
        <w:t>Rutas de salida internacionales</w:t>
      </w:r>
      <w:r w:rsidR="008612A9">
        <w:rPr>
          <w:rFonts w:ascii="Calibri" w:hAnsi="Calibri" w:cs="Calibri"/>
          <w:lang w:val="es-ES"/>
        </w:rPr>
        <w:t>.</w:t>
      </w:r>
    </w:p>
    <w:p w14:paraId="6B473FA6" w14:textId="0813C226" w:rsidR="00B9306F" w:rsidRDefault="00B9306F" w:rsidP="00B9306F">
      <w:pPr>
        <w:pStyle w:val="Prrafodelista"/>
        <w:spacing w:line="360" w:lineRule="auto"/>
        <w:ind w:left="1440"/>
        <w:jc w:val="both"/>
        <w:rPr>
          <w:rFonts w:ascii="Calibri" w:hAnsi="Calibri" w:cs="Calibri"/>
          <w:lang w:val="es-ES"/>
        </w:rPr>
      </w:pPr>
    </w:p>
    <w:p w14:paraId="790BDCE1" w14:textId="77777777" w:rsidR="00B9306F" w:rsidRPr="00B9306F" w:rsidRDefault="00B9306F" w:rsidP="00B9306F">
      <w:pPr>
        <w:pStyle w:val="Prrafodelista"/>
        <w:spacing w:line="360" w:lineRule="auto"/>
        <w:ind w:left="1440"/>
        <w:jc w:val="both"/>
        <w:rPr>
          <w:rFonts w:ascii="Calibri" w:hAnsi="Calibri" w:cs="Calibri"/>
          <w:lang w:val="es-ES"/>
        </w:rPr>
      </w:pPr>
    </w:p>
    <w:p w14:paraId="35F670C3" w14:textId="7F6DCA1C"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Servidor de Nombres de Dominio Raíz del país (DNS, por sus siglas en inglés)</w:t>
      </w:r>
      <w:r w:rsidR="008612A9">
        <w:rPr>
          <w:rFonts w:ascii="Calibri" w:hAnsi="Calibri" w:cs="Calibri"/>
          <w:lang w:val="es-ES"/>
        </w:rPr>
        <w:t>;</w:t>
      </w:r>
    </w:p>
    <w:p w14:paraId="4A50B125" w14:textId="230D6CC5"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Uso de espectro para Internet</w:t>
      </w:r>
      <w:r w:rsidR="008612A9">
        <w:rPr>
          <w:rFonts w:ascii="Calibri" w:hAnsi="Calibri" w:cs="Calibri"/>
          <w:lang w:val="es-ES"/>
        </w:rPr>
        <w:t>;</w:t>
      </w:r>
    </w:p>
    <w:p w14:paraId="14A8BD26" w14:textId="5512763D"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Neutralidad de la red</w:t>
      </w:r>
      <w:r w:rsidR="008612A9">
        <w:rPr>
          <w:rFonts w:ascii="Calibri" w:hAnsi="Calibri" w:cs="Calibri"/>
          <w:lang w:val="es-ES"/>
        </w:rPr>
        <w:t>;</w:t>
      </w:r>
    </w:p>
    <w:p w14:paraId="286D1314" w14:textId="404EF699"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Sistemas de administración</w:t>
      </w:r>
      <w:r w:rsidR="008612A9">
        <w:rPr>
          <w:rFonts w:ascii="Calibri" w:hAnsi="Calibri" w:cs="Calibri"/>
          <w:lang w:val="es-ES"/>
        </w:rPr>
        <w:t>;</w:t>
      </w:r>
    </w:p>
    <w:p w14:paraId="7B81A98C" w14:textId="30572FC3"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Equipos de respuesta ante desastres y estrategias para alcanzar la estabilidad y resiliencia aún en situaciones de desastre</w:t>
      </w:r>
      <w:r w:rsidR="008612A9">
        <w:rPr>
          <w:rFonts w:ascii="Calibri" w:hAnsi="Calibri" w:cs="Calibri"/>
          <w:lang w:val="es-ES"/>
        </w:rPr>
        <w:t>;</w:t>
      </w:r>
    </w:p>
    <w:p w14:paraId="553B0D95" w14:textId="44A77BF5" w:rsidR="008612A9"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Ciberseguridad: Cumplimiento de estándares y normas técnicas (compliance) a considerar en la continuidad de las redes de Internet mexicanas</w:t>
      </w:r>
      <w:r w:rsidR="008612A9">
        <w:rPr>
          <w:rFonts w:ascii="Calibri" w:hAnsi="Calibri" w:cs="Calibri"/>
          <w:lang w:val="es-ES"/>
        </w:rPr>
        <w:t>;</w:t>
      </w:r>
    </w:p>
    <w:p w14:paraId="4BE2D00F" w14:textId="20CB5CF3" w:rsidR="009B29F5"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Compromiso con el medio ambiente y la sustentabilidad</w:t>
      </w:r>
      <w:r w:rsidR="008612A9">
        <w:rPr>
          <w:rFonts w:ascii="Calibri" w:hAnsi="Calibri" w:cs="Calibri"/>
          <w:lang w:val="es-ES"/>
        </w:rPr>
        <w:t>, y</w:t>
      </w:r>
    </w:p>
    <w:p w14:paraId="161C6336" w14:textId="7A7B088E" w:rsidR="008612A9" w:rsidRPr="00B9306F" w:rsidRDefault="009B29F5" w:rsidP="00B9306F">
      <w:pPr>
        <w:pStyle w:val="Prrafodelista"/>
        <w:numPr>
          <w:ilvl w:val="0"/>
          <w:numId w:val="13"/>
        </w:numPr>
        <w:spacing w:line="360" w:lineRule="auto"/>
        <w:jc w:val="both"/>
        <w:rPr>
          <w:rFonts w:ascii="Calibri" w:hAnsi="Calibri" w:cs="Calibri"/>
          <w:lang w:val="es-ES"/>
        </w:rPr>
      </w:pPr>
      <w:r w:rsidRPr="00B9306F">
        <w:rPr>
          <w:rFonts w:ascii="Calibri" w:hAnsi="Calibri" w:cs="Calibri"/>
          <w:lang w:val="es-ES"/>
        </w:rPr>
        <w:t>Relación con el desarrollo de la sociedad</w:t>
      </w:r>
      <w:r w:rsidR="008612A9">
        <w:rPr>
          <w:rFonts w:ascii="Calibri" w:hAnsi="Calibri" w:cs="Calibri"/>
          <w:lang w:val="es-ES"/>
        </w:rPr>
        <w:t>.</w:t>
      </w:r>
      <w:r w:rsidRPr="00B9306F">
        <w:rPr>
          <w:rFonts w:ascii="Calibri" w:hAnsi="Calibri" w:cs="Calibri"/>
          <w:lang w:val="es-ES"/>
        </w:rPr>
        <w:t xml:space="preserve"> [5]</w:t>
      </w:r>
    </w:p>
    <w:p w14:paraId="65963190" w14:textId="77777777" w:rsidR="009B29F5" w:rsidRPr="00B9306F" w:rsidRDefault="009B29F5" w:rsidP="00B9306F">
      <w:pPr>
        <w:pStyle w:val="Prrafodelista"/>
        <w:spacing w:line="360" w:lineRule="auto"/>
        <w:jc w:val="both"/>
        <w:rPr>
          <w:rFonts w:ascii="Calibri" w:hAnsi="Calibri" w:cs="Calibri"/>
          <w:lang w:val="es-ES"/>
        </w:rPr>
      </w:pPr>
    </w:p>
    <w:p w14:paraId="4CD4EF02" w14:textId="2BEDFB59" w:rsidR="008612A9" w:rsidRPr="00B9306F" w:rsidRDefault="009B29F5" w:rsidP="00B9306F">
      <w:pPr>
        <w:pStyle w:val="Prrafodelista"/>
        <w:numPr>
          <w:ilvl w:val="0"/>
          <w:numId w:val="14"/>
        </w:numPr>
        <w:spacing w:line="360" w:lineRule="auto"/>
        <w:rPr>
          <w:rFonts w:ascii="Calibri" w:hAnsi="Calibri" w:cs="Calibri"/>
          <w:b/>
          <w:bCs/>
          <w:lang w:val="es-ES"/>
        </w:rPr>
      </w:pPr>
      <w:r w:rsidRPr="00B9306F">
        <w:rPr>
          <w:rFonts w:ascii="Calibri" w:hAnsi="Calibri" w:cs="Calibri"/>
          <w:b/>
          <w:bCs/>
          <w:lang w:val="es-ES"/>
        </w:rPr>
        <w:t>RECOMENDACIÓN</w:t>
      </w:r>
    </w:p>
    <w:p w14:paraId="48D6A3C2" w14:textId="77777777" w:rsidR="009B29F5" w:rsidRPr="00B9306F" w:rsidRDefault="009B29F5" w:rsidP="00B9306F">
      <w:pPr>
        <w:pStyle w:val="Prrafodelista"/>
        <w:spacing w:line="360" w:lineRule="auto"/>
        <w:rPr>
          <w:rFonts w:ascii="Calibri" w:hAnsi="Calibri" w:cs="Calibri"/>
          <w:lang w:val="es-ES"/>
        </w:rPr>
      </w:pPr>
    </w:p>
    <w:p w14:paraId="6D5535AC" w14:textId="63D04159" w:rsidR="009B29F5" w:rsidRPr="00B9306F" w:rsidRDefault="009B29F5" w:rsidP="00B9306F">
      <w:pPr>
        <w:pStyle w:val="Prrafodelista"/>
        <w:numPr>
          <w:ilvl w:val="0"/>
          <w:numId w:val="12"/>
        </w:numPr>
        <w:spacing w:line="360" w:lineRule="auto"/>
        <w:jc w:val="both"/>
        <w:rPr>
          <w:rFonts w:ascii="Calibri" w:hAnsi="Calibri" w:cs="Calibri"/>
          <w:lang w:val="es-ES"/>
        </w:rPr>
      </w:pPr>
      <w:r w:rsidRPr="00B9306F">
        <w:rPr>
          <w:rFonts w:ascii="Calibri" w:hAnsi="Calibri" w:cs="Calibri"/>
          <w:lang w:val="es-ES"/>
        </w:rPr>
        <w:t>Que el Instituto destine recursos a la publicación de un reporte periódico sobre el estado que guarda la Internet en nuestro país para el cual se propone la información mencionada antes en este documento</w:t>
      </w:r>
      <w:r w:rsidR="008612A9">
        <w:rPr>
          <w:rFonts w:ascii="Calibri" w:hAnsi="Calibri" w:cs="Calibri"/>
          <w:lang w:val="es-ES"/>
        </w:rPr>
        <w:t>, y</w:t>
      </w:r>
    </w:p>
    <w:p w14:paraId="78F8EC69" w14:textId="77777777" w:rsidR="009B29F5" w:rsidRPr="00B9306F" w:rsidRDefault="009B29F5" w:rsidP="00B9306F">
      <w:pPr>
        <w:pStyle w:val="Prrafodelista"/>
        <w:numPr>
          <w:ilvl w:val="0"/>
          <w:numId w:val="12"/>
        </w:numPr>
        <w:spacing w:line="360" w:lineRule="auto"/>
        <w:jc w:val="both"/>
        <w:rPr>
          <w:rFonts w:ascii="Calibri" w:hAnsi="Calibri" w:cs="Calibri"/>
          <w:lang w:val="es-ES"/>
        </w:rPr>
      </w:pPr>
      <w:r w:rsidRPr="00B9306F">
        <w:rPr>
          <w:rFonts w:ascii="Calibri" w:hAnsi="Calibri" w:cs="Calibri"/>
          <w:lang w:val="es-ES"/>
        </w:rPr>
        <w:t>Que el Instituto ponga en formato de datos abiertos los insumos con los que generaron dicho reporte según corresponda, de conformidad con las disposiciones aplicables en materia de transparencia y en materia de protección de datos personales.</w:t>
      </w:r>
    </w:p>
    <w:p w14:paraId="00926BC3" w14:textId="77777777" w:rsidR="009B29F5" w:rsidRPr="00B9306F" w:rsidRDefault="009B29F5" w:rsidP="00B9306F">
      <w:pPr>
        <w:spacing w:line="360" w:lineRule="auto"/>
        <w:rPr>
          <w:rFonts w:ascii="Calibri" w:hAnsi="Calibri" w:cs="Calibri"/>
          <w:sz w:val="24"/>
          <w:szCs w:val="24"/>
          <w:lang w:val="es-ES"/>
        </w:rPr>
      </w:pPr>
    </w:p>
    <w:p w14:paraId="0C3CD5CF" w14:textId="77777777" w:rsidR="009B29F5" w:rsidRPr="00B9306F" w:rsidRDefault="009B29F5" w:rsidP="00B9306F">
      <w:pPr>
        <w:pStyle w:val="Prrafodelista"/>
        <w:numPr>
          <w:ilvl w:val="0"/>
          <w:numId w:val="14"/>
        </w:numPr>
        <w:spacing w:line="360" w:lineRule="auto"/>
        <w:rPr>
          <w:rFonts w:ascii="Calibri" w:hAnsi="Calibri" w:cs="Calibri"/>
          <w:b/>
          <w:bCs/>
          <w:lang w:val="es-ES"/>
        </w:rPr>
      </w:pPr>
      <w:r w:rsidRPr="00B9306F">
        <w:rPr>
          <w:rFonts w:ascii="Calibri" w:hAnsi="Calibri" w:cs="Calibri"/>
          <w:b/>
          <w:bCs/>
          <w:lang w:val="es-ES"/>
        </w:rPr>
        <w:t>REFERENCIAS</w:t>
      </w:r>
    </w:p>
    <w:p w14:paraId="14E321FF" w14:textId="77777777" w:rsidR="009B29F5" w:rsidRPr="00B9306F" w:rsidRDefault="009B29F5" w:rsidP="00B9306F">
      <w:pPr>
        <w:spacing w:line="360" w:lineRule="auto"/>
        <w:rPr>
          <w:rFonts w:ascii="Calibri" w:hAnsi="Calibri" w:cs="Calibri"/>
          <w:sz w:val="24"/>
          <w:szCs w:val="24"/>
          <w:lang w:val="es-ES"/>
        </w:rPr>
      </w:pPr>
    </w:p>
    <w:p w14:paraId="689BF0AA" w14:textId="77777777"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w:t>
      </w:r>
      <w:r w:rsidRPr="00B9306F">
        <w:rPr>
          <w:rFonts w:ascii="Calibri" w:hAnsi="Calibri" w:cs="Calibri"/>
          <w:sz w:val="24"/>
          <w:szCs w:val="24"/>
        </w:rPr>
        <w:t>1</w:t>
      </w:r>
      <w:r w:rsidRPr="00B9306F">
        <w:rPr>
          <w:rFonts w:ascii="Calibri" w:hAnsi="Calibri" w:cs="Calibri"/>
          <w:sz w:val="24"/>
          <w:szCs w:val="24"/>
          <w:lang w:val="es-ES"/>
        </w:rPr>
        <w:t xml:space="preserve">] ARCEP, “The state of the Internet (original L’état d’Internet en France)”, Autorité de régulation des communications électroniques, des postes et de la distribution de la presse, Paris, Francia, 2021. </w:t>
      </w:r>
      <w:r w:rsidRPr="00B9306F">
        <w:rPr>
          <w:rFonts w:ascii="Calibri" w:hAnsi="Calibri" w:cs="Calibri"/>
          <w:sz w:val="24"/>
          <w:szCs w:val="24"/>
        </w:rPr>
        <w:t xml:space="preserve">[En línea]. Disponible en: </w:t>
      </w:r>
      <w:hyperlink r:id="rId8">
        <w:r w:rsidRPr="00B9306F">
          <w:rPr>
            <w:rStyle w:val="InternetLink"/>
            <w:rFonts w:ascii="Calibri" w:hAnsi="Calibri" w:cs="Calibri"/>
            <w:sz w:val="24"/>
            <w:szCs w:val="24"/>
          </w:rPr>
          <w:t>https://en.arcep.fr/uploads/tx_gspublication/report-state-internet-2021-edition-july2021.pdf</w:t>
        </w:r>
      </w:hyperlink>
      <w:r w:rsidRPr="00B9306F">
        <w:rPr>
          <w:rFonts w:ascii="Calibri" w:hAnsi="Calibri" w:cs="Calibri"/>
          <w:sz w:val="24"/>
          <w:szCs w:val="24"/>
          <w:lang w:val="es-ES"/>
        </w:rPr>
        <w:t xml:space="preserve"> </w:t>
      </w:r>
    </w:p>
    <w:p w14:paraId="59E9C80D" w14:textId="77777777" w:rsidR="00B9306F" w:rsidRPr="00670713" w:rsidRDefault="00B9306F" w:rsidP="00B9306F">
      <w:pPr>
        <w:spacing w:line="360" w:lineRule="auto"/>
        <w:rPr>
          <w:rFonts w:ascii="Calibri" w:hAnsi="Calibri" w:cs="Calibri"/>
          <w:sz w:val="24"/>
          <w:szCs w:val="24"/>
        </w:rPr>
      </w:pPr>
    </w:p>
    <w:p w14:paraId="7D9228A9" w14:textId="5725A2F7"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n-US"/>
        </w:rPr>
        <w:t xml:space="preserve">[2] OFCOM, “Internet use and attitudes” https://www.ofcom.org.uk/research-and-data/internet-and-on-demand-research/internet-use-and-attitudes. </w:t>
      </w:r>
      <w:r w:rsidRPr="00B9306F">
        <w:rPr>
          <w:rFonts w:ascii="Calibri" w:hAnsi="Calibri" w:cs="Calibri"/>
          <w:sz w:val="24"/>
          <w:szCs w:val="24"/>
          <w:lang w:val="es-ES"/>
        </w:rPr>
        <w:t>Esta liga da acceso a los reportes desde 2006 a 2019</w:t>
      </w:r>
    </w:p>
    <w:p w14:paraId="6B2EE915" w14:textId="77777777" w:rsidR="009B29F5" w:rsidRPr="00B9306F" w:rsidRDefault="009B29F5" w:rsidP="00B9306F">
      <w:pPr>
        <w:spacing w:line="360" w:lineRule="auto"/>
        <w:rPr>
          <w:rStyle w:val="InternetLink"/>
        </w:rPr>
      </w:pPr>
      <w:r w:rsidRPr="00B9306F">
        <w:rPr>
          <w:rFonts w:ascii="Calibri" w:hAnsi="Calibri" w:cs="Calibri"/>
          <w:sz w:val="24"/>
          <w:szCs w:val="24"/>
          <w:lang w:val="es-ES"/>
        </w:rPr>
        <w:t xml:space="preserve">[3] El IV Consejo Consultivo del IFT en su Recomendación sobre el despliegue de IPv6 (disponible en </w:t>
      </w:r>
      <w:hyperlink r:id="rId9" w:history="1">
        <w:r w:rsidRPr="00B9306F">
          <w:rPr>
            <w:rStyle w:val="InternetLink"/>
          </w:rPr>
          <w:t>http://consejoconsultivo.ift.org.mx/docs/recomendaciones/2019/RecomendacionIPv6VF_.pdf</w:t>
        </w:r>
      </w:hyperlink>
      <w:r w:rsidRPr="00B9306F">
        <w:rPr>
          <w:rStyle w:val="InternetLink"/>
        </w:rPr>
        <w:t xml:space="preserve">) </w:t>
      </w:r>
    </w:p>
    <w:p w14:paraId="01B0B70E" w14:textId="6453CB60" w:rsidR="009B29F5" w:rsidRPr="00B9306F" w:rsidRDefault="009B29F5" w:rsidP="00B9306F">
      <w:pPr>
        <w:spacing w:line="360" w:lineRule="auto"/>
        <w:rPr>
          <w:rStyle w:val="InternetLink"/>
          <w:rFonts w:ascii="Calibri" w:hAnsi="Calibri" w:cs="Calibri"/>
          <w:color w:val="auto"/>
          <w:sz w:val="24"/>
          <w:szCs w:val="24"/>
          <w:u w:val="none"/>
          <w:lang w:val="es-ES"/>
        </w:rPr>
      </w:pPr>
      <w:r w:rsidRPr="00B9306F">
        <w:rPr>
          <w:rFonts w:ascii="Calibri" w:hAnsi="Calibri" w:cs="Calibri"/>
          <w:sz w:val="24"/>
          <w:szCs w:val="24"/>
          <w:lang w:val="es-ES"/>
        </w:rPr>
        <w:t xml:space="preserve">[4] El V Consejo Consultivo del IFT en su Recomendación sobre la formación de un observatorio o grupo de estudio para el monitoreo de IoT disponible en: </w:t>
      </w:r>
      <w:hyperlink r:id="rId10" w:history="1">
        <w:r w:rsidR="00B9306F" w:rsidRPr="00B9306F">
          <w:rPr>
            <w:rStyle w:val="InternetLink"/>
          </w:rPr>
          <w:t>http://consejoconsultivo.ift.org.mx/docs/recomendaciones/2021/recomendacion_que_emite_el_cc_del_ift_sobre_la_formacion_de_un_observatorio_o_grupo_de_estudio_para_el_monitoreo_de_iot.pdf</w:t>
        </w:r>
      </w:hyperlink>
    </w:p>
    <w:p w14:paraId="736B4144" w14:textId="598EBE74" w:rsidR="009B29F5" w:rsidRPr="00B9306F" w:rsidRDefault="009B29F5" w:rsidP="00B9306F">
      <w:pPr>
        <w:spacing w:line="360" w:lineRule="auto"/>
        <w:rPr>
          <w:rFonts w:ascii="Calibri" w:hAnsi="Calibri" w:cs="Calibri"/>
          <w:sz w:val="24"/>
          <w:szCs w:val="24"/>
          <w:lang w:val="es-ES"/>
        </w:rPr>
      </w:pPr>
      <w:r w:rsidRPr="00B9306F">
        <w:rPr>
          <w:rFonts w:ascii="Calibri" w:hAnsi="Calibri" w:cs="Calibri"/>
          <w:sz w:val="24"/>
          <w:szCs w:val="24"/>
          <w:lang w:val="es-ES"/>
        </w:rPr>
        <w:t>[5] El V Consejo Consultivo del IFT en su Recomendación para promover la Economía Digital (disponible en</w:t>
      </w:r>
      <w:r w:rsidR="00B9306F">
        <w:rPr>
          <w:rFonts w:ascii="Calibri" w:hAnsi="Calibri" w:cs="Calibri"/>
          <w:sz w:val="24"/>
          <w:szCs w:val="24"/>
          <w:lang w:val="es-ES"/>
        </w:rPr>
        <w:t xml:space="preserve"> </w:t>
      </w:r>
      <w:hyperlink r:id="rId11" w:history="1">
        <w:r w:rsidR="00B9306F" w:rsidRPr="00B9306F">
          <w:rPr>
            <w:rStyle w:val="InternetLink"/>
          </w:rPr>
          <w:t>http://consejoconsultivo.ift.org.mx/docs/recomendaciones/2021/iii_2_recomendacion_para_promover_economia_digital_vf.pdf</w:t>
        </w:r>
      </w:hyperlink>
      <w:r w:rsidRPr="00B9306F">
        <w:rPr>
          <w:rFonts w:ascii="Calibri" w:hAnsi="Calibri" w:cs="Calibri"/>
          <w:sz w:val="24"/>
          <w:szCs w:val="24"/>
          <w:lang w:val="es-ES"/>
        </w:rPr>
        <w:t>) recomendó al Instituto “Incorporar indicadores en los planes de trabajo anual del IFT que permitan medir la evolución de la “economía digital” y el impacto de las actividades del Instituto para cerrar la brecha digital”</w:t>
      </w:r>
      <w:r w:rsidR="008612A9">
        <w:rPr>
          <w:rFonts w:ascii="Calibri" w:hAnsi="Calibri" w:cs="Calibri"/>
          <w:sz w:val="24"/>
          <w:szCs w:val="24"/>
          <w:lang w:val="es-ES"/>
        </w:rPr>
        <w:t>.</w:t>
      </w:r>
    </w:p>
    <w:p w14:paraId="74B3BBD9" w14:textId="77777777" w:rsidR="009B29F5" w:rsidRPr="00B9306F" w:rsidRDefault="009B29F5" w:rsidP="00B9306F">
      <w:pPr>
        <w:spacing w:line="360" w:lineRule="auto"/>
        <w:rPr>
          <w:rFonts w:ascii="Calibri" w:hAnsi="Calibri" w:cs="Calibri"/>
          <w:sz w:val="24"/>
          <w:szCs w:val="24"/>
          <w:lang w:val="es-ES"/>
        </w:rPr>
      </w:pPr>
    </w:p>
    <w:p w14:paraId="2C3BCAE5" w14:textId="77777777" w:rsidR="008612A9" w:rsidRPr="0047618D" w:rsidRDefault="008612A9" w:rsidP="008612A9">
      <w:pPr>
        <w:spacing w:after="0" w:line="276" w:lineRule="auto"/>
        <w:ind w:left="142"/>
        <w:jc w:val="center"/>
        <w:rPr>
          <w:rFonts w:ascii="Calibri" w:hAnsi="Calibri" w:cs="Calibri"/>
          <w:sz w:val="24"/>
          <w:szCs w:val="24"/>
        </w:rPr>
      </w:pPr>
      <w:r w:rsidRPr="0047618D">
        <w:rPr>
          <w:rFonts w:ascii="Calibri" w:hAnsi="Calibri" w:cs="Calibri"/>
          <w:sz w:val="24"/>
          <w:szCs w:val="24"/>
        </w:rPr>
        <w:t>Dr. Luis Miguel Martínez Cervantes</w:t>
      </w:r>
    </w:p>
    <w:p w14:paraId="0CE37CA0" w14:textId="77777777" w:rsidR="008612A9" w:rsidRPr="0047618D" w:rsidRDefault="008612A9" w:rsidP="008612A9">
      <w:pPr>
        <w:spacing w:after="0" w:line="276" w:lineRule="auto"/>
        <w:ind w:left="142"/>
        <w:jc w:val="center"/>
        <w:rPr>
          <w:rFonts w:ascii="Calibri" w:hAnsi="Calibri" w:cs="Calibri"/>
          <w:sz w:val="24"/>
          <w:szCs w:val="24"/>
        </w:rPr>
      </w:pPr>
      <w:r w:rsidRPr="0047618D">
        <w:rPr>
          <w:rFonts w:ascii="Calibri" w:hAnsi="Calibri" w:cs="Calibri"/>
          <w:sz w:val="24"/>
          <w:szCs w:val="24"/>
        </w:rPr>
        <w:t>Presidente</w:t>
      </w:r>
    </w:p>
    <w:p w14:paraId="0E30B9E7" w14:textId="77777777" w:rsidR="008612A9" w:rsidRPr="0047618D" w:rsidRDefault="008612A9" w:rsidP="008612A9">
      <w:pPr>
        <w:spacing w:after="0" w:line="276" w:lineRule="auto"/>
        <w:ind w:left="142"/>
        <w:jc w:val="center"/>
        <w:rPr>
          <w:rFonts w:ascii="Calibri" w:hAnsi="Calibri" w:cs="Calibri"/>
          <w:sz w:val="24"/>
          <w:szCs w:val="24"/>
        </w:rPr>
      </w:pPr>
    </w:p>
    <w:p w14:paraId="7E589A19" w14:textId="77777777" w:rsidR="008612A9" w:rsidRDefault="008612A9" w:rsidP="008612A9">
      <w:pPr>
        <w:spacing w:after="0" w:line="276" w:lineRule="auto"/>
        <w:ind w:left="142"/>
        <w:jc w:val="center"/>
        <w:rPr>
          <w:rFonts w:ascii="Calibri" w:hAnsi="Calibri" w:cs="Calibri"/>
          <w:sz w:val="24"/>
          <w:szCs w:val="24"/>
        </w:rPr>
      </w:pPr>
    </w:p>
    <w:p w14:paraId="281CA05A" w14:textId="77777777" w:rsidR="008612A9" w:rsidRPr="0047618D" w:rsidRDefault="008612A9" w:rsidP="008612A9">
      <w:pPr>
        <w:spacing w:after="0" w:line="276" w:lineRule="auto"/>
        <w:ind w:left="142"/>
        <w:jc w:val="center"/>
        <w:rPr>
          <w:rFonts w:ascii="Calibri" w:hAnsi="Calibri" w:cs="Calibri"/>
          <w:sz w:val="24"/>
          <w:szCs w:val="24"/>
        </w:rPr>
      </w:pPr>
    </w:p>
    <w:p w14:paraId="6D406C7E" w14:textId="77777777" w:rsidR="008612A9" w:rsidRPr="0047618D" w:rsidRDefault="008612A9" w:rsidP="008612A9">
      <w:pPr>
        <w:spacing w:after="0" w:line="276" w:lineRule="auto"/>
        <w:ind w:left="142"/>
        <w:jc w:val="center"/>
        <w:rPr>
          <w:rFonts w:ascii="Calibri" w:hAnsi="Calibri" w:cs="Calibri"/>
          <w:sz w:val="24"/>
          <w:szCs w:val="24"/>
        </w:rPr>
      </w:pPr>
    </w:p>
    <w:p w14:paraId="5B8F08C5" w14:textId="77777777" w:rsidR="008612A9" w:rsidRPr="0047618D" w:rsidRDefault="008612A9" w:rsidP="008612A9">
      <w:pPr>
        <w:spacing w:after="0" w:line="276" w:lineRule="auto"/>
        <w:ind w:left="142"/>
        <w:jc w:val="center"/>
        <w:rPr>
          <w:rFonts w:ascii="Calibri" w:hAnsi="Calibri" w:cs="Calibri"/>
          <w:sz w:val="24"/>
          <w:szCs w:val="24"/>
        </w:rPr>
      </w:pPr>
      <w:r w:rsidRPr="0047618D">
        <w:rPr>
          <w:rFonts w:ascii="Calibri" w:hAnsi="Calibri" w:cs="Calibri"/>
          <w:sz w:val="24"/>
          <w:szCs w:val="24"/>
        </w:rPr>
        <w:t>Mtra. Rebeca Escobar Briones</w:t>
      </w:r>
    </w:p>
    <w:p w14:paraId="19505618" w14:textId="77777777" w:rsidR="008612A9" w:rsidRPr="0047618D" w:rsidRDefault="008612A9" w:rsidP="008612A9">
      <w:pPr>
        <w:spacing w:line="360" w:lineRule="auto"/>
        <w:jc w:val="center"/>
        <w:rPr>
          <w:rFonts w:ascii="Calibri" w:hAnsi="Calibri" w:cs="Calibri"/>
          <w:sz w:val="24"/>
          <w:szCs w:val="24"/>
        </w:rPr>
      </w:pPr>
      <w:r w:rsidRPr="0047618D">
        <w:rPr>
          <w:rFonts w:ascii="Calibri" w:hAnsi="Calibri" w:cs="Calibri"/>
          <w:sz w:val="24"/>
          <w:szCs w:val="24"/>
        </w:rPr>
        <w:t>Secretaria del Consejo Consultivo</w:t>
      </w:r>
    </w:p>
    <w:p w14:paraId="20A4BE9E" w14:textId="77777777" w:rsidR="008872AC" w:rsidRDefault="008872AC" w:rsidP="008612A9">
      <w:pPr>
        <w:spacing w:line="240" w:lineRule="auto"/>
        <w:rPr>
          <w:rFonts w:ascii="Calibri" w:hAnsi="Calibri" w:cs="Calibri"/>
          <w:color w:val="000000"/>
          <w:sz w:val="14"/>
          <w:szCs w:val="14"/>
        </w:rPr>
      </w:pPr>
    </w:p>
    <w:p w14:paraId="7791E670" w14:textId="5D042B24" w:rsidR="00BC7F11" w:rsidRDefault="008872AC" w:rsidP="008612A9">
      <w:pPr>
        <w:spacing w:line="240" w:lineRule="auto"/>
        <w:rPr>
          <w:rFonts w:ascii="Calibri" w:hAnsi="Calibri" w:cs="Calibri"/>
          <w:sz w:val="14"/>
          <w:szCs w:val="14"/>
        </w:rPr>
      </w:pPr>
      <w:r w:rsidRPr="00B9306F">
        <w:rPr>
          <w:rFonts w:ascii="Calibri" w:hAnsi="Calibri" w:cs="Calibri"/>
          <w:sz w:val="14"/>
          <w:szCs w:val="14"/>
        </w:rPr>
        <w:t>La Recomendación fue aprobada por el V</w:t>
      </w:r>
      <w:r>
        <w:rPr>
          <w:rFonts w:ascii="Calibri" w:hAnsi="Calibri" w:cs="Calibri"/>
          <w:sz w:val="14"/>
          <w:szCs w:val="14"/>
        </w:rPr>
        <w:t>I</w:t>
      </w:r>
      <w:r w:rsidRPr="00B9306F">
        <w:rPr>
          <w:rFonts w:ascii="Calibri" w:hAnsi="Calibri" w:cs="Calibri"/>
          <w:sz w:val="14"/>
          <w:szCs w:val="14"/>
        </w:rPr>
        <w:t xml:space="preserve"> Consejo Consultivo del Instituto Federal de Telecomunicaciones el </w:t>
      </w:r>
      <w:r>
        <w:rPr>
          <w:rFonts w:ascii="Calibri" w:hAnsi="Calibri" w:cs="Calibri"/>
          <w:sz w:val="14"/>
          <w:szCs w:val="14"/>
        </w:rPr>
        <w:t>7 de octubre de 2021</w:t>
      </w:r>
      <w:r w:rsidRPr="00B9306F">
        <w:rPr>
          <w:rFonts w:ascii="Calibri" w:hAnsi="Calibri" w:cs="Calibri"/>
          <w:sz w:val="14"/>
          <w:szCs w:val="14"/>
        </w:rPr>
        <w:t xml:space="preserve"> y votada en términos del artículo 17 último párrafo, con mayoría de votos de los Consejeros</w:t>
      </w:r>
      <w:r w:rsidR="00BC7F11" w:rsidRPr="00BC7F11">
        <w:rPr>
          <w:rFonts w:ascii="Calibri" w:hAnsi="Calibri" w:cs="Calibri"/>
          <w:color w:val="000000"/>
          <w:sz w:val="14"/>
          <w:szCs w:val="14"/>
        </w:rPr>
        <w:t xml:space="preserve"> </w:t>
      </w:r>
      <w:r w:rsidR="00BC7F11" w:rsidRPr="0047618D">
        <w:rPr>
          <w:rFonts w:ascii="Calibri" w:hAnsi="Calibri" w:cs="Calibri"/>
          <w:color w:val="000000"/>
          <w:sz w:val="14"/>
          <w:szCs w:val="14"/>
        </w:rPr>
        <w:t>Erik Huesca Morales, Salma Leticia Jalife Villalón, Jorge Fernando Negrete Pacheco, Lucia Ojeda Cárdenas, Eurídice Palma Salas, José Luis Peralta Higuera, Cynthia Gabriela Solís Arredondo, Martha Irene Soria Guzmán y Sofía Trejo Abad</w:t>
      </w:r>
      <w:r w:rsidRPr="00B9306F">
        <w:rPr>
          <w:rFonts w:ascii="Calibri" w:hAnsi="Calibri" w:cs="Calibri"/>
          <w:sz w:val="14"/>
          <w:szCs w:val="14"/>
        </w:rPr>
        <w:t>; con el voto en contra de</w:t>
      </w:r>
      <w:r w:rsidR="00BC7F11">
        <w:rPr>
          <w:rFonts w:ascii="Calibri" w:hAnsi="Calibri" w:cs="Calibri"/>
          <w:sz w:val="14"/>
          <w:szCs w:val="14"/>
        </w:rPr>
        <w:t xml:space="preserve"> </w:t>
      </w:r>
      <w:r w:rsidRPr="00B9306F">
        <w:rPr>
          <w:rFonts w:ascii="Calibri" w:hAnsi="Calibri" w:cs="Calibri"/>
          <w:sz w:val="14"/>
          <w:szCs w:val="14"/>
        </w:rPr>
        <w:t>l</w:t>
      </w:r>
      <w:r w:rsidR="00BC7F11">
        <w:rPr>
          <w:rFonts w:ascii="Calibri" w:hAnsi="Calibri" w:cs="Calibri"/>
          <w:sz w:val="14"/>
          <w:szCs w:val="14"/>
        </w:rPr>
        <w:t>os</w:t>
      </w:r>
      <w:r w:rsidRPr="00B9306F">
        <w:rPr>
          <w:rFonts w:ascii="Calibri" w:hAnsi="Calibri" w:cs="Calibri"/>
          <w:sz w:val="14"/>
          <w:szCs w:val="14"/>
        </w:rPr>
        <w:t xml:space="preserve"> Consejero </w:t>
      </w:r>
      <w:r w:rsidR="00BC7F11" w:rsidRPr="0047618D">
        <w:rPr>
          <w:rFonts w:ascii="Calibri" w:hAnsi="Calibri" w:cs="Calibri"/>
          <w:color w:val="000000"/>
          <w:sz w:val="14"/>
          <w:szCs w:val="14"/>
        </w:rPr>
        <w:t>Alejandro Ildefonso Castañeda Sabido, Sara Gabriela Castellanos Pascacio, Ernesto M. Flores-Roux, Gerardo Francisco González Abarca</w:t>
      </w:r>
      <w:r w:rsidR="00BC7F11">
        <w:rPr>
          <w:rFonts w:ascii="Calibri" w:hAnsi="Calibri" w:cs="Calibri"/>
          <w:color w:val="000000"/>
          <w:sz w:val="14"/>
          <w:szCs w:val="14"/>
        </w:rPr>
        <w:t xml:space="preserve">, </w:t>
      </w:r>
      <w:r w:rsidR="00BC7F11" w:rsidRPr="0047618D">
        <w:rPr>
          <w:rFonts w:ascii="Calibri" w:hAnsi="Calibri" w:cs="Calibri"/>
          <w:color w:val="000000"/>
          <w:sz w:val="14"/>
          <w:szCs w:val="14"/>
        </w:rPr>
        <w:t>Luis Miguel Martínez Cervantes</w:t>
      </w:r>
      <w:r w:rsidR="00BC7F11">
        <w:rPr>
          <w:rFonts w:ascii="Calibri" w:hAnsi="Calibri" w:cs="Calibri"/>
          <w:color w:val="000000"/>
          <w:sz w:val="14"/>
          <w:szCs w:val="14"/>
        </w:rPr>
        <w:t xml:space="preserve">, y la abstención del Consejero Víctor Rangel Licea; </w:t>
      </w:r>
      <w:r w:rsidRPr="00B9306F">
        <w:rPr>
          <w:rFonts w:ascii="Calibri" w:hAnsi="Calibri" w:cs="Calibri"/>
          <w:sz w:val="14"/>
          <w:szCs w:val="14"/>
        </w:rPr>
        <w:t>mediante Acuerdo CC/IFT/VotaciónElectrónica/</w:t>
      </w:r>
      <w:r w:rsidR="00BC7F11">
        <w:rPr>
          <w:rFonts w:ascii="Calibri" w:hAnsi="Calibri" w:cs="Calibri"/>
          <w:sz w:val="14"/>
          <w:szCs w:val="14"/>
        </w:rPr>
        <w:t>1</w:t>
      </w:r>
      <w:r>
        <w:rPr>
          <w:rFonts w:ascii="Calibri" w:hAnsi="Calibri" w:cs="Calibri"/>
          <w:sz w:val="14"/>
          <w:szCs w:val="14"/>
        </w:rPr>
        <w:t xml:space="preserve">. </w:t>
      </w:r>
    </w:p>
    <w:p w14:paraId="784252F4" w14:textId="77777777" w:rsidR="00B9306F" w:rsidRDefault="00B9306F" w:rsidP="00B9306F">
      <w:pPr>
        <w:spacing w:line="240" w:lineRule="auto"/>
        <w:rPr>
          <w:rFonts w:ascii="Calibri" w:hAnsi="Calibri" w:cs="Calibri"/>
          <w:sz w:val="14"/>
          <w:szCs w:val="14"/>
        </w:rPr>
      </w:pPr>
    </w:p>
    <w:p w14:paraId="636C5837" w14:textId="54E48243" w:rsidR="008872AC" w:rsidRDefault="008872AC" w:rsidP="008612A9">
      <w:pPr>
        <w:spacing w:line="240" w:lineRule="auto"/>
        <w:rPr>
          <w:rFonts w:ascii="Calibri" w:hAnsi="Calibri" w:cs="Calibri"/>
          <w:sz w:val="14"/>
          <w:szCs w:val="14"/>
        </w:rPr>
      </w:pPr>
      <w:r w:rsidRPr="00B9306F">
        <w:rPr>
          <w:rFonts w:ascii="Calibri" w:hAnsi="Calibri" w:cs="Calibri"/>
          <w:sz w:val="14"/>
          <w:szCs w:val="14"/>
        </w:rPr>
        <w:t>De acuerdo con el párrafo sexto del Articulo 17 y Articulo 18 de las Reglas de Operación de este Consejo Consultivo, el razonamiento de</w:t>
      </w:r>
      <w:r w:rsidR="00BC7F11">
        <w:rPr>
          <w:rFonts w:ascii="Calibri" w:hAnsi="Calibri" w:cs="Calibri"/>
          <w:sz w:val="14"/>
          <w:szCs w:val="14"/>
        </w:rPr>
        <w:t xml:space="preserve"> </w:t>
      </w:r>
      <w:r w:rsidRPr="00B9306F">
        <w:rPr>
          <w:rFonts w:ascii="Calibri" w:hAnsi="Calibri" w:cs="Calibri"/>
          <w:sz w:val="14"/>
          <w:szCs w:val="14"/>
        </w:rPr>
        <w:t>l</w:t>
      </w:r>
      <w:r w:rsidR="00BC7F11">
        <w:rPr>
          <w:rFonts w:ascii="Calibri" w:hAnsi="Calibri" w:cs="Calibri"/>
          <w:sz w:val="14"/>
          <w:szCs w:val="14"/>
        </w:rPr>
        <w:t>os</w:t>
      </w:r>
      <w:r w:rsidRPr="00B9306F">
        <w:rPr>
          <w:rFonts w:ascii="Calibri" w:hAnsi="Calibri" w:cs="Calibri"/>
          <w:sz w:val="14"/>
          <w:szCs w:val="14"/>
        </w:rPr>
        <w:t xml:space="preserve"> voto</w:t>
      </w:r>
      <w:r w:rsidR="00BC7F11">
        <w:rPr>
          <w:rFonts w:ascii="Calibri" w:hAnsi="Calibri" w:cs="Calibri"/>
          <w:sz w:val="14"/>
          <w:szCs w:val="14"/>
        </w:rPr>
        <w:t>s</w:t>
      </w:r>
      <w:r w:rsidRPr="00B9306F">
        <w:rPr>
          <w:rFonts w:ascii="Calibri" w:hAnsi="Calibri" w:cs="Calibri"/>
          <w:sz w:val="14"/>
          <w:szCs w:val="14"/>
        </w:rPr>
        <w:t xml:space="preserve"> en contra</w:t>
      </w:r>
      <w:r w:rsidR="00BC7F11">
        <w:rPr>
          <w:rFonts w:ascii="Calibri" w:hAnsi="Calibri" w:cs="Calibri"/>
          <w:sz w:val="14"/>
          <w:szCs w:val="14"/>
        </w:rPr>
        <w:t xml:space="preserve"> y la abstención</w:t>
      </w:r>
      <w:r w:rsidRPr="00B9306F">
        <w:rPr>
          <w:rFonts w:ascii="Calibri" w:hAnsi="Calibri" w:cs="Calibri"/>
          <w:sz w:val="14"/>
          <w:szCs w:val="14"/>
        </w:rPr>
        <w:t>, forma parte integral de la Recomendación.</w:t>
      </w:r>
    </w:p>
    <w:p w14:paraId="2E3A6533" w14:textId="260B5B69" w:rsidR="009B29F5" w:rsidRPr="00B9306F" w:rsidRDefault="0093172D" w:rsidP="00605D3E">
      <w:pPr>
        <w:spacing w:line="360" w:lineRule="auto"/>
        <w:rPr>
          <w:rFonts w:ascii="Calibri" w:hAnsi="Calibri" w:cs="Calibri"/>
          <w:sz w:val="24"/>
          <w:szCs w:val="24"/>
        </w:rPr>
      </w:pPr>
      <w:r>
        <w:rPr>
          <w:noProof/>
        </w:rPr>
        <w:drawing>
          <wp:inline distT="0" distB="0" distL="0" distR="0" wp14:anchorId="1CBE9CE5" wp14:editId="7AA8D42C">
            <wp:extent cx="6332220" cy="2597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2597150"/>
                    </a:xfrm>
                    <a:prstGeom prst="rect">
                      <a:avLst/>
                    </a:prstGeom>
                  </pic:spPr>
                </pic:pic>
              </a:graphicData>
            </a:graphic>
          </wp:inline>
        </w:drawing>
      </w:r>
    </w:p>
    <w:p w14:paraId="3D346DEE" w14:textId="0601E1E3" w:rsidR="008612A9" w:rsidRPr="00B9306F" w:rsidRDefault="0093172D" w:rsidP="00B9306F">
      <w:pPr>
        <w:spacing w:line="360" w:lineRule="auto"/>
        <w:rPr>
          <w:rFonts w:ascii="Calibri" w:hAnsi="Calibri" w:cs="Calibri"/>
          <w:sz w:val="24"/>
          <w:szCs w:val="24"/>
          <w:lang w:val="es-ES"/>
        </w:rPr>
      </w:pPr>
      <w:r>
        <w:rPr>
          <w:noProof/>
        </w:rPr>
        <w:drawing>
          <wp:inline distT="0" distB="0" distL="0" distR="0" wp14:anchorId="11437505" wp14:editId="3E226BF3">
            <wp:extent cx="4836132" cy="587057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4693" cy="5893107"/>
                    </a:xfrm>
                    <a:prstGeom prst="rect">
                      <a:avLst/>
                    </a:prstGeom>
                  </pic:spPr>
                </pic:pic>
              </a:graphicData>
            </a:graphic>
          </wp:inline>
        </w:drawing>
      </w:r>
    </w:p>
    <w:p w14:paraId="114928A0" w14:textId="184088F5" w:rsidR="009B29F5" w:rsidRPr="00B9306F" w:rsidRDefault="0093172D" w:rsidP="00B9306F">
      <w:pPr>
        <w:spacing w:line="360" w:lineRule="auto"/>
        <w:rPr>
          <w:rFonts w:ascii="Calibri" w:hAnsi="Calibri" w:cs="Calibri"/>
          <w:sz w:val="24"/>
          <w:szCs w:val="24"/>
          <w:lang w:val="es-ES"/>
        </w:rPr>
      </w:pPr>
      <w:r>
        <w:rPr>
          <w:noProof/>
        </w:rPr>
        <w:drawing>
          <wp:inline distT="0" distB="0" distL="0" distR="0" wp14:anchorId="7ED2DAA5" wp14:editId="63C51E63">
            <wp:extent cx="5675679" cy="318389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8640" cy="3196771"/>
                    </a:xfrm>
                    <a:prstGeom prst="rect">
                      <a:avLst/>
                    </a:prstGeom>
                  </pic:spPr>
                </pic:pic>
              </a:graphicData>
            </a:graphic>
          </wp:inline>
        </w:drawing>
      </w:r>
    </w:p>
    <w:p w14:paraId="3EA84676" w14:textId="1479F15F" w:rsidR="009B29F5" w:rsidRPr="00B9306F" w:rsidRDefault="000E750F" w:rsidP="00B9306F">
      <w:pPr>
        <w:spacing w:line="360" w:lineRule="auto"/>
        <w:rPr>
          <w:rFonts w:ascii="Calibri" w:hAnsi="Calibri" w:cs="Calibri"/>
          <w:sz w:val="24"/>
          <w:szCs w:val="24"/>
          <w:lang w:val="es-ES"/>
        </w:rPr>
      </w:pPr>
      <w:r>
        <w:rPr>
          <w:noProof/>
        </w:rPr>
        <w:drawing>
          <wp:inline distT="0" distB="0" distL="0" distR="0" wp14:anchorId="252D9770" wp14:editId="05DFC37B">
            <wp:extent cx="6332220" cy="47898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4789805"/>
                    </a:xfrm>
                    <a:prstGeom prst="rect">
                      <a:avLst/>
                    </a:prstGeom>
                  </pic:spPr>
                </pic:pic>
              </a:graphicData>
            </a:graphic>
          </wp:inline>
        </w:drawing>
      </w:r>
    </w:p>
    <w:p w14:paraId="51A7A4B8" w14:textId="77777777" w:rsidR="001A497F" w:rsidRPr="00B9306F" w:rsidRDefault="001A497F" w:rsidP="00B9306F">
      <w:pPr>
        <w:spacing w:line="360" w:lineRule="auto"/>
        <w:rPr>
          <w:rFonts w:ascii="Calibri" w:hAnsi="Calibri" w:cs="Calibri"/>
          <w:color w:val="000000"/>
          <w:sz w:val="24"/>
          <w:szCs w:val="24"/>
        </w:rPr>
      </w:pPr>
    </w:p>
    <w:p w14:paraId="41EC3926" w14:textId="2C5A8BB9" w:rsidR="00731508" w:rsidRDefault="002B1BE8" w:rsidP="00605D3E">
      <w:pPr>
        <w:spacing w:line="360" w:lineRule="auto"/>
        <w:rPr>
          <w:noProof/>
        </w:rPr>
      </w:pPr>
      <w:r>
        <w:rPr>
          <w:noProof/>
        </w:rPr>
        <w:drawing>
          <wp:inline distT="0" distB="0" distL="0" distR="0" wp14:anchorId="39785ABD" wp14:editId="1698CC7B">
            <wp:extent cx="6332220" cy="469963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220" cy="4699635"/>
                    </a:xfrm>
                    <a:prstGeom prst="rect">
                      <a:avLst/>
                    </a:prstGeom>
                  </pic:spPr>
                </pic:pic>
              </a:graphicData>
            </a:graphic>
          </wp:inline>
        </w:drawing>
      </w:r>
      <w:r w:rsidRPr="002B1BE8">
        <w:rPr>
          <w:noProof/>
        </w:rPr>
        <w:t xml:space="preserve"> </w:t>
      </w:r>
      <w:r>
        <w:rPr>
          <w:noProof/>
        </w:rPr>
        <w:drawing>
          <wp:inline distT="0" distB="0" distL="0" distR="0" wp14:anchorId="6A906DB2" wp14:editId="3D485A12">
            <wp:extent cx="6332220" cy="53949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5394960"/>
                    </a:xfrm>
                    <a:prstGeom prst="rect">
                      <a:avLst/>
                    </a:prstGeom>
                  </pic:spPr>
                </pic:pic>
              </a:graphicData>
            </a:graphic>
          </wp:inline>
        </w:drawing>
      </w:r>
      <w:r w:rsidRPr="002B1BE8">
        <w:rPr>
          <w:noProof/>
        </w:rPr>
        <w:t xml:space="preserve"> </w:t>
      </w:r>
      <w:r>
        <w:rPr>
          <w:noProof/>
        </w:rPr>
        <w:drawing>
          <wp:inline distT="0" distB="0" distL="0" distR="0" wp14:anchorId="76D63100" wp14:editId="43D092E8">
            <wp:extent cx="5995670" cy="844156"/>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74147" cy="855205"/>
                    </a:xfrm>
                    <a:prstGeom prst="rect">
                      <a:avLst/>
                    </a:prstGeom>
                  </pic:spPr>
                </pic:pic>
              </a:graphicData>
            </a:graphic>
          </wp:inline>
        </w:drawing>
      </w:r>
    </w:p>
    <w:p w14:paraId="262BFA00" w14:textId="77777777" w:rsidR="00670713" w:rsidRDefault="00670713" w:rsidP="00605D3E">
      <w:pPr>
        <w:spacing w:line="360" w:lineRule="auto"/>
        <w:rPr>
          <w:rFonts w:ascii="Calibri" w:hAnsi="Calibri" w:cs="Calibri"/>
          <w:noProof/>
          <w:sz w:val="24"/>
          <w:szCs w:val="24"/>
        </w:rPr>
      </w:pPr>
    </w:p>
    <w:p w14:paraId="49F6CD81" w14:textId="77777777" w:rsidR="00670713" w:rsidRDefault="00670713" w:rsidP="00605D3E">
      <w:pPr>
        <w:spacing w:line="360" w:lineRule="auto"/>
        <w:rPr>
          <w:rFonts w:ascii="Calibri" w:hAnsi="Calibri" w:cs="Calibri"/>
          <w:noProof/>
          <w:sz w:val="24"/>
          <w:szCs w:val="24"/>
        </w:rPr>
      </w:pPr>
    </w:p>
    <w:p w14:paraId="7AA6A399" w14:textId="77777777" w:rsidR="00670713" w:rsidRDefault="00670713" w:rsidP="00605D3E">
      <w:pPr>
        <w:spacing w:line="360" w:lineRule="auto"/>
        <w:rPr>
          <w:rFonts w:ascii="Calibri" w:hAnsi="Calibri" w:cs="Calibri"/>
          <w:noProof/>
          <w:sz w:val="24"/>
          <w:szCs w:val="24"/>
        </w:rPr>
      </w:pPr>
    </w:p>
    <w:p w14:paraId="3A2620B4" w14:textId="77777777" w:rsidR="00670713" w:rsidRDefault="00670713" w:rsidP="00605D3E">
      <w:pPr>
        <w:spacing w:line="360" w:lineRule="auto"/>
        <w:rPr>
          <w:rFonts w:ascii="Calibri" w:hAnsi="Calibri" w:cs="Calibri"/>
          <w:noProof/>
          <w:sz w:val="24"/>
          <w:szCs w:val="24"/>
        </w:rPr>
      </w:pPr>
    </w:p>
    <w:p w14:paraId="28AEFA12" w14:textId="65DF1499" w:rsidR="00CC3825" w:rsidRPr="00670713" w:rsidRDefault="00CC3825" w:rsidP="00605D3E">
      <w:pPr>
        <w:spacing w:line="360" w:lineRule="auto"/>
        <w:rPr>
          <w:rFonts w:ascii="Calibri" w:hAnsi="Calibri" w:cs="Calibri"/>
          <w:b/>
          <w:bCs/>
          <w:noProof/>
          <w:sz w:val="24"/>
          <w:szCs w:val="24"/>
        </w:rPr>
      </w:pPr>
      <w:r w:rsidRPr="00670713">
        <w:rPr>
          <w:rFonts w:ascii="Calibri" w:hAnsi="Calibri" w:cs="Calibri"/>
          <w:b/>
          <w:bCs/>
          <w:noProof/>
          <w:sz w:val="24"/>
          <w:szCs w:val="24"/>
        </w:rPr>
        <w:t>Gerardo Francisco Gónzalez Abarca</w:t>
      </w:r>
    </w:p>
    <w:p w14:paraId="5FC4783C" w14:textId="276EAE16" w:rsidR="002B1BE8" w:rsidRDefault="000740DE" w:rsidP="00605D3E">
      <w:pPr>
        <w:spacing w:line="360" w:lineRule="auto"/>
        <w:rPr>
          <w:rFonts w:ascii="Calibri" w:hAnsi="Calibri" w:cs="Calibri"/>
          <w:sz w:val="24"/>
          <w:szCs w:val="24"/>
        </w:rPr>
      </w:pPr>
      <w:r>
        <w:rPr>
          <w:noProof/>
        </w:rPr>
        <w:drawing>
          <wp:inline distT="0" distB="0" distL="0" distR="0" wp14:anchorId="4CE7405D" wp14:editId="5C194BA5">
            <wp:extent cx="3524250" cy="6724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24250" cy="6724650"/>
                    </a:xfrm>
                    <a:prstGeom prst="rect">
                      <a:avLst/>
                    </a:prstGeom>
                  </pic:spPr>
                </pic:pic>
              </a:graphicData>
            </a:graphic>
          </wp:inline>
        </w:drawing>
      </w:r>
    </w:p>
    <w:p w14:paraId="1E7C68D8" w14:textId="667B81C2" w:rsidR="00CC3825" w:rsidRPr="008612A9" w:rsidRDefault="00CC3825" w:rsidP="00B9306F">
      <w:pPr>
        <w:spacing w:line="360" w:lineRule="auto"/>
        <w:rPr>
          <w:rFonts w:ascii="Calibri" w:hAnsi="Calibri" w:cs="Calibri"/>
          <w:sz w:val="24"/>
          <w:szCs w:val="24"/>
        </w:rPr>
      </w:pPr>
      <w:r>
        <w:rPr>
          <w:noProof/>
        </w:rPr>
        <w:drawing>
          <wp:inline distT="0" distB="0" distL="0" distR="0" wp14:anchorId="2B2DCE90" wp14:editId="3E2BDFC0">
            <wp:extent cx="6332220" cy="295021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2220" cy="2950210"/>
                    </a:xfrm>
                    <a:prstGeom prst="rect">
                      <a:avLst/>
                    </a:prstGeom>
                  </pic:spPr>
                </pic:pic>
              </a:graphicData>
            </a:graphic>
          </wp:inline>
        </w:drawing>
      </w:r>
    </w:p>
    <w:sectPr w:rsidR="00CC3825" w:rsidRPr="008612A9" w:rsidSect="0068060B">
      <w:headerReference w:type="even" r:id="rId21"/>
      <w:headerReference w:type="default" r:id="rId22"/>
      <w:footerReference w:type="default" r:id="rId23"/>
      <w:headerReference w:type="first" r:id="rId24"/>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97B7" w14:textId="77777777" w:rsidR="00C35F1B" w:rsidRDefault="00C35F1B" w:rsidP="0068060B">
      <w:pPr>
        <w:spacing w:after="0" w:line="240" w:lineRule="auto"/>
      </w:pPr>
      <w:r>
        <w:separator/>
      </w:r>
    </w:p>
  </w:endnote>
  <w:endnote w:type="continuationSeparator" w:id="0">
    <w:p w14:paraId="4971B308" w14:textId="77777777" w:rsidR="00C35F1B" w:rsidRDefault="00C35F1B"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DC9C" w14:textId="77777777" w:rsidR="00B9306F" w:rsidRPr="00B9306F" w:rsidRDefault="00B9306F">
    <w:pPr>
      <w:tabs>
        <w:tab w:val="center" w:pos="4550"/>
        <w:tab w:val="left" w:pos="5818"/>
      </w:tabs>
      <w:ind w:right="260"/>
      <w:jc w:val="right"/>
      <w:rPr>
        <w:rFonts w:asciiTheme="minorHAnsi" w:hAnsiTheme="minorHAnsi" w:cstheme="minorHAnsi"/>
        <w:color w:val="222A35" w:themeColor="text2" w:themeShade="80"/>
      </w:rPr>
    </w:pPr>
    <w:r w:rsidRPr="00B9306F">
      <w:rPr>
        <w:rFonts w:asciiTheme="minorHAnsi" w:hAnsiTheme="minorHAnsi" w:cstheme="minorHAnsi"/>
        <w:color w:val="8496B0" w:themeColor="text2" w:themeTint="99"/>
        <w:spacing w:val="60"/>
        <w:lang w:val="es-ES"/>
      </w:rPr>
      <w:t>Página</w:t>
    </w:r>
    <w:r w:rsidRPr="00B9306F">
      <w:rPr>
        <w:rFonts w:asciiTheme="minorHAnsi" w:hAnsiTheme="minorHAnsi" w:cstheme="minorHAnsi"/>
        <w:color w:val="8496B0" w:themeColor="text2" w:themeTint="99"/>
        <w:lang w:val="es-ES"/>
      </w:rPr>
      <w:t xml:space="preserve"> </w:t>
    </w:r>
    <w:r w:rsidRPr="00B9306F">
      <w:rPr>
        <w:rFonts w:asciiTheme="minorHAnsi" w:hAnsiTheme="minorHAnsi" w:cstheme="minorHAnsi"/>
        <w:color w:val="323E4F" w:themeColor="text2" w:themeShade="BF"/>
      </w:rPr>
      <w:fldChar w:fldCharType="begin"/>
    </w:r>
    <w:r w:rsidRPr="00B9306F">
      <w:rPr>
        <w:rFonts w:asciiTheme="minorHAnsi" w:hAnsiTheme="minorHAnsi" w:cstheme="minorHAnsi"/>
        <w:color w:val="323E4F" w:themeColor="text2" w:themeShade="BF"/>
      </w:rPr>
      <w:instrText>PAGE   \* MERGEFORMAT</w:instrText>
    </w:r>
    <w:r w:rsidRPr="00B9306F">
      <w:rPr>
        <w:rFonts w:asciiTheme="minorHAnsi" w:hAnsiTheme="minorHAnsi" w:cstheme="minorHAnsi"/>
        <w:color w:val="323E4F" w:themeColor="text2" w:themeShade="BF"/>
      </w:rPr>
      <w:fldChar w:fldCharType="separate"/>
    </w:r>
    <w:r w:rsidRPr="00B9306F">
      <w:rPr>
        <w:rFonts w:asciiTheme="minorHAnsi" w:hAnsiTheme="minorHAnsi" w:cstheme="minorHAnsi"/>
        <w:color w:val="323E4F" w:themeColor="text2" w:themeShade="BF"/>
        <w:lang w:val="es-ES"/>
      </w:rPr>
      <w:t>1</w:t>
    </w:r>
    <w:r w:rsidRPr="00B9306F">
      <w:rPr>
        <w:rFonts w:asciiTheme="minorHAnsi" w:hAnsiTheme="minorHAnsi" w:cstheme="minorHAnsi"/>
        <w:color w:val="323E4F" w:themeColor="text2" w:themeShade="BF"/>
      </w:rPr>
      <w:fldChar w:fldCharType="end"/>
    </w:r>
    <w:r w:rsidRPr="00B9306F">
      <w:rPr>
        <w:rFonts w:asciiTheme="minorHAnsi" w:hAnsiTheme="minorHAnsi" w:cstheme="minorHAnsi"/>
        <w:color w:val="323E4F" w:themeColor="text2" w:themeShade="BF"/>
        <w:lang w:val="es-ES"/>
      </w:rPr>
      <w:t xml:space="preserve"> | </w:t>
    </w:r>
    <w:r w:rsidRPr="00B9306F">
      <w:rPr>
        <w:rFonts w:asciiTheme="minorHAnsi" w:hAnsiTheme="minorHAnsi" w:cstheme="minorHAnsi"/>
        <w:color w:val="323E4F" w:themeColor="text2" w:themeShade="BF"/>
      </w:rPr>
      <w:fldChar w:fldCharType="begin"/>
    </w:r>
    <w:r w:rsidRPr="00B9306F">
      <w:rPr>
        <w:rFonts w:asciiTheme="minorHAnsi" w:hAnsiTheme="minorHAnsi" w:cstheme="minorHAnsi"/>
        <w:color w:val="323E4F" w:themeColor="text2" w:themeShade="BF"/>
      </w:rPr>
      <w:instrText>NUMPAGES  \* Arabic  \* MERGEFORMAT</w:instrText>
    </w:r>
    <w:r w:rsidRPr="00B9306F">
      <w:rPr>
        <w:rFonts w:asciiTheme="minorHAnsi" w:hAnsiTheme="minorHAnsi" w:cstheme="minorHAnsi"/>
        <w:color w:val="323E4F" w:themeColor="text2" w:themeShade="BF"/>
      </w:rPr>
      <w:fldChar w:fldCharType="separate"/>
    </w:r>
    <w:r w:rsidRPr="00B9306F">
      <w:rPr>
        <w:rFonts w:asciiTheme="minorHAnsi" w:hAnsiTheme="minorHAnsi" w:cstheme="minorHAnsi"/>
        <w:color w:val="323E4F" w:themeColor="text2" w:themeShade="BF"/>
        <w:lang w:val="es-ES"/>
      </w:rPr>
      <w:t>1</w:t>
    </w:r>
    <w:r w:rsidRPr="00B9306F">
      <w:rPr>
        <w:rFonts w:asciiTheme="minorHAnsi" w:hAnsiTheme="minorHAnsi" w:cstheme="minorHAnsi"/>
        <w:color w:val="323E4F" w:themeColor="text2" w:themeShade="BF"/>
      </w:rPr>
      <w:fldChar w:fldCharType="end"/>
    </w:r>
  </w:p>
  <w:p w14:paraId="2A7AD8C0" w14:textId="77777777" w:rsidR="00B9306F" w:rsidRDefault="00B93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0D197" w14:textId="77777777" w:rsidR="00C35F1B" w:rsidRDefault="00C35F1B" w:rsidP="0068060B">
      <w:pPr>
        <w:spacing w:after="0" w:line="240" w:lineRule="auto"/>
      </w:pPr>
      <w:r>
        <w:separator/>
      </w:r>
    </w:p>
  </w:footnote>
  <w:footnote w:type="continuationSeparator" w:id="0">
    <w:p w14:paraId="68D23A25" w14:textId="77777777" w:rsidR="00C35F1B" w:rsidRDefault="00C35F1B" w:rsidP="0068060B">
      <w:pPr>
        <w:spacing w:after="0" w:line="240" w:lineRule="auto"/>
      </w:pPr>
      <w:r>
        <w:continuationSeparator/>
      </w:r>
    </w:p>
  </w:footnote>
  <w:footnote w:id="1">
    <w:p w14:paraId="6E29202F" w14:textId="0C4A9FBB" w:rsidR="00605D3E" w:rsidRDefault="00605D3E">
      <w:pPr>
        <w:pStyle w:val="Textonotapie"/>
      </w:pPr>
      <w:r w:rsidRPr="00B9306F">
        <w:rPr>
          <w:rStyle w:val="Refdenotaalpie"/>
          <w:sz w:val="14"/>
          <w:szCs w:val="14"/>
        </w:rPr>
        <w:footnoteRef/>
      </w:r>
      <w:r>
        <w:t xml:space="preserve"> </w:t>
      </w:r>
      <w:r w:rsidRPr="00B9306F">
        <w:rPr>
          <w:rFonts w:ascii="Calibri" w:hAnsi="Calibri" w:cs="Calibri"/>
          <w:sz w:val="14"/>
          <w:szCs w:val="14"/>
        </w:rPr>
        <w:t>El Instituto Nacional de Estadística y Geografía (INEGI), en colaboración con la Secretaría de Comunicaciones y Transportes (SCT) y el Instituto Federal de Telecomunicaciones (IFT), publica la Encuesta Nacional sobre Disponibilidad y Uso de Tecnologías de la Información en los Hogares (ENDUTIH)</w:t>
      </w:r>
      <w:r>
        <w:rPr>
          <w:rFonts w:ascii="Calibri" w:hAnsi="Calibri" w:cs="Calibri"/>
          <w:sz w:val="14"/>
          <w:szCs w:val="14"/>
        </w:rPr>
        <w:t>.</w:t>
      </w:r>
    </w:p>
  </w:footnote>
  <w:footnote w:id="2">
    <w:p w14:paraId="7B44A1EA" w14:textId="31C7AB3F" w:rsidR="00605D3E" w:rsidRDefault="00605D3E">
      <w:pPr>
        <w:pStyle w:val="Textonotapie"/>
      </w:pPr>
      <w:r w:rsidRPr="00B9306F">
        <w:rPr>
          <w:rStyle w:val="Refdenotaalpie"/>
          <w:sz w:val="14"/>
          <w:szCs w:val="14"/>
        </w:rPr>
        <w:footnoteRef/>
      </w:r>
      <w:r>
        <w:t xml:space="preserve"> </w:t>
      </w:r>
      <w:r w:rsidRPr="00B9306F">
        <w:rPr>
          <w:rFonts w:ascii="Calibri" w:hAnsi="Calibri" w:cs="Calibri"/>
          <w:sz w:val="14"/>
          <w:szCs w:val="14"/>
        </w:rPr>
        <w:t xml:space="preserve">Autoridad Regulatoria de </w:t>
      </w:r>
      <w:r w:rsidR="008612A9">
        <w:rPr>
          <w:rFonts w:ascii="Calibri" w:hAnsi="Calibri" w:cs="Calibri"/>
          <w:sz w:val="14"/>
          <w:szCs w:val="14"/>
        </w:rPr>
        <w:t>C</w:t>
      </w:r>
      <w:r w:rsidRPr="00B9306F">
        <w:rPr>
          <w:rFonts w:ascii="Calibri" w:hAnsi="Calibri" w:cs="Calibri"/>
          <w:sz w:val="14"/>
          <w:szCs w:val="14"/>
        </w:rPr>
        <w:t xml:space="preserve">omunicaciones </w:t>
      </w:r>
      <w:r w:rsidR="008612A9">
        <w:rPr>
          <w:rFonts w:ascii="Calibri" w:hAnsi="Calibri" w:cs="Calibri"/>
          <w:sz w:val="14"/>
          <w:szCs w:val="14"/>
        </w:rPr>
        <w:t>E</w:t>
      </w:r>
      <w:r w:rsidRPr="00B9306F">
        <w:rPr>
          <w:rFonts w:ascii="Calibri" w:hAnsi="Calibri" w:cs="Calibri"/>
          <w:sz w:val="14"/>
          <w:szCs w:val="14"/>
        </w:rPr>
        <w:t xml:space="preserve">lectrónicas, ARCEP por sus siglas en </w:t>
      </w:r>
      <w:r w:rsidRPr="008612A9">
        <w:rPr>
          <w:rFonts w:ascii="Calibri" w:hAnsi="Calibri" w:cs="Calibri"/>
          <w:sz w:val="14"/>
          <w:szCs w:val="14"/>
        </w:rPr>
        <w:t>fra</w:t>
      </w:r>
      <w:r>
        <w:rPr>
          <w:rFonts w:ascii="Calibri" w:hAnsi="Calibri" w:cs="Calibri"/>
          <w:sz w:val="14"/>
          <w:szCs w:val="14"/>
        </w:rPr>
        <w:t>n</w:t>
      </w:r>
      <w:r w:rsidRPr="008612A9">
        <w:rPr>
          <w:rFonts w:ascii="Calibri" w:hAnsi="Calibri" w:cs="Calibri"/>
          <w:sz w:val="14"/>
          <w:szCs w:val="14"/>
        </w:rPr>
        <w:t>cés</w:t>
      </w:r>
      <w:r w:rsidRPr="00B9306F">
        <w:rPr>
          <w:rFonts w:ascii="Calibri" w:hAnsi="Calibri" w:cs="Calibri"/>
          <w:sz w:val="14"/>
          <w:szCs w:val="14"/>
        </w:rPr>
        <w:t>.</w:t>
      </w:r>
      <w:r>
        <w:t xml:space="preserve"> </w:t>
      </w:r>
    </w:p>
  </w:footnote>
  <w:footnote w:id="3">
    <w:p w14:paraId="513FA469" w14:textId="22DE00D6" w:rsidR="008612A9" w:rsidRPr="00B9306F" w:rsidRDefault="008612A9">
      <w:pPr>
        <w:pStyle w:val="Textonotapie"/>
        <w:rPr>
          <w:rFonts w:ascii="Calibri" w:hAnsi="Calibri" w:cs="Calibri"/>
          <w:sz w:val="14"/>
          <w:szCs w:val="14"/>
          <w:lang w:val="en-US"/>
        </w:rPr>
      </w:pPr>
      <w:r w:rsidRPr="00B9306F">
        <w:rPr>
          <w:rStyle w:val="Refdenotaalpie"/>
          <w:rFonts w:ascii="Calibri" w:hAnsi="Calibri" w:cs="Calibri"/>
          <w:sz w:val="14"/>
          <w:szCs w:val="14"/>
        </w:rPr>
        <w:footnoteRef/>
      </w:r>
      <w:r w:rsidRPr="00B9306F">
        <w:rPr>
          <w:rFonts w:ascii="Calibri" w:hAnsi="Calibri" w:cs="Calibri"/>
          <w:sz w:val="14"/>
          <w:szCs w:val="14"/>
          <w:lang w:val="en-US"/>
        </w:rPr>
        <w:t xml:space="preserve"> The Office of Communications, OFCOM p</w:t>
      </w:r>
      <w:r>
        <w:rPr>
          <w:rFonts w:ascii="Calibri" w:hAnsi="Calibri" w:cs="Calibri"/>
          <w:sz w:val="14"/>
          <w:szCs w:val="14"/>
          <w:lang w:val="en-US"/>
        </w:rPr>
        <w:t>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E33B" w14:textId="77777777" w:rsidR="0068060B" w:rsidRDefault="00C35F1B">
    <w:pPr>
      <w:pStyle w:val="Encabezado"/>
    </w:pPr>
    <w:r>
      <w:rPr>
        <w:noProof/>
        <w:lang w:eastAsia="es-MX"/>
      </w:rPr>
      <w:pict w14:anchorId="6350D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8446" w14:textId="77777777" w:rsidR="0068060B" w:rsidRDefault="00C35F1B">
    <w:pPr>
      <w:pStyle w:val="Encabezado"/>
    </w:pPr>
    <w:r>
      <w:rPr>
        <w:noProof/>
        <w:lang w:eastAsia="es-MX"/>
      </w:rPr>
      <w:pict w14:anchorId="2ED98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0;margin-top:0;width:609.6pt;height:793.9pt;z-index:-251656192;mso-position-horizontal:center;mso-position-horizontal-relative:margin;mso-position-vertical:center;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D4A7" w14:textId="77777777" w:rsidR="00A77687" w:rsidRDefault="00C35F1B">
    <w:pPr>
      <w:pStyle w:val="Encabezado"/>
    </w:pPr>
    <w:r>
      <w:rPr>
        <w:noProof/>
        <w:lang w:eastAsia="es-MX"/>
      </w:rPr>
      <w:pict w14:anchorId="6ADF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638"/>
    <w:multiLevelType w:val="hybridMultilevel"/>
    <w:tmpl w:val="F5B84262"/>
    <w:lvl w:ilvl="0" w:tplc="C1B02328">
      <w:start w:val="1"/>
      <w:numFmt w:val="decimal"/>
      <w:lvlText w:val="Tabla %1."/>
      <w:lvlJc w:val="left"/>
      <w:pPr>
        <w:ind w:left="720"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4" w15:restartNumberingAfterBreak="0">
    <w:nsid w:val="208B2057"/>
    <w:multiLevelType w:val="multilevel"/>
    <w:tmpl w:val="86D4074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5A139E4"/>
    <w:multiLevelType w:val="hybridMultilevel"/>
    <w:tmpl w:val="CD3AE65C"/>
    <w:lvl w:ilvl="0" w:tplc="0CB26974">
      <w:start w:val="1"/>
      <w:numFmt w:val="decimal"/>
      <w:lvlText w:val="%1)"/>
      <w:lvlJc w:val="left"/>
      <w:pPr>
        <w:ind w:left="1068"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CDF2FD0"/>
    <w:multiLevelType w:val="hybridMultilevel"/>
    <w:tmpl w:val="14EE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5023E5"/>
    <w:multiLevelType w:val="hybridMultilevel"/>
    <w:tmpl w:val="69A4232A"/>
    <w:lvl w:ilvl="0" w:tplc="BFE2D748">
      <w:start w:val="1"/>
      <w:numFmt w:val="bullet"/>
      <w:lvlText w:val=""/>
      <w:lvlJc w:val="left"/>
      <w:pPr>
        <w:ind w:left="644" w:hanging="360"/>
      </w:pPr>
      <w:rPr>
        <w:rFonts w:ascii="Symbol" w:hAnsi="Symbol" w:hint="default"/>
        <w:b/>
        <w:i w:val="0"/>
        <w:caps w:val="0"/>
        <w:strike w:val="0"/>
        <w:dstrike w:val="0"/>
        <w:vanish w:val="0"/>
        <w:color w:val="4D9D45"/>
        <w:sz w:val="2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3761B8"/>
    <w:multiLevelType w:val="multilevel"/>
    <w:tmpl w:val="C632F800"/>
    <w:lvl w:ilvl="0">
      <w:start w:val="1"/>
      <w:numFmt w:val="decimal"/>
      <w:lvlText w:val="%1."/>
      <w:lvlJc w:val="left"/>
      <w:pPr>
        <w:ind w:left="720" w:hanging="360"/>
      </w:pPr>
      <w:rPr>
        <w:b/>
        <w:bCs/>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726A7"/>
    <w:multiLevelType w:val="multilevel"/>
    <w:tmpl w:val="680AA96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5"/>
  </w:num>
  <w:num w:numId="4">
    <w:abstractNumId w:val="2"/>
  </w:num>
  <w:num w:numId="5">
    <w:abstractNumId w:val="9"/>
  </w:num>
  <w:num w:numId="6">
    <w:abstractNumId w:val="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740DE"/>
    <w:rsid w:val="000B3CB5"/>
    <w:rsid w:val="000E750F"/>
    <w:rsid w:val="00145D38"/>
    <w:rsid w:val="001A497F"/>
    <w:rsid w:val="00270F37"/>
    <w:rsid w:val="00276F02"/>
    <w:rsid w:val="00284A1A"/>
    <w:rsid w:val="002B1BE8"/>
    <w:rsid w:val="002E4778"/>
    <w:rsid w:val="002F0599"/>
    <w:rsid w:val="003275CE"/>
    <w:rsid w:val="00415D26"/>
    <w:rsid w:val="005B44D5"/>
    <w:rsid w:val="005F133B"/>
    <w:rsid w:val="00605D3E"/>
    <w:rsid w:val="00607E52"/>
    <w:rsid w:val="00670713"/>
    <w:rsid w:val="0068060B"/>
    <w:rsid w:val="006E7AB5"/>
    <w:rsid w:val="006F16DA"/>
    <w:rsid w:val="00726670"/>
    <w:rsid w:val="00726843"/>
    <w:rsid w:val="00731508"/>
    <w:rsid w:val="00741042"/>
    <w:rsid w:val="007439C6"/>
    <w:rsid w:val="00773D6D"/>
    <w:rsid w:val="007C6D60"/>
    <w:rsid w:val="008612A9"/>
    <w:rsid w:val="008872AC"/>
    <w:rsid w:val="0093172D"/>
    <w:rsid w:val="00955049"/>
    <w:rsid w:val="00966804"/>
    <w:rsid w:val="00972B09"/>
    <w:rsid w:val="00975C3D"/>
    <w:rsid w:val="009B29F5"/>
    <w:rsid w:val="00A547B6"/>
    <w:rsid w:val="00A77687"/>
    <w:rsid w:val="00B9306F"/>
    <w:rsid w:val="00BA1A01"/>
    <w:rsid w:val="00BC7F11"/>
    <w:rsid w:val="00BD5828"/>
    <w:rsid w:val="00C35F1B"/>
    <w:rsid w:val="00C8537F"/>
    <w:rsid w:val="00CA5776"/>
    <w:rsid w:val="00CB5BF4"/>
    <w:rsid w:val="00CC3825"/>
    <w:rsid w:val="00D13876"/>
    <w:rsid w:val="00D67A45"/>
    <w:rsid w:val="00E02FCE"/>
    <w:rsid w:val="00E251CF"/>
    <w:rsid w:val="00E47450"/>
    <w:rsid w:val="00F4449A"/>
    <w:rsid w:val="00F837BC"/>
    <w:rsid w:val="00FA1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F28570"/>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6"/>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7"/>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ascii="Arial" w:eastAsia="Calibri" w:hAnsi="Arial" w:cs="Arial"/>
      <w:w w:val="105"/>
      <w:sz w:val="20"/>
      <w:szCs w:val="20"/>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3"/>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ascii="Arial" w:eastAsia="Calibri" w:hAnsi="Arial" w:cs="Arial"/>
      <w:w w:val="105"/>
      <w:sz w:val="20"/>
      <w:szCs w:val="20"/>
    </w:rPr>
  </w:style>
  <w:style w:type="paragraph" w:customStyle="1" w:styleId="IncisoVta">
    <w:name w:val="Inciso Vñta"/>
    <w:basedOn w:val="Cpotxt"/>
    <w:link w:val="IncisoVtaCar"/>
    <w:qFormat/>
    <w:rsid w:val="00955049"/>
    <w:pPr>
      <w:numPr>
        <w:numId w:val="4"/>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ascii="Arial" w:eastAsia="Calibri" w:hAnsi="Arial" w:cs="Arial"/>
      <w:w w:val="105"/>
      <w:sz w:val="20"/>
      <w:szCs w:val="20"/>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rFonts w:ascii="Arial" w:hAnsi="Arial"/>
      <w:b/>
      <w:caps/>
      <w:color w:val="4D9D45"/>
      <w:w w:val="105"/>
      <w:sz w:val="20"/>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rFonts w:ascii="Arial" w:hAnsi="Arial"/>
      <w:b/>
      <w:caps/>
      <w:color w:val="4D9D45"/>
      <w:w w:val="105"/>
      <w:sz w:val="20"/>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6"/>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10"/>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Textodeglobo">
    <w:name w:val="Balloon Text"/>
    <w:basedOn w:val="Normal"/>
    <w:link w:val="TextodegloboCar"/>
    <w:uiPriority w:val="99"/>
    <w:semiHidden/>
    <w:unhideWhenUsed/>
    <w:rsid w:val="00276F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F02"/>
    <w:rPr>
      <w:rFonts w:ascii="Segoe UI" w:hAnsi="Segoe UI" w:cs="Segoe UI"/>
      <w:sz w:val="18"/>
      <w:szCs w:val="18"/>
    </w:rPr>
  </w:style>
  <w:style w:type="paragraph" w:customStyle="1" w:styleId="Default">
    <w:name w:val="Default"/>
    <w:rsid w:val="001A497F"/>
    <w:pPr>
      <w:autoSpaceDE w:val="0"/>
      <w:autoSpaceDN w:val="0"/>
      <w:adjustRightInd w:val="0"/>
      <w:spacing w:after="0" w:line="240" w:lineRule="auto"/>
      <w:jc w:val="left"/>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1A497F"/>
    <w:rPr>
      <w:sz w:val="16"/>
      <w:szCs w:val="16"/>
    </w:rPr>
  </w:style>
  <w:style w:type="paragraph" w:styleId="Textocomentario">
    <w:name w:val="annotation text"/>
    <w:basedOn w:val="Normal"/>
    <w:link w:val="TextocomentarioCar"/>
    <w:uiPriority w:val="99"/>
    <w:semiHidden/>
    <w:unhideWhenUsed/>
    <w:rsid w:val="001A497F"/>
    <w:pPr>
      <w:spacing w:after="160" w:line="240" w:lineRule="auto"/>
      <w:jc w:val="left"/>
    </w:pPr>
    <w:rPr>
      <w:rFonts w:asciiTheme="minorHAnsi" w:hAnsiTheme="minorHAnsi"/>
    </w:rPr>
  </w:style>
  <w:style w:type="character" w:customStyle="1" w:styleId="TextocomentarioCar">
    <w:name w:val="Texto comentario Car"/>
    <w:basedOn w:val="Fuentedeprrafopredeter"/>
    <w:link w:val="Textocomentario"/>
    <w:uiPriority w:val="99"/>
    <w:semiHidden/>
    <w:rsid w:val="001A497F"/>
    <w:rPr>
      <w:rFonts w:asciiTheme="minorHAnsi" w:hAnsiTheme="minorHAnsi"/>
    </w:rPr>
  </w:style>
  <w:style w:type="paragraph" w:styleId="Sinespaciado">
    <w:name w:val="No Spacing"/>
    <w:uiPriority w:val="1"/>
    <w:qFormat/>
    <w:rsid w:val="001A497F"/>
    <w:pPr>
      <w:spacing w:after="0" w:line="240" w:lineRule="auto"/>
      <w:jc w:val="left"/>
    </w:pPr>
    <w:rPr>
      <w:rFonts w:asciiTheme="minorHAnsi" w:eastAsiaTheme="minorEastAsia" w:hAnsiTheme="minorHAnsi"/>
      <w:sz w:val="24"/>
      <w:szCs w:val="24"/>
    </w:rPr>
  </w:style>
  <w:style w:type="paragraph" w:styleId="Asuntodelcomentario">
    <w:name w:val="annotation subject"/>
    <w:basedOn w:val="Textocomentario"/>
    <w:next w:val="Textocomentario"/>
    <w:link w:val="AsuntodelcomentarioCar"/>
    <w:uiPriority w:val="99"/>
    <w:semiHidden/>
    <w:unhideWhenUsed/>
    <w:rsid w:val="00FA1717"/>
    <w:pPr>
      <w:spacing w:after="240"/>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FA1717"/>
    <w:rPr>
      <w:rFonts w:asciiTheme="minorHAnsi" w:hAnsiTheme="minorHAnsi"/>
      <w:b/>
      <w:bCs/>
    </w:rPr>
  </w:style>
  <w:style w:type="character" w:customStyle="1" w:styleId="InternetLink">
    <w:name w:val="Internet Link"/>
    <w:basedOn w:val="Fuentedeprrafopredeter"/>
    <w:uiPriority w:val="99"/>
    <w:unhideWhenUsed/>
    <w:rsid w:val="009B29F5"/>
    <w:rPr>
      <w:color w:val="0000FF"/>
      <w:u w:val="single"/>
    </w:rPr>
  </w:style>
  <w:style w:type="paragraph" w:styleId="Prrafodelista">
    <w:name w:val="List Paragraph"/>
    <w:basedOn w:val="Normal"/>
    <w:uiPriority w:val="34"/>
    <w:qFormat/>
    <w:rsid w:val="009B29F5"/>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iPriority w:val="99"/>
    <w:semiHidden/>
    <w:unhideWhenUsed/>
    <w:rsid w:val="00605D3E"/>
    <w:pPr>
      <w:spacing w:after="0" w:line="240" w:lineRule="auto"/>
    </w:pPr>
  </w:style>
  <w:style w:type="character" w:customStyle="1" w:styleId="TextonotapieCar">
    <w:name w:val="Texto nota pie Car"/>
    <w:basedOn w:val="Fuentedeprrafopredeter"/>
    <w:link w:val="Textonotapie"/>
    <w:uiPriority w:val="99"/>
    <w:semiHidden/>
    <w:rsid w:val="00605D3E"/>
  </w:style>
  <w:style w:type="character" w:styleId="Refdenotaalpie">
    <w:name w:val="footnote reference"/>
    <w:basedOn w:val="Fuentedeprrafopredeter"/>
    <w:uiPriority w:val="99"/>
    <w:semiHidden/>
    <w:unhideWhenUsed/>
    <w:rsid w:val="00605D3E"/>
    <w:rPr>
      <w:vertAlign w:val="superscript"/>
    </w:rPr>
  </w:style>
  <w:style w:type="character" w:styleId="Hipervnculovisitado">
    <w:name w:val="FollowedHyperlink"/>
    <w:basedOn w:val="Fuentedeprrafopredeter"/>
    <w:uiPriority w:val="99"/>
    <w:semiHidden/>
    <w:unhideWhenUsed/>
    <w:rsid w:val="00B9306F"/>
    <w:rPr>
      <w:color w:val="954F72" w:themeColor="followedHyperlink"/>
      <w:u w:val="single"/>
    </w:rPr>
  </w:style>
  <w:style w:type="character" w:styleId="Mencinsinresolver">
    <w:name w:val="Unresolved Mention"/>
    <w:basedOn w:val="Fuentedeprrafopredeter"/>
    <w:uiPriority w:val="99"/>
    <w:semiHidden/>
    <w:unhideWhenUsed/>
    <w:rsid w:val="00B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rcep.fr/uploads/tx_gspublication/report-state-internet-2021-edition-july2021.pdf"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ejoconsultivo.ift.org.mx/docs/recomendaciones/2021/iii_2_recomendacion_para_promover_economia_digital_vf.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consejoconsultivo.ift.org.mx/docs/recomendaciones/2021/recomendacion_que_emite_el_cc_del_ift_sobre_la_formacion_de_un_observatorio_o_grupo_de_estudio_para_el_monitoreo_de_iot.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consejoconsultivo.ift.org.mx/docs/recomendaciones/2019/RecomendacionIPv6VF_.pdf" TargetMode="Externa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4B60-0F3A-4179-8476-31BBAFCA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Isabel Reza</cp:lastModifiedBy>
  <cp:revision>4</cp:revision>
  <dcterms:created xsi:type="dcterms:W3CDTF">2021-10-14T14:56:00Z</dcterms:created>
  <dcterms:modified xsi:type="dcterms:W3CDTF">2021-10-15T17:08:00Z</dcterms:modified>
</cp:coreProperties>
</file>