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6020F" w14:textId="777DF340" w:rsidR="00764C58" w:rsidRDefault="00764C58" w:rsidP="00DA2F3A">
      <w:pPr>
        <w:pStyle w:val="Ttulo1"/>
        <w:spacing w:after="120" w:line="276" w:lineRule="auto"/>
        <w:jc w:val="both"/>
        <w:rPr>
          <w:rFonts w:ascii="Calibri" w:eastAsia="Helvetica Neue" w:hAnsi="Calibri" w:cs="Calibri"/>
          <w:b/>
          <w:color w:val="000000" w:themeColor="text1"/>
          <w:sz w:val="24"/>
          <w:szCs w:val="24"/>
        </w:rPr>
      </w:pPr>
      <w:r>
        <w:rPr>
          <w:rFonts w:ascii="Calibri" w:eastAsia="Helvetica Neue" w:hAnsi="Calibri" w:cs="Calibri"/>
          <w:b/>
          <w:color w:val="000000" w:themeColor="text1"/>
          <w:sz w:val="24"/>
          <w:szCs w:val="24"/>
        </w:rPr>
        <w:t xml:space="preserve">RECOMENDACIÓN QUE EMITE EL CONSEJO CONSULTIVO DEL INSTITUTO FEDERAL DE TELECOMUNICACIONES </w:t>
      </w:r>
      <w:r w:rsidR="009450D6">
        <w:rPr>
          <w:rFonts w:ascii="Calibri" w:eastAsia="Helvetica Neue" w:hAnsi="Calibri" w:cs="Calibri"/>
          <w:b/>
          <w:color w:val="000000" w:themeColor="text1"/>
          <w:sz w:val="24"/>
          <w:szCs w:val="24"/>
        </w:rPr>
        <w:t xml:space="preserve">(INSTITUTO) </w:t>
      </w:r>
      <w:r>
        <w:rPr>
          <w:rFonts w:ascii="Calibri" w:eastAsia="Helvetica Neue" w:hAnsi="Calibri" w:cs="Calibri"/>
          <w:b/>
          <w:color w:val="000000" w:themeColor="text1"/>
          <w:sz w:val="24"/>
          <w:szCs w:val="24"/>
        </w:rPr>
        <w:t xml:space="preserve">SOBRE EL </w:t>
      </w:r>
      <w:r w:rsidR="00CA32A5">
        <w:rPr>
          <w:rFonts w:ascii="Calibri" w:eastAsia="Helvetica Neue" w:hAnsi="Calibri" w:cs="Calibri"/>
          <w:b/>
          <w:color w:val="000000" w:themeColor="text1"/>
          <w:sz w:val="24"/>
          <w:szCs w:val="24"/>
        </w:rPr>
        <w:t>MEJORAMIENTO REGULATORIO A LOS SERVICIOS DE MENSAJE</w:t>
      </w:r>
      <w:r w:rsidR="006624A2">
        <w:rPr>
          <w:rFonts w:ascii="Calibri" w:eastAsia="Helvetica Neue" w:hAnsi="Calibri" w:cs="Calibri"/>
          <w:b/>
          <w:color w:val="000000" w:themeColor="text1"/>
          <w:sz w:val="24"/>
          <w:szCs w:val="24"/>
        </w:rPr>
        <w:t>S CORTOS (SMS)</w:t>
      </w:r>
    </w:p>
    <w:p w14:paraId="35E9CF9E" w14:textId="77777777" w:rsidR="00DA2F3A" w:rsidRPr="00DA2F3A" w:rsidRDefault="00DA2F3A" w:rsidP="00DA2F3A"/>
    <w:p w14:paraId="5383F501" w14:textId="77777777" w:rsidR="00764C58" w:rsidRPr="00764C58" w:rsidRDefault="00764C58" w:rsidP="00764C58">
      <w:pPr>
        <w:spacing w:after="120" w:line="276" w:lineRule="auto"/>
        <w:jc w:val="both"/>
        <w:rPr>
          <w:b/>
          <w:sz w:val="24"/>
          <w:szCs w:val="24"/>
          <w:u w:val="single"/>
        </w:rPr>
      </w:pPr>
      <w:r w:rsidRPr="00764C58">
        <w:rPr>
          <w:b/>
          <w:sz w:val="24"/>
          <w:szCs w:val="24"/>
          <w:u w:val="single"/>
        </w:rPr>
        <w:t>Índice</w:t>
      </w:r>
    </w:p>
    <w:p w14:paraId="085AFCB6" w14:textId="77777777" w:rsidR="00764C58" w:rsidRPr="00764C58" w:rsidRDefault="00764C58" w:rsidP="00764C58">
      <w:pPr>
        <w:spacing w:after="120" w:line="276" w:lineRule="auto"/>
        <w:jc w:val="both"/>
        <w:rPr>
          <w:b/>
          <w:sz w:val="24"/>
          <w:szCs w:val="24"/>
          <w:u w:val="single"/>
        </w:rPr>
      </w:pPr>
    </w:p>
    <w:p w14:paraId="259D8153" w14:textId="6FE31B7E" w:rsidR="00764C58" w:rsidRPr="00764C58" w:rsidRDefault="00764C58" w:rsidP="00804144">
      <w:pPr>
        <w:pStyle w:val="Prrafodelista"/>
        <w:numPr>
          <w:ilvl w:val="0"/>
          <w:numId w:val="8"/>
        </w:numPr>
        <w:spacing w:after="120" w:line="276" w:lineRule="auto"/>
        <w:ind w:left="284" w:hanging="306"/>
        <w:jc w:val="both"/>
        <w:rPr>
          <w:b/>
          <w:sz w:val="24"/>
          <w:szCs w:val="24"/>
        </w:rPr>
      </w:pPr>
      <w:r w:rsidRPr="00764C58">
        <w:rPr>
          <w:b/>
          <w:sz w:val="24"/>
          <w:szCs w:val="24"/>
        </w:rPr>
        <w:t>Contexto………………………………………………………………………………</w:t>
      </w:r>
      <w:r w:rsidR="00804144">
        <w:rPr>
          <w:b/>
          <w:sz w:val="24"/>
          <w:szCs w:val="24"/>
        </w:rPr>
        <w:t>………………………</w:t>
      </w:r>
      <w:r w:rsidRPr="00764C58">
        <w:rPr>
          <w:b/>
          <w:sz w:val="24"/>
          <w:szCs w:val="24"/>
        </w:rPr>
        <w:t>………… 1</w:t>
      </w:r>
    </w:p>
    <w:p w14:paraId="26771144" w14:textId="60F50CC8" w:rsidR="00764C58" w:rsidRPr="00764C58" w:rsidRDefault="00764C58" w:rsidP="00804144">
      <w:pPr>
        <w:pStyle w:val="Prrafodelista"/>
        <w:numPr>
          <w:ilvl w:val="0"/>
          <w:numId w:val="8"/>
        </w:numPr>
        <w:spacing w:after="120" w:line="276" w:lineRule="auto"/>
        <w:ind w:left="284" w:hanging="306"/>
        <w:jc w:val="both"/>
        <w:rPr>
          <w:b/>
          <w:sz w:val="24"/>
          <w:szCs w:val="24"/>
        </w:rPr>
      </w:pPr>
      <w:r w:rsidRPr="00764C58">
        <w:rPr>
          <w:b/>
          <w:sz w:val="24"/>
          <w:szCs w:val="24"/>
        </w:rPr>
        <w:t>Recomendac</w:t>
      </w:r>
      <w:r w:rsidR="0046127F">
        <w:rPr>
          <w:b/>
          <w:sz w:val="24"/>
          <w:szCs w:val="24"/>
        </w:rPr>
        <w:t>ión…………………………………………</w:t>
      </w:r>
      <w:r w:rsidR="00804144">
        <w:rPr>
          <w:b/>
          <w:sz w:val="24"/>
          <w:szCs w:val="24"/>
        </w:rPr>
        <w:t>………………………</w:t>
      </w:r>
      <w:r w:rsidR="0046127F">
        <w:rPr>
          <w:b/>
          <w:sz w:val="24"/>
          <w:szCs w:val="24"/>
        </w:rPr>
        <w:t>……………………………..</w:t>
      </w:r>
      <w:r w:rsidRPr="00764C58">
        <w:rPr>
          <w:b/>
          <w:sz w:val="24"/>
          <w:szCs w:val="24"/>
        </w:rPr>
        <w:t>……. 2</w:t>
      </w:r>
    </w:p>
    <w:p w14:paraId="40DE1573" w14:textId="77777777" w:rsidR="00764C58" w:rsidRPr="00764C58" w:rsidRDefault="00764C58" w:rsidP="00804144">
      <w:pPr>
        <w:spacing w:after="120" w:line="360" w:lineRule="auto"/>
        <w:ind w:left="284" w:hanging="306"/>
        <w:jc w:val="both"/>
        <w:rPr>
          <w:b/>
          <w:sz w:val="24"/>
          <w:szCs w:val="24"/>
          <w:u w:val="single"/>
        </w:rPr>
      </w:pPr>
    </w:p>
    <w:p w14:paraId="22E9BC03" w14:textId="77777777" w:rsidR="00764C58" w:rsidRPr="00764C58" w:rsidRDefault="00764C58" w:rsidP="00764C58">
      <w:pPr>
        <w:pStyle w:val="Prrafodelista"/>
        <w:numPr>
          <w:ilvl w:val="0"/>
          <w:numId w:val="9"/>
        </w:numPr>
        <w:spacing w:after="120" w:line="276" w:lineRule="auto"/>
        <w:jc w:val="both"/>
        <w:rPr>
          <w:b/>
          <w:sz w:val="24"/>
          <w:szCs w:val="24"/>
          <w:u w:val="single"/>
        </w:rPr>
      </w:pPr>
      <w:r w:rsidRPr="00764C58">
        <w:rPr>
          <w:b/>
          <w:sz w:val="24"/>
          <w:szCs w:val="24"/>
          <w:u w:val="single"/>
        </w:rPr>
        <w:t>Contexto</w:t>
      </w:r>
    </w:p>
    <w:p w14:paraId="6ED542C5" w14:textId="77777777" w:rsidR="00764C58" w:rsidRPr="00764C58" w:rsidRDefault="00764C58" w:rsidP="00764C58">
      <w:pPr>
        <w:rPr>
          <w:sz w:val="24"/>
          <w:szCs w:val="24"/>
        </w:rPr>
      </w:pPr>
    </w:p>
    <w:p w14:paraId="08D142CE" w14:textId="33D78F5E" w:rsidR="00262CA2" w:rsidRPr="00764C58" w:rsidRDefault="00804144" w:rsidP="008F4D9E">
      <w:pPr>
        <w:spacing w:after="120" w:line="276" w:lineRule="auto"/>
        <w:ind w:left="360" w:hanging="360"/>
        <w:jc w:val="both"/>
        <w:rPr>
          <w:rFonts w:eastAsia="Helvetica Neue"/>
          <w:color w:val="000000" w:themeColor="text1"/>
          <w:sz w:val="24"/>
          <w:szCs w:val="24"/>
        </w:rPr>
      </w:pPr>
      <w:r>
        <w:rPr>
          <w:rFonts w:eastAsia="Helvetica Neue"/>
          <w:color w:val="000000" w:themeColor="text1"/>
          <w:sz w:val="24"/>
          <w:szCs w:val="24"/>
        </w:rPr>
        <w:t xml:space="preserve">1. </w:t>
      </w:r>
      <w:r w:rsidR="008F4D9E">
        <w:rPr>
          <w:rFonts w:eastAsia="Helvetica Neue"/>
          <w:color w:val="000000" w:themeColor="text1"/>
          <w:sz w:val="24"/>
          <w:szCs w:val="24"/>
        </w:rPr>
        <w:tab/>
      </w:r>
      <w:r w:rsidR="00637D1F" w:rsidRPr="00764C58">
        <w:rPr>
          <w:rFonts w:eastAsia="Helvetica Neue"/>
          <w:color w:val="000000" w:themeColor="text1"/>
          <w:sz w:val="24"/>
          <w:szCs w:val="24"/>
        </w:rPr>
        <w:t xml:space="preserve">El </w:t>
      </w:r>
      <w:r w:rsidR="00597E37" w:rsidRPr="00764C58">
        <w:rPr>
          <w:rFonts w:eastAsia="Helvetica Neue"/>
          <w:color w:val="000000" w:themeColor="text1"/>
          <w:sz w:val="24"/>
          <w:szCs w:val="24"/>
        </w:rPr>
        <w:t xml:space="preserve">SMS (servicio de mensajes cortos) es un servicio de mensajería de texto </w:t>
      </w:r>
      <w:r w:rsidR="7C277035" w:rsidRPr="00764C58">
        <w:rPr>
          <w:rFonts w:eastAsia="Helvetica Neue"/>
          <w:color w:val="000000" w:themeColor="text1"/>
          <w:sz w:val="24"/>
          <w:szCs w:val="24"/>
        </w:rPr>
        <w:t>utilizado</w:t>
      </w:r>
      <w:r w:rsidR="35913092" w:rsidRPr="00764C58">
        <w:rPr>
          <w:rFonts w:eastAsia="Helvetica Neue"/>
          <w:color w:val="000000" w:themeColor="text1"/>
          <w:sz w:val="24"/>
          <w:szCs w:val="24"/>
        </w:rPr>
        <w:t xml:space="preserve"> en</w:t>
      </w:r>
      <w:r w:rsidR="00597E37" w:rsidRPr="00764C58">
        <w:rPr>
          <w:rFonts w:eastAsia="Helvetica Neue"/>
          <w:color w:val="000000" w:themeColor="text1"/>
          <w:sz w:val="24"/>
          <w:szCs w:val="24"/>
        </w:rPr>
        <w:t xml:space="preserve"> sistemas de </w:t>
      </w:r>
      <w:r w:rsidR="2FBA0C8F" w:rsidRPr="00764C58">
        <w:rPr>
          <w:rFonts w:eastAsia="Helvetica Neue"/>
          <w:color w:val="000000" w:themeColor="text1"/>
          <w:sz w:val="24"/>
          <w:szCs w:val="24"/>
        </w:rPr>
        <w:t>telefonía</w:t>
      </w:r>
      <w:r w:rsidR="00597E37" w:rsidRPr="00764C58">
        <w:rPr>
          <w:rFonts w:eastAsia="Helvetica Neue"/>
          <w:color w:val="000000" w:themeColor="text1"/>
          <w:sz w:val="24"/>
          <w:szCs w:val="24"/>
        </w:rPr>
        <w:t xml:space="preserve">, </w:t>
      </w:r>
      <w:r w:rsidR="002E5A23">
        <w:rPr>
          <w:rFonts w:eastAsia="Helvetica Neue"/>
          <w:color w:val="000000" w:themeColor="text1"/>
          <w:sz w:val="24"/>
          <w:szCs w:val="24"/>
        </w:rPr>
        <w:t>i</w:t>
      </w:r>
      <w:r w:rsidR="00597E37" w:rsidRPr="00764C58">
        <w:rPr>
          <w:rFonts w:eastAsia="Helvetica Neue"/>
          <w:color w:val="000000" w:themeColor="text1"/>
          <w:sz w:val="24"/>
          <w:szCs w:val="24"/>
        </w:rPr>
        <w:t xml:space="preserve">nternet y dispositivos móviles. Utiliza protocolos de comunicación </w:t>
      </w:r>
      <w:r w:rsidR="00D648A3" w:rsidRPr="00764C58">
        <w:rPr>
          <w:rFonts w:eastAsia="Helvetica Neue"/>
          <w:color w:val="000000" w:themeColor="text1"/>
          <w:sz w:val="24"/>
          <w:szCs w:val="24"/>
        </w:rPr>
        <w:t>estandarizados para</w:t>
      </w:r>
      <w:r w:rsidR="00597E37" w:rsidRPr="00764C58">
        <w:rPr>
          <w:rFonts w:eastAsia="Helvetica Neue"/>
          <w:color w:val="000000" w:themeColor="text1"/>
          <w:sz w:val="24"/>
          <w:szCs w:val="24"/>
        </w:rPr>
        <w:t xml:space="preserve"> permitir que</w:t>
      </w:r>
      <w:r w:rsidR="00A65EDF" w:rsidRPr="00764C58">
        <w:rPr>
          <w:rFonts w:eastAsia="Helvetica Neue"/>
          <w:color w:val="000000" w:themeColor="text1"/>
          <w:sz w:val="24"/>
          <w:szCs w:val="24"/>
        </w:rPr>
        <w:t xml:space="preserve"> todos</w:t>
      </w:r>
      <w:r w:rsidR="00597E37" w:rsidRPr="00764C58">
        <w:rPr>
          <w:rFonts w:eastAsia="Helvetica Neue"/>
          <w:color w:val="000000" w:themeColor="text1"/>
          <w:sz w:val="24"/>
          <w:szCs w:val="24"/>
        </w:rPr>
        <w:t xml:space="preserve"> los dispositivos móviles </w:t>
      </w:r>
      <w:r w:rsidR="00A65EDF" w:rsidRPr="00764C58">
        <w:rPr>
          <w:rFonts w:eastAsia="Helvetica Neue"/>
          <w:color w:val="000000" w:themeColor="text1"/>
          <w:sz w:val="24"/>
          <w:szCs w:val="24"/>
        </w:rPr>
        <w:t xml:space="preserve">puedan intercambiar </w:t>
      </w:r>
      <w:r w:rsidR="00597E37" w:rsidRPr="00764C58">
        <w:rPr>
          <w:rFonts w:eastAsia="Helvetica Neue"/>
          <w:color w:val="000000" w:themeColor="text1"/>
          <w:sz w:val="24"/>
          <w:szCs w:val="24"/>
        </w:rPr>
        <w:t>mensajes de texto cortos.</w:t>
      </w:r>
      <w:r w:rsidR="00262CA2" w:rsidRPr="00764C58">
        <w:rPr>
          <w:rFonts w:eastAsia="Helvetica Neue"/>
          <w:color w:val="000000" w:themeColor="text1"/>
          <w:sz w:val="24"/>
          <w:szCs w:val="24"/>
        </w:rPr>
        <w:t xml:space="preserve"> Este servicio s</w:t>
      </w:r>
      <w:r w:rsidR="00665203" w:rsidRPr="00764C58">
        <w:rPr>
          <w:rFonts w:eastAsia="Helvetica Neue"/>
          <w:color w:val="000000" w:themeColor="text1"/>
          <w:sz w:val="24"/>
          <w:szCs w:val="24"/>
        </w:rPr>
        <w:t>e definió originalmente en la recomendación GSM 03.40, que ahora se mantiene</w:t>
      </w:r>
      <w:r w:rsidR="599BD6A3" w:rsidRPr="00764C58">
        <w:rPr>
          <w:rFonts w:eastAsia="Helvetica Neue"/>
          <w:color w:val="000000" w:themeColor="text1"/>
          <w:sz w:val="24"/>
          <w:szCs w:val="24"/>
        </w:rPr>
        <w:t xml:space="preserve"> como</w:t>
      </w:r>
      <w:r w:rsidR="00665203" w:rsidRPr="00764C58">
        <w:rPr>
          <w:rFonts w:eastAsia="Helvetica Neue"/>
          <w:color w:val="000000" w:themeColor="text1"/>
          <w:sz w:val="24"/>
          <w:szCs w:val="24"/>
        </w:rPr>
        <w:t xml:space="preserve"> TS 23.040. </w:t>
      </w:r>
    </w:p>
    <w:p w14:paraId="17C56050" w14:textId="54804872" w:rsidR="002E669A" w:rsidRPr="00764C58" w:rsidRDefault="00804144" w:rsidP="008F4D9E">
      <w:pPr>
        <w:spacing w:after="120" w:line="276" w:lineRule="auto"/>
        <w:ind w:left="360" w:hanging="360"/>
        <w:jc w:val="both"/>
        <w:rPr>
          <w:rFonts w:eastAsia="Helvetica Neue"/>
          <w:color w:val="000000" w:themeColor="text1"/>
          <w:sz w:val="24"/>
          <w:szCs w:val="24"/>
        </w:rPr>
      </w:pPr>
      <w:r>
        <w:rPr>
          <w:rFonts w:eastAsia="Helvetica Neue"/>
          <w:color w:val="000000" w:themeColor="text1"/>
          <w:sz w:val="24"/>
          <w:szCs w:val="24"/>
        </w:rPr>
        <w:t xml:space="preserve">2. </w:t>
      </w:r>
      <w:r w:rsidR="008F4D9E">
        <w:rPr>
          <w:rFonts w:eastAsia="Helvetica Neue"/>
          <w:color w:val="000000" w:themeColor="text1"/>
          <w:sz w:val="24"/>
          <w:szCs w:val="24"/>
        </w:rPr>
        <w:tab/>
      </w:r>
      <w:r w:rsidR="00DB19C7" w:rsidRPr="00764C58">
        <w:rPr>
          <w:rFonts w:eastAsia="Helvetica Neue"/>
          <w:color w:val="000000" w:themeColor="text1"/>
          <w:sz w:val="24"/>
          <w:szCs w:val="24"/>
        </w:rPr>
        <w:t>Actualmente, el</w:t>
      </w:r>
      <w:r w:rsidR="00665203" w:rsidRPr="00764C58">
        <w:rPr>
          <w:rFonts w:eastAsia="Helvetica Neue"/>
          <w:color w:val="000000" w:themeColor="text1"/>
          <w:sz w:val="24"/>
          <w:szCs w:val="24"/>
        </w:rPr>
        <w:t xml:space="preserve"> </w:t>
      </w:r>
      <w:r w:rsidR="00A65EDF" w:rsidRPr="00764C58">
        <w:rPr>
          <w:rFonts w:eastAsia="Helvetica Neue"/>
          <w:color w:val="000000" w:themeColor="text1"/>
          <w:sz w:val="24"/>
          <w:szCs w:val="24"/>
        </w:rPr>
        <w:t xml:space="preserve">número de </w:t>
      </w:r>
      <w:r w:rsidR="00665203" w:rsidRPr="00764C58">
        <w:rPr>
          <w:rFonts w:eastAsia="Helvetica Neue"/>
          <w:color w:val="000000" w:themeColor="text1"/>
          <w:sz w:val="24"/>
          <w:szCs w:val="24"/>
        </w:rPr>
        <w:t xml:space="preserve">SMS </w:t>
      </w:r>
      <w:r w:rsidR="00A65EDF" w:rsidRPr="00764C58">
        <w:rPr>
          <w:rFonts w:eastAsia="Helvetica Neue"/>
          <w:color w:val="000000" w:themeColor="text1"/>
          <w:sz w:val="24"/>
          <w:szCs w:val="24"/>
        </w:rPr>
        <w:t xml:space="preserve">enviados </w:t>
      </w:r>
      <w:r w:rsidR="00665203" w:rsidRPr="00764C58">
        <w:rPr>
          <w:rFonts w:eastAsia="Helvetica Neue"/>
          <w:color w:val="000000" w:themeColor="text1"/>
          <w:sz w:val="24"/>
          <w:szCs w:val="24"/>
        </w:rPr>
        <w:t>está creciendo rápidamente</w:t>
      </w:r>
      <w:r w:rsidR="00DB19C7" w:rsidRPr="00764C58">
        <w:rPr>
          <w:rFonts w:eastAsia="Helvetica Neue"/>
          <w:color w:val="000000" w:themeColor="text1"/>
          <w:sz w:val="24"/>
          <w:szCs w:val="24"/>
        </w:rPr>
        <w:t xml:space="preserve"> </w:t>
      </w:r>
      <w:r w:rsidR="00A65EDF" w:rsidRPr="00764C58">
        <w:rPr>
          <w:rFonts w:eastAsia="Helvetica Neue"/>
          <w:color w:val="000000" w:themeColor="text1"/>
          <w:sz w:val="24"/>
          <w:szCs w:val="24"/>
        </w:rPr>
        <w:t>debido a la proliferación de plataformas A2P (</w:t>
      </w:r>
      <w:r w:rsidR="00665203" w:rsidRPr="00764C58">
        <w:rPr>
          <w:rFonts w:eastAsia="Helvetica Neue"/>
          <w:color w:val="000000" w:themeColor="text1"/>
          <w:sz w:val="24"/>
          <w:szCs w:val="24"/>
        </w:rPr>
        <w:t>mensajes de aplicación a persona</w:t>
      </w:r>
      <w:r w:rsidR="00A65EDF" w:rsidRPr="00764C58">
        <w:rPr>
          <w:rFonts w:eastAsia="Helvetica Neue"/>
          <w:color w:val="000000" w:themeColor="text1"/>
          <w:sz w:val="24"/>
          <w:szCs w:val="24"/>
        </w:rPr>
        <w:t>)</w:t>
      </w:r>
      <w:r w:rsidR="00665203" w:rsidRPr="00764C58">
        <w:rPr>
          <w:rFonts w:eastAsia="Helvetica Neue"/>
          <w:color w:val="000000" w:themeColor="text1"/>
          <w:sz w:val="24"/>
          <w:szCs w:val="24"/>
        </w:rPr>
        <w:t xml:space="preserve">. A2P es un tipo de SMS enviado desde </w:t>
      </w:r>
      <w:r w:rsidR="00A65EDF" w:rsidRPr="00764C58">
        <w:rPr>
          <w:rFonts w:eastAsia="Helvetica Neue"/>
          <w:color w:val="000000" w:themeColor="text1"/>
          <w:sz w:val="24"/>
          <w:szCs w:val="24"/>
        </w:rPr>
        <w:t xml:space="preserve">una aplicación a un suscriptor o de </w:t>
      </w:r>
      <w:r w:rsidR="00665203" w:rsidRPr="00764C58">
        <w:rPr>
          <w:rFonts w:eastAsia="Helvetica Neue"/>
          <w:color w:val="000000" w:themeColor="text1"/>
          <w:sz w:val="24"/>
          <w:szCs w:val="24"/>
        </w:rPr>
        <w:t>un suscriptor a una aplicación. Las empresas, como los bancos, lo utilizan comúnmente para enviar mensajes SMS desde sus sistemas a sus clientes.</w:t>
      </w:r>
      <w:r w:rsidR="79C00AA8" w:rsidRPr="00764C58">
        <w:rPr>
          <w:rFonts w:eastAsia="Helvetica Neue"/>
          <w:color w:val="000000" w:themeColor="text1"/>
          <w:sz w:val="24"/>
          <w:szCs w:val="24"/>
        </w:rPr>
        <w:t xml:space="preserve"> El A2P implementa un paradigma de </w:t>
      </w:r>
      <w:r w:rsidR="79C00AA8" w:rsidRPr="008F4D9E">
        <w:rPr>
          <w:rFonts w:eastAsia="Helvetica Neue"/>
          <w:color w:val="000000" w:themeColor="text1"/>
          <w:sz w:val="24"/>
          <w:szCs w:val="24"/>
        </w:rPr>
        <w:t>multicast</w:t>
      </w:r>
      <w:r w:rsidR="79C00AA8" w:rsidRPr="00764C58">
        <w:rPr>
          <w:rFonts w:eastAsia="Helvetica Neue"/>
          <w:color w:val="000000" w:themeColor="text1"/>
          <w:sz w:val="24"/>
          <w:szCs w:val="24"/>
        </w:rPr>
        <w:t xml:space="preserve">, mientras que el SMS convencional es P2P o </w:t>
      </w:r>
      <w:r w:rsidR="099390EC" w:rsidRPr="008F4D9E">
        <w:rPr>
          <w:rFonts w:eastAsia="Helvetica Neue"/>
          <w:color w:val="000000" w:themeColor="text1"/>
          <w:sz w:val="24"/>
          <w:szCs w:val="24"/>
        </w:rPr>
        <w:t>peer-to-peer</w:t>
      </w:r>
      <w:r w:rsidR="002E5A23" w:rsidRPr="008F4D9E">
        <w:rPr>
          <w:rFonts w:eastAsia="Helvetica Neue"/>
          <w:color w:val="000000" w:themeColor="text1"/>
          <w:sz w:val="24"/>
          <w:szCs w:val="24"/>
        </w:rPr>
        <w:t xml:space="preserve"> </w:t>
      </w:r>
      <w:r w:rsidR="002E5A23">
        <w:rPr>
          <w:rFonts w:eastAsia="Helvetica Neue"/>
          <w:color w:val="000000" w:themeColor="text1"/>
          <w:sz w:val="24"/>
          <w:szCs w:val="24"/>
        </w:rPr>
        <w:t>(persona a persona)</w:t>
      </w:r>
      <w:r w:rsidR="099390EC" w:rsidRPr="00764C58">
        <w:rPr>
          <w:rFonts w:eastAsia="Helvetica Neue"/>
          <w:color w:val="000000" w:themeColor="text1"/>
          <w:sz w:val="24"/>
          <w:szCs w:val="24"/>
        </w:rPr>
        <w:t xml:space="preserve">. El ecosistema del mercado A2P incluye a mayoristas que </w:t>
      </w:r>
      <w:r w:rsidR="00A65EDF" w:rsidRPr="00764C58">
        <w:rPr>
          <w:rFonts w:eastAsia="Helvetica Neue"/>
          <w:color w:val="000000" w:themeColor="text1"/>
          <w:sz w:val="24"/>
          <w:szCs w:val="24"/>
        </w:rPr>
        <w:t>negocian con los concesionarios la compra de bloques de mensajes que posteriormente venden a empresas.</w:t>
      </w:r>
    </w:p>
    <w:p w14:paraId="1B118AF3" w14:textId="274074A5" w:rsidR="5010D3AE" w:rsidRPr="00764C58" w:rsidRDefault="00804144" w:rsidP="008F4D9E">
      <w:pPr>
        <w:spacing w:after="120" w:line="276" w:lineRule="auto"/>
        <w:ind w:left="360" w:hanging="360"/>
        <w:jc w:val="both"/>
        <w:rPr>
          <w:rFonts w:eastAsia="Helvetica Neue"/>
          <w:color w:val="000000" w:themeColor="text1"/>
          <w:sz w:val="24"/>
          <w:szCs w:val="24"/>
        </w:rPr>
      </w:pPr>
      <w:r>
        <w:rPr>
          <w:rFonts w:eastAsia="Helvetica Neue"/>
          <w:color w:val="000000" w:themeColor="text1"/>
          <w:sz w:val="24"/>
          <w:szCs w:val="24"/>
        </w:rPr>
        <w:t xml:space="preserve">3. </w:t>
      </w:r>
      <w:r w:rsidR="008F4D9E">
        <w:rPr>
          <w:rFonts w:eastAsia="Helvetica Neue"/>
          <w:color w:val="000000" w:themeColor="text1"/>
          <w:sz w:val="24"/>
          <w:szCs w:val="24"/>
        </w:rPr>
        <w:tab/>
      </w:r>
      <w:r w:rsidR="00B9243F" w:rsidRPr="00764C58">
        <w:rPr>
          <w:rFonts w:eastAsia="Helvetica Neue"/>
          <w:color w:val="000000" w:themeColor="text1"/>
          <w:sz w:val="24"/>
          <w:szCs w:val="24"/>
        </w:rPr>
        <w:t>E</w:t>
      </w:r>
      <w:r w:rsidR="005918D6" w:rsidRPr="00764C58">
        <w:rPr>
          <w:rFonts w:eastAsia="Helvetica Neue"/>
          <w:color w:val="000000" w:themeColor="text1"/>
          <w:sz w:val="24"/>
          <w:szCs w:val="24"/>
        </w:rPr>
        <w:t xml:space="preserve">l Instituto Federal de Telecomunicaciones ha </w:t>
      </w:r>
      <w:r w:rsidR="007D7FCB" w:rsidRPr="00764C58">
        <w:rPr>
          <w:rFonts w:eastAsia="Helvetica Neue"/>
          <w:color w:val="000000" w:themeColor="text1"/>
          <w:sz w:val="24"/>
          <w:szCs w:val="24"/>
        </w:rPr>
        <w:t>fijado</w:t>
      </w:r>
      <w:r w:rsidR="005918D6" w:rsidRPr="00764C58">
        <w:rPr>
          <w:rFonts w:eastAsia="Helvetica Neue"/>
          <w:color w:val="000000" w:themeColor="text1"/>
          <w:sz w:val="24"/>
          <w:szCs w:val="24"/>
        </w:rPr>
        <w:t xml:space="preserve"> tarifas de interconexión para el intercambio de mensajes de texto (SMS) entre redes fijas y móviles</w:t>
      </w:r>
      <w:r w:rsidR="005918D6" w:rsidRPr="00AC16F4">
        <w:rPr>
          <w:vertAlign w:val="superscript"/>
        </w:rPr>
        <w:footnoteReference w:id="1"/>
      </w:r>
      <w:r w:rsidR="3DFCECC6" w:rsidRPr="00764C58">
        <w:rPr>
          <w:rFonts w:eastAsia="Helvetica Neue"/>
          <w:color w:val="000000" w:themeColor="text1"/>
          <w:sz w:val="24"/>
          <w:szCs w:val="24"/>
        </w:rPr>
        <w:t xml:space="preserve">. También </w:t>
      </w:r>
      <w:r w:rsidR="005918D6" w:rsidRPr="00764C58">
        <w:rPr>
          <w:rFonts w:eastAsia="Helvetica Neue"/>
          <w:color w:val="000000" w:themeColor="text1"/>
          <w:sz w:val="24"/>
          <w:szCs w:val="24"/>
        </w:rPr>
        <w:t xml:space="preserve">se ha pronunciado </w:t>
      </w:r>
      <w:r w:rsidR="00A65EDF" w:rsidRPr="00764C58">
        <w:rPr>
          <w:rFonts w:eastAsia="Helvetica Neue"/>
          <w:color w:val="000000" w:themeColor="text1"/>
          <w:sz w:val="24"/>
          <w:szCs w:val="24"/>
        </w:rPr>
        <w:t xml:space="preserve">sobre </w:t>
      </w:r>
      <w:r w:rsidR="005918D6" w:rsidRPr="00764C58">
        <w:rPr>
          <w:rFonts w:eastAsia="Helvetica Neue"/>
          <w:color w:val="000000" w:themeColor="text1"/>
          <w:sz w:val="24"/>
          <w:szCs w:val="24"/>
        </w:rPr>
        <w:t xml:space="preserve">las condiciones de interconexión </w:t>
      </w:r>
      <w:r w:rsidR="00A65EDF" w:rsidRPr="00764C58">
        <w:rPr>
          <w:rFonts w:eastAsia="Helvetica Neue"/>
          <w:color w:val="000000" w:themeColor="text1"/>
          <w:sz w:val="24"/>
          <w:szCs w:val="24"/>
        </w:rPr>
        <w:t xml:space="preserve">que deben cumplirse para el intercambio de SMS </w:t>
      </w:r>
      <w:r w:rsidR="005918D6" w:rsidRPr="00764C58">
        <w:rPr>
          <w:rFonts w:eastAsia="Helvetica Neue"/>
          <w:color w:val="000000" w:themeColor="text1"/>
          <w:sz w:val="24"/>
          <w:szCs w:val="24"/>
        </w:rPr>
        <w:t>entre redes públicas de telecomunicaciones fijas y móviles</w:t>
      </w:r>
      <w:r w:rsidR="00A65EDF" w:rsidRPr="00764C58">
        <w:rPr>
          <w:rFonts w:eastAsia="Helvetica Neue"/>
          <w:color w:val="000000" w:themeColor="text1"/>
          <w:sz w:val="24"/>
          <w:szCs w:val="24"/>
        </w:rPr>
        <w:t>,</w:t>
      </w:r>
      <w:r w:rsidR="454B1D8A" w:rsidRPr="00764C58">
        <w:rPr>
          <w:rFonts w:eastAsia="Helvetica Neue"/>
          <w:color w:val="000000" w:themeColor="text1"/>
          <w:sz w:val="24"/>
          <w:szCs w:val="24"/>
        </w:rPr>
        <w:t xml:space="preserve"> entre ellas la procedencia y </w:t>
      </w:r>
      <w:r w:rsidR="00A65EDF" w:rsidRPr="00764C58">
        <w:rPr>
          <w:rFonts w:eastAsia="Helvetica Neue"/>
          <w:color w:val="000000" w:themeColor="text1"/>
          <w:sz w:val="24"/>
          <w:szCs w:val="24"/>
        </w:rPr>
        <w:t xml:space="preserve">el </w:t>
      </w:r>
      <w:r w:rsidR="454B1D8A" w:rsidRPr="00764C58">
        <w:rPr>
          <w:rFonts w:eastAsia="Helvetica Neue"/>
          <w:color w:val="000000" w:themeColor="text1"/>
          <w:sz w:val="24"/>
          <w:szCs w:val="24"/>
        </w:rPr>
        <w:t xml:space="preserve">tamaño de los mensajes. </w:t>
      </w:r>
      <w:r w:rsidR="438E80E5" w:rsidRPr="00764C58">
        <w:rPr>
          <w:rFonts w:eastAsia="Helvetica Neue"/>
          <w:color w:val="000000" w:themeColor="text1"/>
          <w:sz w:val="24"/>
          <w:szCs w:val="24"/>
        </w:rPr>
        <w:t>Sin embargo</w:t>
      </w:r>
      <w:r w:rsidR="005918D6" w:rsidRPr="00764C58">
        <w:rPr>
          <w:rFonts w:eastAsia="Helvetica Neue"/>
          <w:color w:val="000000" w:themeColor="text1"/>
          <w:sz w:val="24"/>
          <w:szCs w:val="24"/>
        </w:rPr>
        <w:t xml:space="preserve">, a la fecha no existan reglas claras sobre la </w:t>
      </w:r>
      <w:r w:rsidR="003A0BC6" w:rsidRPr="00764C58">
        <w:rPr>
          <w:rFonts w:eastAsia="Helvetica Neue"/>
          <w:color w:val="000000" w:themeColor="text1"/>
          <w:sz w:val="24"/>
          <w:szCs w:val="24"/>
        </w:rPr>
        <w:t>modalidad A2P</w:t>
      </w:r>
      <w:r w:rsidR="00A65EDF" w:rsidRPr="00764C58">
        <w:rPr>
          <w:rFonts w:eastAsia="Helvetica Neue"/>
          <w:color w:val="000000" w:themeColor="text1"/>
          <w:sz w:val="24"/>
          <w:szCs w:val="24"/>
        </w:rPr>
        <w:t>,</w:t>
      </w:r>
      <w:r w:rsidR="003A0BC6" w:rsidRPr="00764C58">
        <w:rPr>
          <w:rFonts w:eastAsia="Helvetica Neue"/>
          <w:color w:val="000000" w:themeColor="text1"/>
          <w:sz w:val="24"/>
          <w:szCs w:val="24"/>
        </w:rPr>
        <w:t xml:space="preserve"> que </w:t>
      </w:r>
      <w:r w:rsidR="00A65EDF" w:rsidRPr="00764C58">
        <w:rPr>
          <w:rFonts w:eastAsia="Helvetica Neue"/>
          <w:color w:val="000000" w:themeColor="text1"/>
          <w:sz w:val="24"/>
          <w:szCs w:val="24"/>
        </w:rPr>
        <w:t xml:space="preserve">actualmente </w:t>
      </w:r>
      <w:r w:rsidR="003A0BC6" w:rsidRPr="00764C58">
        <w:rPr>
          <w:rFonts w:eastAsia="Helvetica Neue"/>
          <w:color w:val="000000" w:themeColor="text1"/>
          <w:sz w:val="24"/>
          <w:szCs w:val="24"/>
        </w:rPr>
        <w:t>es el uso preponderante</w:t>
      </w:r>
      <w:r w:rsidR="00A65EDF" w:rsidRPr="00764C58">
        <w:rPr>
          <w:rFonts w:eastAsia="Helvetica Neue"/>
          <w:color w:val="000000" w:themeColor="text1"/>
          <w:sz w:val="24"/>
          <w:szCs w:val="24"/>
        </w:rPr>
        <w:t xml:space="preserve"> de </w:t>
      </w:r>
      <w:r w:rsidR="003A0BC6" w:rsidRPr="00764C58">
        <w:rPr>
          <w:rFonts w:eastAsia="Helvetica Neue"/>
          <w:color w:val="000000" w:themeColor="text1"/>
          <w:sz w:val="24"/>
          <w:szCs w:val="24"/>
        </w:rPr>
        <w:t xml:space="preserve">los SMS, como se </w:t>
      </w:r>
      <w:r w:rsidR="67FE0CB8" w:rsidRPr="00764C58">
        <w:rPr>
          <w:rFonts w:eastAsia="Helvetica Neue"/>
          <w:color w:val="000000" w:themeColor="text1"/>
          <w:sz w:val="24"/>
          <w:szCs w:val="24"/>
        </w:rPr>
        <w:t>menciona</w:t>
      </w:r>
      <w:r w:rsidR="003A0BC6" w:rsidRPr="00764C58">
        <w:rPr>
          <w:rFonts w:eastAsia="Helvetica Neue"/>
          <w:color w:val="000000" w:themeColor="text1"/>
          <w:sz w:val="24"/>
          <w:szCs w:val="24"/>
        </w:rPr>
        <w:t xml:space="preserve"> en la </w:t>
      </w:r>
      <w:hyperlink r:id="rId9" w:tgtFrame="_blank" w:tooltip="Se abrira un archivo pdf en otra pestaña" w:history="1">
        <w:r w:rsidR="003A0BC6" w:rsidRPr="008F4D9E">
          <w:rPr>
            <w:rFonts w:eastAsia="Helvetica Neue"/>
            <w:color w:val="000000" w:themeColor="text1"/>
            <w:sz w:val="24"/>
            <w:szCs w:val="24"/>
          </w:rPr>
          <w:t xml:space="preserve">Recomendación sobre la Interconexión entre </w:t>
        </w:r>
        <w:r w:rsidR="54D0F4E9" w:rsidRPr="008F4D9E">
          <w:rPr>
            <w:rFonts w:eastAsia="Helvetica Neue"/>
            <w:color w:val="000000" w:themeColor="text1"/>
            <w:sz w:val="24"/>
            <w:szCs w:val="24"/>
          </w:rPr>
          <w:t>Re</w:t>
        </w:r>
        <w:r w:rsidR="003A0BC6" w:rsidRPr="008F4D9E">
          <w:rPr>
            <w:rFonts w:eastAsia="Helvetica Neue"/>
            <w:color w:val="000000" w:themeColor="text1"/>
            <w:sz w:val="24"/>
            <w:szCs w:val="24"/>
          </w:rPr>
          <w:t xml:space="preserve">des </w:t>
        </w:r>
        <w:r w:rsidR="002E5A23" w:rsidRPr="008F4D9E">
          <w:rPr>
            <w:rFonts w:eastAsia="Helvetica Neue"/>
            <w:color w:val="000000" w:themeColor="text1"/>
            <w:sz w:val="24"/>
            <w:szCs w:val="24"/>
          </w:rPr>
          <w:t>F</w:t>
        </w:r>
        <w:r w:rsidR="003A0BC6" w:rsidRPr="008F4D9E">
          <w:rPr>
            <w:rFonts w:eastAsia="Helvetica Neue"/>
            <w:color w:val="000000" w:themeColor="text1"/>
            <w:sz w:val="24"/>
            <w:szCs w:val="24"/>
          </w:rPr>
          <w:t xml:space="preserve">ijas </w:t>
        </w:r>
        <w:r w:rsidR="003A0BC6" w:rsidRPr="008F4D9E">
          <w:rPr>
            <w:rFonts w:eastAsia="Helvetica Neue"/>
            <w:color w:val="000000" w:themeColor="text1"/>
            <w:sz w:val="24"/>
            <w:szCs w:val="24"/>
          </w:rPr>
          <w:lastRenderedPageBreak/>
          <w:t xml:space="preserve">y </w:t>
        </w:r>
        <w:r w:rsidR="6ACC0818" w:rsidRPr="008F4D9E">
          <w:rPr>
            <w:rFonts w:eastAsia="Helvetica Neue"/>
            <w:color w:val="000000" w:themeColor="text1"/>
            <w:sz w:val="24"/>
            <w:szCs w:val="24"/>
          </w:rPr>
          <w:t>M</w:t>
        </w:r>
        <w:r w:rsidR="003A0BC6" w:rsidRPr="008F4D9E">
          <w:rPr>
            <w:rFonts w:eastAsia="Helvetica Neue"/>
            <w:color w:val="000000" w:themeColor="text1"/>
            <w:sz w:val="24"/>
            <w:szCs w:val="24"/>
          </w:rPr>
          <w:t xml:space="preserve">óviles para el </w:t>
        </w:r>
        <w:r w:rsidR="36F9D9A5" w:rsidRPr="008F4D9E">
          <w:rPr>
            <w:rFonts w:eastAsia="Helvetica Neue"/>
            <w:color w:val="000000" w:themeColor="text1"/>
            <w:sz w:val="24"/>
            <w:szCs w:val="24"/>
          </w:rPr>
          <w:t>I</w:t>
        </w:r>
        <w:r w:rsidR="003A0BC6" w:rsidRPr="008F4D9E">
          <w:rPr>
            <w:rFonts w:eastAsia="Helvetica Neue"/>
            <w:color w:val="000000" w:themeColor="text1"/>
            <w:sz w:val="24"/>
            <w:szCs w:val="24"/>
          </w:rPr>
          <w:t xml:space="preserve">ntercambio de </w:t>
        </w:r>
        <w:r w:rsidR="604EF493" w:rsidRPr="008F4D9E">
          <w:rPr>
            <w:rFonts w:eastAsia="Helvetica Neue"/>
            <w:color w:val="000000" w:themeColor="text1"/>
            <w:sz w:val="24"/>
            <w:szCs w:val="24"/>
          </w:rPr>
          <w:t>M</w:t>
        </w:r>
        <w:r w:rsidR="003A0BC6" w:rsidRPr="008F4D9E">
          <w:rPr>
            <w:rFonts w:eastAsia="Helvetica Neue"/>
            <w:color w:val="000000" w:themeColor="text1"/>
            <w:sz w:val="24"/>
            <w:szCs w:val="24"/>
          </w:rPr>
          <w:t xml:space="preserve">ensajes </w:t>
        </w:r>
        <w:r w:rsidR="27F7EDAF" w:rsidRPr="008F4D9E">
          <w:rPr>
            <w:rFonts w:eastAsia="Helvetica Neue"/>
            <w:color w:val="000000" w:themeColor="text1"/>
            <w:sz w:val="24"/>
            <w:szCs w:val="24"/>
          </w:rPr>
          <w:t>C</w:t>
        </w:r>
        <w:r w:rsidR="003A0BC6" w:rsidRPr="008F4D9E">
          <w:rPr>
            <w:rFonts w:eastAsia="Helvetica Neue"/>
            <w:color w:val="000000" w:themeColor="text1"/>
            <w:sz w:val="24"/>
            <w:szCs w:val="24"/>
          </w:rPr>
          <w:t>ortos (SMS</w:t>
        </w:r>
      </w:hyperlink>
      <w:r w:rsidR="003A0BC6" w:rsidRPr="00764C58">
        <w:rPr>
          <w:rFonts w:eastAsia="Helvetica Neue"/>
          <w:color w:val="000000" w:themeColor="text1"/>
          <w:sz w:val="24"/>
          <w:szCs w:val="24"/>
        </w:rPr>
        <w:t>)</w:t>
      </w:r>
      <w:r w:rsidR="003A0BC6" w:rsidRPr="00AC16F4">
        <w:rPr>
          <w:vertAlign w:val="superscript"/>
        </w:rPr>
        <w:footnoteReference w:id="2"/>
      </w:r>
      <w:r w:rsidR="003A0BC6" w:rsidRPr="00AC16F4">
        <w:rPr>
          <w:rFonts w:eastAsia="Helvetica Neue"/>
          <w:color w:val="000000" w:themeColor="text1"/>
          <w:sz w:val="24"/>
          <w:szCs w:val="24"/>
          <w:vertAlign w:val="superscript"/>
        </w:rPr>
        <w:t xml:space="preserve"> </w:t>
      </w:r>
      <w:r w:rsidR="22257444" w:rsidRPr="00764C58">
        <w:rPr>
          <w:rFonts w:eastAsia="Helvetica Neue"/>
          <w:color w:val="000000" w:themeColor="text1"/>
          <w:sz w:val="24"/>
          <w:szCs w:val="24"/>
        </w:rPr>
        <w:t>del IV Consejo Consultivo del IFT</w:t>
      </w:r>
      <w:r w:rsidR="00A65EDF" w:rsidRPr="00764C58">
        <w:rPr>
          <w:rFonts w:eastAsia="Helvetica Neue"/>
          <w:color w:val="000000" w:themeColor="text1"/>
          <w:sz w:val="24"/>
          <w:szCs w:val="24"/>
        </w:rPr>
        <w:t xml:space="preserve"> del 24 de octubre de 2019.</w:t>
      </w:r>
    </w:p>
    <w:p w14:paraId="5D22F982" w14:textId="31E59CA1" w:rsidR="00C36885" w:rsidRPr="00764C58" w:rsidRDefault="00804144" w:rsidP="008F4D9E">
      <w:pPr>
        <w:spacing w:after="120" w:line="276" w:lineRule="auto"/>
        <w:ind w:left="360" w:hanging="360"/>
        <w:jc w:val="both"/>
        <w:rPr>
          <w:rFonts w:eastAsia="Helvetica Neue"/>
          <w:color w:val="000000" w:themeColor="text1"/>
          <w:sz w:val="24"/>
          <w:szCs w:val="24"/>
        </w:rPr>
      </w:pPr>
      <w:r>
        <w:rPr>
          <w:rFonts w:eastAsia="Helvetica Neue"/>
          <w:color w:val="000000" w:themeColor="text1"/>
          <w:sz w:val="24"/>
          <w:szCs w:val="24"/>
        </w:rPr>
        <w:t xml:space="preserve">4. </w:t>
      </w:r>
      <w:r w:rsidR="008F4D9E">
        <w:rPr>
          <w:rFonts w:eastAsia="Helvetica Neue"/>
          <w:color w:val="000000" w:themeColor="text1"/>
          <w:sz w:val="24"/>
          <w:szCs w:val="24"/>
        </w:rPr>
        <w:tab/>
      </w:r>
      <w:r w:rsidR="00AF6A22" w:rsidRPr="00764C58">
        <w:rPr>
          <w:rFonts w:eastAsia="Helvetica Neue"/>
          <w:color w:val="000000" w:themeColor="text1"/>
          <w:sz w:val="24"/>
          <w:szCs w:val="24"/>
        </w:rPr>
        <w:t xml:space="preserve">Debido a que cuando se elaboró </w:t>
      </w:r>
      <w:r w:rsidR="097C2BA4" w:rsidRPr="00764C58">
        <w:rPr>
          <w:rFonts w:eastAsia="Helvetica Neue"/>
          <w:color w:val="000000" w:themeColor="text1"/>
          <w:sz w:val="24"/>
          <w:szCs w:val="24"/>
        </w:rPr>
        <w:t>la Reforma de Telecomunicaciones de 2014</w:t>
      </w:r>
      <w:r w:rsidR="00AF6A22" w:rsidRPr="00764C58">
        <w:rPr>
          <w:rFonts w:eastAsia="Helvetica Neue"/>
          <w:color w:val="000000" w:themeColor="text1"/>
          <w:sz w:val="24"/>
          <w:szCs w:val="24"/>
        </w:rPr>
        <w:t xml:space="preserve"> se estimó que el servicio de SMS entraría rápidamente en desuso y daría</w:t>
      </w:r>
      <w:r w:rsidR="29DD6E5F" w:rsidRPr="00764C58">
        <w:rPr>
          <w:rFonts w:eastAsia="Helvetica Neue"/>
          <w:color w:val="000000" w:themeColor="text1"/>
          <w:sz w:val="24"/>
          <w:szCs w:val="24"/>
        </w:rPr>
        <w:t xml:space="preserve"> paso a los sistemas de mensajería instantánea por </w:t>
      </w:r>
      <w:r w:rsidR="00AF6A22" w:rsidRPr="00764C58">
        <w:rPr>
          <w:rFonts w:eastAsia="Helvetica Neue"/>
          <w:color w:val="000000" w:themeColor="text1"/>
          <w:sz w:val="24"/>
          <w:szCs w:val="24"/>
        </w:rPr>
        <w:t>i</w:t>
      </w:r>
      <w:r w:rsidR="29DD6E5F" w:rsidRPr="00764C58">
        <w:rPr>
          <w:rFonts w:eastAsia="Helvetica Neue"/>
          <w:color w:val="000000" w:themeColor="text1"/>
          <w:sz w:val="24"/>
          <w:szCs w:val="24"/>
        </w:rPr>
        <w:t xml:space="preserve">nternet, la regulación </w:t>
      </w:r>
      <w:r w:rsidR="00AF6A22" w:rsidRPr="00764C58">
        <w:rPr>
          <w:rFonts w:eastAsia="Helvetica Neue"/>
          <w:color w:val="000000" w:themeColor="text1"/>
          <w:sz w:val="24"/>
          <w:szCs w:val="24"/>
        </w:rPr>
        <w:t xml:space="preserve">sólo </w:t>
      </w:r>
      <w:r w:rsidR="29DD6E5F" w:rsidRPr="00764C58">
        <w:rPr>
          <w:rFonts w:eastAsia="Helvetica Neue"/>
          <w:color w:val="000000" w:themeColor="text1"/>
          <w:sz w:val="24"/>
          <w:szCs w:val="24"/>
        </w:rPr>
        <w:t>se enfocó en</w:t>
      </w:r>
      <w:r w:rsidR="416386A4" w:rsidRPr="00764C58">
        <w:rPr>
          <w:rFonts w:eastAsia="Helvetica Neue"/>
          <w:color w:val="000000" w:themeColor="text1"/>
          <w:sz w:val="24"/>
          <w:szCs w:val="24"/>
        </w:rPr>
        <w:t xml:space="preserve"> </w:t>
      </w:r>
      <w:r w:rsidR="481EFDD8" w:rsidRPr="00764C58">
        <w:rPr>
          <w:rFonts w:eastAsia="Helvetica Neue"/>
          <w:color w:val="000000" w:themeColor="text1"/>
          <w:sz w:val="24"/>
          <w:szCs w:val="24"/>
        </w:rPr>
        <w:t>los acuerdos</w:t>
      </w:r>
      <w:r w:rsidR="00AF6A22" w:rsidRPr="00764C58">
        <w:rPr>
          <w:rFonts w:eastAsia="Helvetica Neue"/>
          <w:color w:val="000000" w:themeColor="text1"/>
          <w:sz w:val="24"/>
          <w:szCs w:val="24"/>
        </w:rPr>
        <w:t xml:space="preserve"> y tarifas</w:t>
      </w:r>
      <w:r w:rsidR="416386A4" w:rsidRPr="00764C58">
        <w:rPr>
          <w:rFonts w:eastAsia="Helvetica Neue"/>
          <w:color w:val="000000" w:themeColor="text1"/>
          <w:sz w:val="24"/>
          <w:szCs w:val="24"/>
        </w:rPr>
        <w:t xml:space="preserve"> de interconexión </w:t>
      </w:r>
      <w:r w:rsidR="00AF6A22" w:rsidRPr="00764C58">
        <w:rPr>
          <w:rFonts w:eastAsia="Helvetica Neue"/>
          <w:color w:val="000000" w:themeColor="text1"/>
          <w:sz w:val="24"/>
          <w:szCs w:val="24"/>
        </w:rPr>
        <w:t>para este servicio</w:t>
      </w:r>
      <w:r w:rsidR="416386A4" w:rsidRPr="00764C58">
        <w:rPr>
          <w:rFonts w:eastAsia="Helvetica Neue"/>
          <w:color w:val="000000" w:themeColor="text1"/>
          <w:sz w:val="24"/>
          <w:szCs w:val="24"/>
        </w:rPr>
        <w:t xml:space="preserve"> de acuerdo con las recomendaciones de la UIT.</w:t>
      </w:r>
      <w:r w:rsidR="12E14F7E" w:rsidRPr="00764C58">
        <w:rPr>
          <w:rFonts w:eastAsia="Helvetica Neue"/>
          <w:color w:val="000000" w:themeColor="text1"/>
          <w:sz w:val="24"/>
          <w:szCs w:val="24"/>
        </w:rPr>
        <w:t xml:space="preserve"> </w:t>
      </w:r>
      <w:r w:rsidR="25BB11A3" w:rsidRPr="00764C58">
        <w:rPr>
          <w:rFonts w:eastAsia="Helvetica Neue"/>
          <w:color w:val="000000" w:themeColor="text1"/>
          <w:sz w:val="24"/>
          <w:szCs w:val="24"/>
        </w:rPr>
        <w:t xml:space="preserve">Dado </w:t>
      </w:r>
      <w:r w:rsidR="0046B857" w:rsidRPr="00764C58">
        <w:rPr>
          <w:rFonts w:eastAsia="Helvetica Neue"/>
          <w:color w:val="000000" w:themeColor="text1"/>
          <w:sz w:val="24"/>
          <w:szCs w:val="24"/>
        </w:rPr>
        <w:t>el panorama</w:t>
      </w:r>
      <w:r w:rsidR="25BB11A3" w:rsidRPr="00764C58">
        <w:rPr>
          <w:rFonts w:eastAsia="Helvetica Neue"/>
          <w:color w:val="000000" w:themeColor="text1"/>
          <w:sz w:val="24"/>
          <w:szCs w:val="24"/>
        </w:rPr>
        <w:t xml:space="preserve"> actual del SMS</w:t>
      </w:r>
      <w:r w:rsidR="00AF6A22" w:rsidRPr="00764C58">
        <w:rPr>
          <w:rFonts w:eastAsia="Helvetica Neue"/>
          <w:color w:val="000000" w:themeColor="text1"/>
          <w:sz w:val="24"/>
          <w:szCs w:val="24"/>
        </w:rPr>
        <w:t xml:space="preserve"> arriba descrito,</w:t>
      </w:r>
      <w:r w:rsidR="25BB11A3" w:rsidRPr="00764C58">
        <w:rPr>
          <w:rFonts w:eastAsia="Helvetica Neue"/>
          <w:color w:val="000000" w:themeColor="text1"/>
          <w:sz w:val="24"/>
          <w:szCs w:val="24"/>
        </w:rPr>
        <w:t xml:space="preserve"> </w:t>
      </w:r>
      <w:r w:rsidR="00AF6A22" w:rsidRPr="00764C58">
        <w:rPr>
          <w:rFonts w:eastAsia="Helvetica Neue"/>
          <w:color w:val="000000" w:themeColor="text1"/>
          <w:sz w:val="24"/>
          <w:szCs w:val="24"/>
        </w:rPr>
        <w:t>este Consejo Consultivo considera</w:t>
      </w:r>
      <w:r w:rsidR="73185C26" w:rsidRPr="00764C58">
        <w:rPr>
          <w:rFonts w:eastAsia="Helvetica Neue"/>
          <w:color w:val="000000" w:themeColor="text1"/>
          <w:sz w:val="24"/>
          <w:szCs w:val="24"/>
        </w:rPr>
        <w:t xml:space="preserve"> necesario </w:t>
      </w:r>
      <w:r w:rsidR="02E87405" w:rsidRPr="00764C58">
        <w:rPr>
          <w:rFonts w:eastAsia="Helvetica Neue"/>
          <w:color w:val="000000" w:themeColor="text1"/>
          <w:sz w:val="24"/>
          <w:szCs w:val="24"/>
        </w:rPr>
        <w:t>que el IFT mejore la regulación existente</w:t>
      </w:r>
      <w:r w:rsidR="00950F94">
        <w:rPr>
          <w:rFonts w:eastAsia="Helvetica Neue"/>
          <w:color w:val="000000" w:themeColor="text1"/>
          <w:sz w:val="24"/>
          <w:szCs w:val="24"/>
        </w:rPr>
        <w:t>.</w:t>
      </w:r>
      <w:r w:rsidR="02E87405" w:rsidRPr="00764C58">
        <w:rPr>
          <w:rFonts w:eastAsia="Helvetica Neue"/>
          <w:color w:val="000000" w:themeColor="text1"/>
          <w:sz w:val="24"/>
          <w:szCs w:val="24"/>
        </w:rPr>
        <w:t xml:space="preserve"> </w:t>
      </w:r>
      <w:r w:rsidR="3A34495B" w:rsidRPr="00764C58">
        <w:rPr>
          <w:rFonts w:eastAsia="Helvetica Neue"/>
          <w:color w:val="000000" w:themeColor="text1"/>
          <w:sz w:val="24"/>
          <w:szCs w:val="24"/>
        </w:rPr>
        <w:t>En particular, se observa una asimetría regulatoria respecto a las condiciones impuestas a los concesionarios de servicio fijo y móvil</w:t>
      </w:r>
      <w:r w:rsidR="04E95A94" w:rsidRPr="00764C58">
        <w:rPr>
          <w:rFonts w:eastAsia="Helvetica Neue"/>
          <w:color w:val="000000" w:themeColor="text1"/>
          <w:sz w:val="24"/>
          <w:szCs w:val="24"/>
        </w:rPr>
        <w:t>, como se describe en el Anexo G</w:t>
      </w:r>
      <w:r w:rsidR="00C36885" w:rsidRPr="00764C58">
        <w:rPr>
          <w:rFonts w:eastAsia="Helvetica Neue"/>
          <w:color w:val="000000" w:themeColor="text1"/>
          <w:sz w:val="24"/>
          <w:szCs w:val="24"/>
        </w:rPr>
        <w:t xml:space="preserve"> de los convenios marcos de interconexión, el cual contiene los términos y condiciones aplicables para el intercambio de mensajes de texto. </w:t>
      </w:r>
    </w:p>
    <w:p w14:paraId="41F5AB08" w14:textId="2F850419" w:rsidR="009D35B7" w:rsidRPr="00764C58" w:rsidRDefault="00804144" w:rsidP="008F4D9E">
      <w:pPr>
        <w:spacing w:after="120" w:line="276" w:lineRule="auto"/>
        <w:ind w:left="360" w:hanging="360"/>
        <w:jc w:val="both"/>
        <w:rPr>
          <w:rFonts w:eastAsia="Helvetica Neue"/>
          <w:color w:val="000000" w:themeColor="text1"/>
          <w:sz w:val="24"/>
          <w:szCs w:val="24"/>
        </w:rPr>
      </w:pPr>
      <w:r>
        <w:rPr>
          <w:rFonts w:eastAsia="Helvetica Neue"/>
          <w:color w:val="000000" w:themeColor="text1"/>
          <w:sz w:val="24"/>
          <w:szCs w:val="24"/>
        </w:rPr>
        <w:t xml:space="preserve">5. </w:t>
      </w:r>
      <w:r w:rsidR="008F4D9E">
        <w:rPr>
          <w:rFonts w:eastAsia="Helvetica Neue"/>
          <w:color w:val="000000" w:themeColor="text1"/>
          <w:sz w:val="24"/>
          <w:szCs w:val="24"/>
        </w:rPr>
        <w:tab/>
      </w:r>
      <w:r w:rsidR="00C36885" w:rsidRPr="00764C58">
        <w:rPr>
          <w:rFonts w:eastAsia="Helvetica Neue"/>
          <w:color w:val="000000" w:themeColor="text1"/>
          <w:sz w:val="24"/>
          <w:szCs w:val="24"/>
        </w:rPr>
        <w:t>Entre la</w:t>
      </w:r>
      <w:r w:rsidR="0082033B">
        <w:rPr>
          <w:rFonts w:eastAsia="Helvetica Neue"/>
          <w:color w:val="000000" w:themeColor="text1"/>
          <w:sz w:val="24"/>
          <w:szCs w:val="24"/>
        </w:rPr>
        <w:t>s</w:t>
      </w:r>
      <w:r w:rsidR="00CC4482">
        <w:rPr>
          <w:rFonts w:eastAsia="Helvetica Neue"/>
          <w:color w:val="000000" w:themeColor="text1"/>
          <w:sz w:val="24"/>
          <w:szCs w:val="24"/>
        </w:rPr>
        <w:t xml:space="preserve"> asimetría</w:t>
      </w:r>
      <w:r w:rsidR="0082033B">
        <w:rPr>
          <w:rFonts w:eastAsia="Helvetica Neue"/>
          <w:color w:val="000000" w:themeColor="text1"/>
          <w:sz w:val="24"/>
          <w:szCs w:val="24"/>
        </w:rPr>
        <w:t>s</w:t>
      </w:r>
      <w:r w:rsidR="00CC4482">
        <w:rPr>
          <w:rFonts w:eastAsia="Helvetica Neue"/>
          <w:color w:val="000000" w:themeColor="text1"/>
          <w:sz w:val="24"/>
          <w:szCs w:val="24"/>
        </w:rPr>
        <w:t xml:space="preserve"> regulatoria</w:t>
      </w:r>
      <w:r w:rsidR="0082033B">
        <w:rPr>
          <w:rFonts w:eastAsia="Helvetica Neue"/>
          <w:color w:val="000000" w:themeColor="text1"/>
          <w:sz w:val="24"/>
          <w:szCs w:val="24"/>
        </w:rPr>
        <w:t>s</w:t>
      </w:r>
      <w:r w:rsidR="0039175E">
        <w:rPr>
          <w:rFonts w:eastAsia="Helvetica Neue"/>
          <w:color w:val="000000" w:themeColor="text1"/>
          <w:sz w:val="24"/>
          <w:szCs w:val="24"/>
        </w:rPr>
        <w:t xml:space="preserve"> o </w:t>
      </w:r>
      <w:r w:rsidR="0082033B">
        <w:rPr>
          <w:rFonts w:eastAsia="Helvetica Neue"/>
          <w:color w:val="000000" w:themeColor="text1"/>
          <w:sz w:val="24"/>
          <w:szCs w:val="24"/>
        </w:rPr>
        <w:t xml:space="preserve">restricciones </w:t>
      </w:r>
      <w:r w:rsidR="00CC4482">
        <w:rPr>
          <w:rFonts w:eastAsia="Helvetica Neue"/>
          <w:color w:val="000000" w:themeColor="text1"/>
          <w:sz w:val="24"/>
          <w:szCs w:val="24"/>
        </w:rPr>
        <w:t xml:space="preserve">más relevantes </w:t>
      </w:r>
      <w:r w:rsidR="00C36885" w:rsidRPr="00764C58">
        <w:rPr>
          <w:rFonts w:eastAsia="Helvetica Neue"/>
          <w:color w:val="000000" w:themeColor="text1"/>
          <w:sz w:val="24"/>
          <w:szCs w:val="24"/>
        </w:rPr>
        <w:t xml:space="preserve">que enfrentan los concesionarios </w:t>
      </w:r>
      <w:r w:rsidR="00CC4482">
        <w:rPr>
          <w:rFonts w:eastAsia="Helvetica Neue"/>
          <w:color w:val="000000" w:themeColor="text1"/>
          <w:sz w:val="24"/>
          <w:szCs w:val="24"/>
        </w:rPr>
        <w:t xml:space="preserve">fijos </w:t>
      </w:r>
      <w:r w:rsidR="00C36885" w:rsidRPr="00764C58">
        <w:rPr>
          <w:rFonts w:eastAsia="Helvetica Neue"/>
          <w:color w:val="000000" w:themeColor="text1"/>
          <w:sz w:val="24"/>
          <w:szCs w:val="24"/>
        </w:rPr>
        <w:t xml:space="preserve">se </w:t>
      </w:r>
      <w:r w:rsidR="00ED5A48" w:rsidRPr="00764C58">
        <w:rPr>
          <w:rFonts w:eastAsia="Helvetica Neue"/>
          <w:color w:val="000000" w:themeColor="text1"/>
          <w:sz w:val="24"/>
          <w:szCs w:val="24"/>
        </w:rPr>
        <w:t>pueden</w:t>
      </w:r>
      <w:r w:rsidR="00C36885" w:rsidRPr="00764C58">
        <w:rPr>
          <w:rFonts w:eastAsia="Helvetica Neue"/>
          <w:color w:val="000000" w:themeColor="text1"/>
          <w:sz w:val="24"/>
          <w:szCs w:val="24"/>
        </w:rPr>
        <w:t xml:space="preserve"> identificar las siguientes: </w:t>
      </w:r>
    </w:p>
    <w:p w14:paraId="0AEE11F1" w14:textId="062688F1" w:rsidR="5010D3AE" w:rsidRDefault="00C36885" w:rsidP="0046127F">
      <w:pPr>
        <w:pStyle w:val="Prrafodelista"/>
        <w:numPr>
          <w:ilvl w:val="0"/>
          <w:numId w:val="6"/>
        </w:numPr>
        <w:tabs>
          <w:tab w:val="left" w:pos="567"/>
        </w:tabs>
        <w:spacing w:line="276" w:lineRule="auto"/>
        <w:jc w:val="both"/>
        <w:rPr>
          <w:rFonts w:asciiTheme="minorHAnsi" w:hAnsiTheme="minorHAnsi" w:cs="Arial"/>
          <w:sz w:val="24"/>
          <w:szCs w:val="24"/>
          <w:lang w:val="es-MX"/>
        </w:rPr>
      </w:pPr>
      <w:r w:rsidRPr="00764C58">
        <w:rPr>
          <w:rFonts w:asciiTheme="minorHAnsi" w:hAnsiTheme="minorHAnsi" w:cs="Arial"/>
          <w:sz w:val="24"/>
          <w:szCs w:val="24"/>
          <w:lang w:val="es-MX"/>
        </w:rPr>
        <w:t xml:space="preserve">Limitación artificial de la cantidad de SMS que se pueden intercambiar entre las redes fijas y móviles </w:t>
      </w:r>
      <w:r w:rsidR="00ED5A48" w:rsidRPr="00764C58">
        <w:rPr>
          <w:rFonts w:asciiTheme="minorHAnsi" w:hAnsiTheme="minorHAnsi" w:cs="Arial"/>
          <w:sz w:val="24"/>
          <w:szCs w:val="24"/>
          <w:lang w:val="es-MX"/>
        </w:rPr>
        <w:t>basada en</w:t>
      </w:r>
      <w:r w:rsidRPr="00764C58">
        <w:rPr>
          <w:rFonts w:asciiTheme="minorHAnsi" w:hAnsiTheme="minorHAnsi" w:cs="Arial"/>
          <w:sz w:val="24"/>
          <w:szCs w:val="24"/>
          <w:lang w:val="es-MX"/>
        </w:rPr>
        <w:t xml:space="preserve"> una </w:t>
      </w:r>
      <w:r w:rsidRPr="00950F94">
        <w:rPr>
          <w:rFonts w:asciiTheme="minorHAnsi" w:hAnsiTheme="minorHAnsi" w:cs="Arial"/>
          <w:sz w:val="24"/>
          <w:szCs w:val="24"/>
          <w:lang w:val="es-MX"/>
        </w:rPr>
        <w:t xml:space="preserve">definición </w:t>
      </w:r>
      <w:r w:rsidR="00ED5A48" w:rsidRPr="00950F94">
        <w:rPr>
          <w:rFonts w:asciiTheme="minorHAnsi" w:hAnsiTheme="minorHAnsi" w:cs="Arial"/>
          <w:sz w:val="24"/>
          <w:szCs w:val="24"/>
          <w:lang w:val="es-MX"/>
        </w:rPr>
        <w:t xml:space="preserve">arbitraria </w:t>
      </w:r>
      <w:r w:rsidRPr="00950F94">
        <w:rPr>
          <w:rFonts w:asciiTheme="minorHAnsi" w:hAnsiTheme="minorHAnsi" w:cs="Arial"/>
          <w:sz w:val="24"/>
          <w:szCs w:val="24"/>
          <w:lang w:val="es-MX"/>
        </w:rPr>
        <w:t>de</w:t>
      </w:r>
      <w:r w:rsidRPr="00A448E7">
        <w:rPr>
          <w:rFonts w:asciiTheme="minorHAnsi" w:hAnsiTheme="minorHAnsi" w:cs="Arial"/>
          <w:sz w:val="24"/>
          <w:szCs w:val="24"/>
          <w:lang w:val="es-MX"/>
        </w:rPr>
        <w:t xml:space="preserve"> SPAM</w:t>
      </w:r>
      <w:r w:rsidR="00ED5A48" w:rsidRPr="00A448E7">
        <w:rPr>
          <w:rFonts w:asciiTheme="minorHAnsi" w:hAnsiTheme="minorHAnsi" w:cs="Arial"/>
          <w:sz w:val="24"/>
          <w:szCs w:val="24"/>
          <w:lang w:val="es-MX"/>
        </w:rPr>
        <w:t>,</w:t>
      </w:r>
      <w:r w:rsidRPr="00A448E7">
        <w:rPr>
          <w:rFonts w:asciiTheme="minorHAnsi" w:hAnsiTheme="minorHAnsi" w:cs="Arial"/>
          <w:sz w:val="24"/>
          <w:szCs w:val="24"/>
          <w:lang w:val="es-MX"/>
        </w:rPr>
        <w:t xml:space="preserve"> </w:t>
      </w:r>
      <w:r w:rsidR="00ED5A48" w:rsidRPr="00CC4482">
        <w:rPr>
          <w:rFonts w:asciiTheme="minorHAnsi" w:hAnsiTheme="minorHAnsi" w:cs="Arial"/>
          <w:sz w:val="24"/>
          <w:szCs w:val="24"/>
          <w:lang w:val="es-MX"/>
        </w:rPr>
        <w:t xml:space="preserve">que establece como SPAM el envío de un </w:t>
      </w:r>
      <w:r w:rsidRPr="00A448E7">
        <w:rPr>
          <w:rFonts w:asciiTheme="minorHAnsi" w:hAnsiTheme="minorHAnsi" w:cs="Arial"/>
          <w:sz w:val="24"/>
          <w:szCs w:val="24"/>
          <w:lang w:val="es-MX"/>
        </w:rPr>
        <w:t>determinado número de mensajes por</w:t>
      </w:r>
      <w:r w:rsidRPr="00764C58">
        <w:rPr>
          <w:rFonts w:asciiTheme="minorHAnsi" w:hAnsiTheme="minorHAnsi" w:cs="Arial"/>
          <w:sz w:val="24"/>
          <w:szCs w:val="24"/>
          <w:lang w:val="es-MX"/>
        </w:rPr>
        <w:t xml:space="preserve"> minuto</w:t>
      </w:r>
      <w:r w:rsidR="00ED5A48" w:rsidRPr="00764C58">
        <w:rPr>
          <w:rFonts w:asciiTheme="minorHAnsi" w:hAnsiTheme="minorHAnsi" w:cs="Arial"/>
          <w:sz w:val="24"/>
          <w:szCs w:val="24"/>
          <w:lang w:val="es-MX"/>
        </w:rPr>
        <w:t xml:space="preserve">, sin considerar </w:t>
      </w:r>
      <w:r w:rsidR="002E5A23">
        <w:rPr>
          <w:rFonts w:asciiTheme="minorHAnsi" w:hAnsiTheme="minorHAnsi" w:cs="Arial"/>
          <w:sz w:val="24"/>
          <w:szCs w:val="24"/>
          <w:lang w:val="es-MX"/>
        </w:rPr>
        <w:t>el</w:t>
      </w:r>
      <w:r w:rsidR="00ED5A48" w:rsidRPr="00764C58">
        <w:rPr>
          <w:rFonts w:asciiTheme="minorHAnsi" w:hAnsiTheme="minorHAnsi" w:cs="Arial"/>
          <w:sz w:val="24"/>
          <w:szCs w:val="24"/>
          <w:lang w:val="es-MX"/>
        </w:rPr>
        <w:t xml:space="preserve"> envío de mensajes no solicitados</w:t>
      </w:r>
      <w:r w:rsidR="00AF6A22" w:rsidRPr="00764C58">
        <w:rPr>
          <w:rFonts w:asciiTheme="minorHAnsi" w:hAnsiTheme="minorHAnsi" w:cs="Arial"/>
          <w:sz w:val="24"/>
          <w:szCs w:val="24"/>
          <w:lang w:val="es-MX"/>
        </w:rPr>
        <w:t>,</w:t>
      </w:r>
      <w:r w:rsidR="00ED5A48" w:rsidRPr="00764C58">
        <w:rPr>
          <w:rFonts w:asciiTheme="minorHAnsi" w:hAnsiTheme="minorHAnsi" w:cs="Arial"/>
          <w:sz w:val="24"/>
          <w:szCs w:val="24"/>
          <w:lang w:val="es-MX"/>
        </w:rPr>
        <w:t xml:space="preserve"> que es la práctica que debería estar sujeta a una regulación clara y objetiva.</w:t>
      </w:r>
      <w:r w:rsidR="00AF6A22" w:rsidRPr="00764C58">
        <w:rPr>
          <w:rFonts w:asciiTheme="minorHAnsi" w:hAnsiTheme="minorHAnsi" w:cs="Arial"/>
          <w:sz w:val="24"/>
          <w:szCs w:val="24"/>
          <w:lang w:val="es-MX"/>
        </w:rPr>
        <w:t xml:space="preserve"> La definición no es compatible con el uso actual de los SMS.</w:t>
      </w:r>
    </w:p>
    <w:p w14:paraId="0F622A23" w14:textId="77777777" w:rsidR="0046127F" w:rsidRPr="00764C58" w:rsidRDefault="0046127F" w:rsidP="0046127F">
      <w:pPr>
        <w:pStyle w:val="Prrafodelista"/>
        <w:tabs>
          <w:tab w:val="left" w:pos="567"/>
        </w:tabs>
        <w:spacing w:line="276" w:lineRule="auto"/>
        <w:ind w:left="360"/>
        <w:jc w:val="both"/>
        <w:rPr>
          <w:rFonts w:asciiTheme="minorHAnsi" w:hAnsiTheme="minorHAnsi" w:cs="Arial"/>
          <w:sz w:val="24"/>
          <w:szCs w:val="24"/>
          <w:lang w:val="es-MX"/>
        </w:rPr>
      </w:pPr>
    </w:p>
    <w:p w14:paraId="2CFD2A02" w14:textId="4FBF4CF0" w:rsidR="5010D3AE" w:rsidRDefault="0039175E" w:rsidP="0046127F">
      <w:pPr>
        <w:pStyle w:val="Prrafodelista"/>
        <w:numPr>
          <w:ilvl w:val="0"/>
          <w:numId w:val="6"/>
        </w:numPr>
        <w:tabs>
          <w:tab w:val="left" w:pos="567"/>
        </w:tabs>
        <w:spacing w:line="276" w:lineRule="auto"/>
        <w:jc w:val="both"/>
        <w:rPr>
          <w:rFonts w:asciiTheme="minorHAnsi" w:hAnsiTheme="minorHAnsi" w:cs="Arial"/>
          <w:sz w:val="24"/>
          <w:szCs w:val="24"/>
          <w:lang w:val="es-MX"/>
        </w:rPr>
      </w:pPr>
      <w:r>
        <w:rPr>
          <w:rFonts w:asciiTheme="minorHAnsi" w:hAnsiTheme="minorHAnsi" w:cs="Arial"/>
          <w:sz w:val="24"/>
          <w:szCs w:val="24"/>
          <w:lang w:val="es-MX"/>
        </w:rPr>
        <w:t>Im</w:t>
      </w:r>
      <w:r w:rsidR="00ED5A48" w:rsidRPr="00764C58">
        <w:rPr>
          <w:rFonts w:asciiTheme="minorHAnsi" w:hAnsiTheme="minorHAnsi" w:cs="Arial"/>
          <w:sz w:val="24"/>
          <w:szCs w:val="24"/>
          <w:lang w:val="es-MX"/>
        </w:rPr>
        <w:t xml:space="preserve">posibilidad de ofrecer el </w:t>
      </w:r>
      <w:r w:rsidR="00FC3476" w:rsidRPr="00764C58">
        <w:rPr>
          <w:rFonts w:asciiTheme="minorHAnsi" w:hAnsiTheme="minorHAnsi" w:cs="Arial"/>
          <w:sz w:val="24"/>
          <w:szCs w:val="24"/>
          <w:lang w:val="es-MX"/>
        </w:rPr>
        <w:t>envío</w:t>
      </w:r>
      <w:r w:rsidR="00ED5A48" w:rsidRPr="00764C58">
        <w:rPr>
          <w:rFonts w:asciiTheme="minorHAnsi" w:hAnsiTheme="minorHAnsi" w:cs="Arial"/>
          <w:sz w:val="24"/>
          <w:szCs w:val="24"/>
          <w:lang w:val="es-MX"/>
        </w:rPr>
        <w:t xml:space="preserve"> de mensajes mediante el u</w:t>
      </w:r>
      <w:r w:rsidR="00C36885" w:rsidRPr="00764C58">
        <w:rPr>
          <w:rFonts w:asciiTheme="minorHAnsi" w:hAnsiTheme="minorHAnsi" w:cs="Arial"/>
          <w:sz w:val="24"/>
          <w:szCs w:val="24"/>
          <w:lang w:val="es-MX"/>
        </w:rPr>
        <w:t xml:space="preserve">so de códigos cortos de 5 </w:t>
      </w:r>
      <w:r w:rsidR="00ED5A48" w:rsidRPr="00764C58">
        <w:rPr>
          <w:rFonts w:asciiTheme="minorHAnsi" w:hAnsiTheme="minorHAnsi" w:cs="Arial"/>
          <w:sz w:val="24"/>
          <w:szCs w:val="24"/>
          <w:lang w:val="es-MX"/>
        </w:rPr>
        <w:t>o</w:t>
      </w:r>
      <w:r w:rsidR="00C36885" w:rsidRPr="00764C58">
        <w:rPr>
          <w:rFonts w:asciiTheme="minorHAnsi" w:hAnsiTheme="minorHAnsi" w:cs="Arial"/>
          <w:sz w:val="24"/>
          <w:szCs w:val="24"/>
          <w:lang w:val="es-MX"/>
        </w:rPr>
        <w:t xml:space="preserve"> 6 dígitos</w:t>
      </w:r>
      <w:r w:rsidR="00FC3476" w:rsidRPr="00764C58">
        <w:rPr>
          <w:rFonts w:asciiTheme="minorHAnsi" w:hAnsiTheme="minorHAnsi" w:cs="Arial"/>
          <w:sz w:val="24"/>
          <w:szCs w:val="24"/>
          <w:lang w:val="es-MX"/>
        </w:rPr>
        <w:t>,</w:t>
      </w:r>
      <w:r w:rsidR="00C36885" w:rsidRPr="00764C58">
        <w:rPr>
          <w:rFonts w:asciiTheme="minorHAnsi" w:hAnsiTheme="minorHAnsi" w:cs="Arial"/>
          <w:sz w:val="24"/>
          <w:szCs w:val="24"/>
          <w:lang w:val="es-MX"/>
        </w:rPr>
        <w:t xml:space="preserve"> enmascarados</w:t>
      </w:r>
      <w:r w:rsidR="00FC3476" w:rsidRPr="00764C58">
        <w:rPr>
          <w:rFonts w:asciiTheme="minorHAnsi" w:hAnsiTheme="minorHAnsi" w:cs="Arial"/>
          <w:sz w:val="24"/>
          <w:szCs w:val="24"/>
          <w:lang w:val="es-MX"/>
        </w:rPr>
        <w:t xml:space="preserve"> o </w:t>
      </w:r>
      <w:r w:rsidR="00FC3476" w:rsidRPr="002E5A23">
        <w:rPr>
          <w:rFonts w:asciiTheme="minorHAnsi" w:hAnsiTheme="minorHAnsi" w:cs="Arial"/>
          <w:i/>
          <w:iCs/>
          <w:sz w:val="24"/>
          <w:szCs w:val="24"/>
          <w:lang w:val="es-MX"/>
        </w:rPr>
        <w:t>flash</w:t>
      </w:r>
      <w:r w:rsidR="00FC3476" w:rsidRPr="00764C58">
        <w:rPr>
          <w:rFonts w:asciiTheme="minorHAnsi" w:hAnsiTheme="minorHAnsi" w:cs="Arial"/>
          <w:sz w:val="24"/>
          <w:szCs w:val="24"/>
          <w:lang w:val="es-MX"/>
        </w:rPr>
        <w:t>, lo que s</w:t>
      </w:r>
      <w:r w:rsidR="00AF6A22" w:rsidRPr="00764C58">
        <w:rPr>
          <w:rFonts w:asciiTheme="minorHAnsi" w:hAnsiTheme="minorHAnsi" w:cs="Arial"/>
          <w:sz w:val="24"/>
          <w:szCs w:val="24"/>
          <w:lang w:val="es-MX"/>
        </w:rPr>
        <w:t>í</w:t>
      </w:r>
      <w:r w:rsidR="00FC3476" w:rsidRPr="00764C58">
        <w:rPr>
          <w:rFonts w:asciiTheme="minorHAnsi" w:hAnsiTheme="minorHAnsi" w:cs="Arial"/>
          <w:sz w:val="24"/>
          <w:szCs w:val="24"/>
          <w:lang w:val="es-MX"/>
        </w:rPr>
        <w:t xml:space="preserve"> </w:t>
      </w:r>
      <w:r w:rsidR="00AF6A22" w:rsidRPr="00764C58">
        <w:rPr>
          <w:rFonts w:asciiTheme="minorHAnsi" w:hAnsiTheme="minorHAnsi" w:cs="Arial"/>
          <w:sz w:val="24"/>
          <w:szCs w:val="24"/>
          <w:lang w:val="es-MX"/>
        </w:rPr>
        <w:t xml:space="preserve">pueden hacer </w:t>
      </w:r>
      <w:r w:rsidR="00FC3476" w:rsidRPr="00764C58">
        <w:rPr>
          <w:rFonts w:asciiTheme="minorHAnsi" w:hAnsiTheme="minorHAnsi" w:cs="Arial"/>
          <w:sz w:val="24"/>
          <w:szCs w:val="24"/>
          <w:lang w:val="es-MX"/>
        </w:rPr>
        <w:t>los concesionarios móviles.</w:t>
      </w:r>
    </w:p>
    <w:p w14:paraId="78F771BE" w14:textId="77777777" w:rsidR="0046127F" w:rsidRPr="00764C58" w:rsidRDefault="0046127F" w:rsidP="0046127F">
      <w:pPr>
        <w:pStyle w:val="Prrafodelista"/>
        <w:tabs>
          <w:tab w:val="left" w:pos="567"/>
        </w:tabs>
        <w:spacing w:line="276" w:lineRule="auto"/>
        <w:ind w:left="360"/>
        <w:jc w:val="both"/>
        <w:rPr>
          <w:rFonts w:asciiTheme="minorHAnsi" w:hAnsiTheme="minorHAnsi" w:cs="Arial"/>
          <w:sz w:val="24"/>
          <w:szCs w:val="24"/>
          <w:lang w:val="es-MX"/>
        </w:rPr>
      </w:pPr>
    </w:p>
    <w:p w14:paraId="2EF4CB4A" w14:textId="47E24956" w:rsidR="00833E20" w:rsidRPr="00E568E3" w:rsidRDefault="0082033B" w:rsidP="0046127F">
      <w:pPr>
        <w:pStyle w:val="Prrafodelista"/>
        <w:numPr>
          <w:ilvl w:val="0"/>
          <w:numId w:val="6"/>
        </w:numPr>
        <w:pBdr>
          <w:top w:val="nil"/>
          <w:left w:val="nil"/>
          <w:bottom w:val="nil"/>
          <w:right w:val="nil"/>
          <w:between w:val="nil"/>
        </w:pBdr>
        <w:tabs>
          <w:tab w:val="left" w:pos="567"/>
        </w:tabs>
        <w:spacing w:line="276" w:lineRule="auto"/>
        <w:jc w:val="both"/>
        <w:rPr>
          <w:rFonts w:eastAsia="Helvetica Neue"/>
          <w:color w:val="000000" w:themeColor="text1"/>
          <w:sz w:val="24"/>
          <w:szCs w:val="24"/>
          <w:lang w:val="es-MX"/>
        </w:rPr>
      </w:pPr>
      <w:r>
        <w:rPr>
          <w:rFonts w:asciiTheme="minorHAnsi" w:hAnsiTheme="minorHAnsi" w:cs="Arial"/>
          <w:sz w:val="24"/>
          <w:szCs w:val="24"/>
          <w:lang w:val="es-MX"/>
        </w:rPr>
        <w:t xml:space="preserve">Limitación en la </w:t>
      </w:r>
      <w:r w:rsidR="00FC3476" w:rsidRPr="00764C58">
        <w:rPr>
          <w:rFonts w:asciiTheme="minorHAnsi" w:hAnsiTheme="minorHAnsi" w:cs="Arial"/>
          <w:sz w:val="24"/>
          <w:szCs w:val="24"/>
          <w:lang w:val="es-MX"/>
        </w:rPr>
        <w:t>c</w:t>
      </w:r>
      <w:r w:rsidR="00C36885" w:rsidRPr="00764C58">
        <w:rPr>
          <w:rFonts w:asciiTheme="minorHAnsi" w:hAnsiTheme="minorHAnsi" w:cs="Arial"/>
          <w:sz w:val="24"/>
          <w:szCs w:val="24"/>
          <w:lang w:val="es-MX"/>
        </w:rPr>
        <w:t>apacidad y redundancia de los enlaces de interconexión para intercambio de SMS</w:t>
      </w:r>
      <w:r w:rsidR="00833E20" w:rsidRPr="00764C58">
        <w:rPr>
          <w:rFonts w:asciiTheme="minorHAnsi" w:hAnsiTheme="minorHAnsi" w:cs="Arial"/>
          <w:sz w:val="24"/>
          <w:szCs w:val="24"/>
          <w:lang w:val="es-MX"/>
        </w:rPr>
        <w:t>.</w:t>
      </w:r>
    </w:p>
    <w:p w14:paraId="257540B7" w14:textId="5A4386BB" w:rsidR="00764C58" w:rsidRPr="00764C58" w:rsidRDefault="00764C58" w:rsidP="00764C58">
      <w:pPr>
        <w:pStyle w:val="Prrafodelista"/>
        <w:spacing w:after="120"/>
        <w:jc w:val="both"/>
        <w:rPr>
          <w:sz w:val="24"/>
          <w:szCs w:val="24"/>
        </w:rPr>
      </w:pPr>
    </w:p>
    <w:p w14:paraId="1E408473" w14:textId="2EE7C3E9" w:rsidR="00764C58" w:rsidRPr="00764C58" w:rsidRDefault="00764C58" w:rsidP="00764C58">
      <w:pPr>
        <w:pStyle w:val="Prrafodelista"/>
        <w:numPr>
          <w:ilvl w:val="0"/>
          <w:numId w:val="9"/>
        </w:numPr>
        <w:spacing w:after="120" w:line="276" w:lineRule="auto"/>
        <w:jc w:val="both"/>
        <w:rPr>
          <w:b/>
          <w:sz w:val="24"/>
          <w:szCs w:val="24"/>
          <w:u w:val="single"/>
        </w:rPr>
      </w:pPr>
      <w:r w:rsidRPr="00764C58">
        <w:rPr>
          <w:b/>
          <w:sz w:val="24"/>
          <w:szCs w:val="24"/>
          <w:u w:val="single"/>
        </w:rPr>
        <w:t>Recomendaci</w:t>
      </w:r>
      <w:r w:rsidR="00690C1B">
        <w:rPr>
          <w:b/>
          <w:sz w:val="24"/>
          <w:szCs w:val="24"/>
          <w:u w:val="single"/>
        </w:rPr>
        <w:t>ones</w:t>
      </w:r>
    </w:p>
    <w:p w14:paraId="6B8E20C2" w14:textId="36641A2D" w:rsidR="00764C58" w:rsidRPr="00764C58" w:rsidRDefault="00764C58" w:rsidP="00764C58">
      <w:pPr>
        <w:pStyle w:val="Prrafodelista"/>
        <w:spacing w:after="120" w:line="276" w:lineRule="auto"/>
        <w:jc w:val="both"/>
        <w:rPr>
          <w:b/>
          <w:sz w:val="24"/>
          <w:szCs w:val="24"/>
          <w:u w:val="single"/>
        </w:rPr>
      </w:pPr>
    </w:p>
    <w:p w14:paraId="49A0E354" w14:textId="7396137A" w:rsidR="00950F94" w:rsidRPr="008F4D9E" w:rsidRDefault="00804144" w:rsidP="008F4D9E">
      <w:pPr>
        <w:spacing w:after="120" w:line="276" w:lineRule="auto"/>
        <w:ind w:left="360" w:hanging="360"/>
        <w:jc w:val="both"/>
        <w:rPr>
          <w:rFonts w:eastAsia="Helvetica Neue"/>
          <w:color w:val="000000" w:themeColor="text1"/>
          <w:sz w:val="24"/>
          <w:szCs w:val="24"/>
        </w:rPr>
      </w:pPr>
      <w:r>
        <w:rPr>
          <w:rFonts w:eastAsia="Helvetica Neue"/>
          <w:color w:val="000000" w:themeColor="text1"/>
          <w:sz w:val="24"/>
          <w:szCs w:val="24"/>
        </w:rPr>
        <w:t xml:space="preserve">6. </w:t>
      </w:r>
      <w:r w:rsidR="008F4D9E">
        <w:rPr>
          <w:rFonts w:eastAsia="Helvetica Neue"/>
          <w:color w:val="000000" w:themeColor="text1"/>
          <w:sz w:val="24"/>
          <w:szCs w:val="24"/>
        </w:rPr>
        <w:tab/>
      </w:r>
      <w:r w:rsidR="0578549B" w:rsidRPr="00764C58">
        <w:rPr>
          <w:rFonts w:eastAsia="Helvetica Neue"/>
          <w:color w:val="000000" w:themeColor="text1"/>
          <w:sz w:val="24"/>
          <w:szCs w:val="24"/>
        </w:rPr>
        <w:t xml:space="preserve">Este Consejo Consultivo recomienda al Pleno del Instituto Federal de Telecomunicaciones que se mejore la regulación </w:t>
      </w:r>
      <w:r w:rsidR="002E5A23">
        <w:rPr>
          <w:rFonts w:eastAsia="Helvetica Neue"/>
          <w:color w:val="000000" w:themeColor="text1"/>
          <w:sz w:val="24"/>
          <w:szCs w:val="24"/>
        </w:rPr>
        <w:t xml:space="preserve">aplicable </w:t>
      </w:r>
      <w:r w:rsidR="0578549B" w:rsidRPr="00764C58">
        <w:rPr>
          <w:rFonts w:eastAsia="Helvetica Neue"/>
          <w:color w:val="000000" w:themeColor="text1"/>
          <w:sz w:val="24"/>
          <w:szCs w:val="24"/>
        </w:rPr>
        <w:t xml:space="preserve">al Servicio de Mensajes Cortos (SMS) </w:t>
      </w:r>
      <w:r w:rsidR="4C4154A0" w:rsidRPr="00764C58">
        <w:rPr>
          <w:rFonts w:eastAsia="Helvetica Neue"/>
          <w:color w:val="000000" w:themeColor="text1"/>
          <w:sz w:val="24"/>
          <w:szCs w:val="24"/>
        </w:rPr>
        <w:t>para que los servicios de A2P</w:t>
      </w:r>
      <w:r w:rsidR="002E5A23">
        <w:rPr>
          <w:rFonts w:eastAsia="Helvetica Neue"/>
          <w:color w:val="000000" w:themeColor="text1"/>
          <w:sz w:val="24"/>
          <w:szCs w:val="24"/>
        </w:rPr>
        <w:t xml:space="preserve"> puedan ser ofertados sin estar sujetos a </w:t>
      </w:r>
      <w:r w:rsidR="002E5A23">
        <w:rPr>
          <w:rFonts w:eastAsia="Helvetica Neue"/>
          <w:color w:val="000000" w:themeColor="text1"/>
          <w:sz w:val="24"/>
          <w:szCs w:val="24"/>
        </w:rPr>
        <w:lastRenderedPageBreak/>
        <w:t>reglas que no estén debidamente sustentadas en razones técnicas u operativas</w:t>
      </w:r>
      <w:r w:rsidR="001E281C">
        <w:rPr>
          <w:rFonts w:eastAsia="Helvetica Neue"/>
          <w:color w:val="000000" w:themeColor="text1"/>
          <w:sz w:val="24"/>
          <w:szCs w:val="24"/>
        </w:rPr>
        <w:t>,</w:t>
      </w:r>
      <w:r w:rsidR="4C4154A0" w:rsidRPr="00764C58">
        <w:rPr>
          <w:rFonts w:eastAsia="Helvetica Neue"/>
          <w:color w:val="000000" w:themeColor="text1"/>
          <w:sz w:val="24"/>
          <w:szCs w:val="24"/>
        </w:rPr>
        <w:t xml:space="preserve"> </w:t>
      </w:r>
      <w:r w:rsidR="00F30BB0">
        <w:rPr>
          <w:rFonts w:eastAsia="Helvetica Neue"/>
          <w:color w:val="000000" w:themeColor="text1"/>
          <w:sz w:val="24"/>
          <w:szCs w:val="24"/>
        </w:rPr>
        <w:t>considerando las mej</w:t>
      </w:r>
      <w:r w:rsidR="00EB1E90">
        <w:rPr>
          <w:rFonts w:eastAsia="Helvetica Neue"/>
          <w:color w:val="000000" w:themeColor="text1"/>
          <w:sz w:val="24"/>
          <w:szCs w:val="24"/>
        </w:rPr>
        <w:t>o</w:t>
      </w:r>
      <w:r w:rsidR="00F30BB0">
        <w:rPr>
          <w:rFonts w:eastAsia="Helvetica Neue"/>
          <w:color w:val="000000" w:themeColor="text1"/>
          <w:sz w:val="24"/>
          <w:szCs w:val="24"/>
        </w:rPr>
        <w:t>res prácticas internacionales</w:t>
      </w:r>
      <w:r w:rsidR="00BD24BA">
        <w:rPr>
          <w:rFonts w:eastAsia="Helvetica Neue"/>
          <w:color w:val="000000" w:themeColor="text1"/>
          <w:sz w:val="24"/>
          <w:szCs w:val="24"/>
        </w:rPr>
        <w:t xml:space="preserve">. </w:t>
      </w:r>
      <w:r w:rsidR="0046127F">
        <w:rPr>
          <w:rFonts w:eastAsia="Helvetica Neue"/>
          <w:color w:val="000000" w:themeColor="text1"/>
          <w:sz w:val="24"/>
          <w:szCs w:val="24"/>
        </w:rPr>
        <w:t>E</w:t>
      </w:r>
      <w:r w:rsidR="0076763F">
        <w:rPr>
          <w:rFonts w:eastAsia="Helvetica Neue"/>
          <w:color w:val="000000" w:themeColor="text1"/>
          <w:sz w:val="24"/>
          <w:szCs w:val="24"/>
        </w:rPr>
        <w:t xml:space="preserve">n particular </w:t>
      </w:r>
      <w:r w:rsidR="00EC0FE2">
        <w:rPr>
          <w:rFonts w:eastAsia="Helvetica Neue"/>
          <w:color w:val="000000" w:themeColor="text1"/>
          <w:sz w:val="24"/>
          <w:szCs w:val="24"/>
        </w:rPr>
        <w:t>recomendamos</w:t>
      </w:r>
      <w:r w:rsidR="0076763F">
        <w:rPr>
          <w:rFonts w:eastAsia="Helvetica Neue"/>
          <w:color w:val="000000" w:themeColor="text1"/>
          <w:sz w:val="24"/>
          <w:szCs w:val="24"/>
        </w:rPr>
        <w:t xml:space="preserve"> que:</w:t>
      </w:r>
      <w:r w:rsidR="1AE1367B" w:rsidRPr="00764C58">
        <w:rPr>
          <w:rFonts w:eastAsia="Helvetica Neue"/>
          <w:color w:val="000000" w:themeColor="text1"/>
          <w:sz w:val="24"/>
          <w:szCs w:val="24"/>
        </w:rPr>
        <w:t xml:space="preserve"> </w:t>
      </w:r>
    </w:p>
    <w:p w14:paraId="5377A97B" w14:textId="11BF903A" w:rsidR="0046127F" w:rsidRPr="00764C58" w:rsidRDefault="00764C58" w:rsidP="008F4D9E">
      <w:pPr>
        <w:pBdr>
          <w:top w:val="nil"/>
          <w:left w:val="nil"/>
          <w:bottom w:val="nil"/>
          <w:right w:val="nil"/>
          <w:between w:val="nil"/>
        </w:pBdr>
        <w:spacing w:after="120" w:line="276" w:lineRule="auto"/>
        <w:ind w:left="360"/>
        <w:jc w:val="both"/>
        <w:rPr>
          <w:rFonts w:eastAsia="Helvetica Neue"/>
          <w:color w:val="000000" w:themeColor="text1"/>
          <w:sz w:val="24"/>
          <w:szCs w:val="24"/>
        </w:rPr>
      </w:pPr>
      <w:r w:rsidRPr="00764C58">
        <w:rPr>
          <w:rFonts w:eastAsia="Helvetica Neue"/>
          <w:b/>
          <w:color w:val="000000" w:themeColor="text1"/>
          <w:sz w:val="24"/>
          <w:szCs w:val="24"/>
        </w:rPr>
        <w:t>Primero</w:t>
      </w:r>
      <w:r w:rsidR="1AE1367B" w:rsidRPr="00764C58">
        <w:rPr>
          <w:rFonts w:eastAsia="Helvetica Neue"/>
          <w:b/>
          <w:color w:val="000000" w:themeColor="text1"/>
          <w:sz w:val="24"/>
          <w:szCs w:val="24"/>
        </w:rPr>
        <w:t>.</w:t>
      </w:r>
      <w:r w:rsidR="1AE1367B" w:rsidRPr="00764C58">
        <w:rPr>
          <w:rFonts w:eastAsia="Helvetica Neue"/>
          <w:color w:val="000000" w:themeColor="text1"/>
          <w:sz w:val="24"/>
          <w:szCs w:val="24"/>
        </w:rPr>
        <w:t xml:space="preserve"> </w:t>
      </w:r>
      <w:r w:rsidR="757675F6" w:rsidRPr="00764C58">
        <w:rPr>
          <w:rFonts w:eastAsia="Helvetica Neue"/>
          <w:color w:val="000000" w:themeColor="text1"/>
          <w:sz w:val="24"/>
          <w:szCs w:val="24"/>
        </w:rPr>
        <w:t>Se incluya en los lineamientos correspondientes y resoluciones en la materia la definición del servicio A2P para establecer un lenguaje común entre los a</w:t>
      </w:r>
      <w:r w:rsidR="5A276900" w:rsidRPr="00764C58">
        <w:rPr>
          <w:rFonts w:eastAsia="Helvetica Neue"/>
          <w:color w:val="000000" w:themeColor="text1"/>
          <w:sz w:val="24"/>
          <w:szCs w:val="24"/>
        </w:rPr>
        <w:t xml:space="preserve">ctores en el mercado de SMS. </w:t>
      </w:r>
    </w:p>
    <w:p w14:paraId="6DE5B68B" w14:textId="245C2334" w:rsidR="0046127F" w:rsidRPr="00764C58" w:rsidRDefault="00764C58" w:rsidP="008F4D9E">
      <w:pPr>
        <w:pBdr>
          <w:top w:val="nil"/>
          <w:left w:val="nil"/>
          <w:bottom w:val="nil"/>
          <w:right w:val="nil"/>
          <w:between w:val="nil"/>
        </w:pBdr>
        <w:spacing w:after="120" w:line="276" w:lineRule="auto"/>
        <w:ind w:left="360"/>
        <w:jc w:val="both"/>
        <w:rPr>
          <w:rFonts w:eastAsia="Helvetica Neue"/>
          <w:color w:val="000000" w:themeColor="text1"/>
          <w:sz w:val="24"/>
          <w:szCs w:val="24"/>
        </w:rPr>
      </w:pPr>
      <w:r w:rsidRPr="00764C58">
        <w:rPr>
          <w:rFonts w:eastAsia="Helvetica Neue"/>
          <w:b/>
          <w:color w:val="000000" w:themeColor="text1"/>
          <w:sz w:val="24"/>
          <w:szCs w:val="24"/>
        </w:rPr>
        <w:t>Segundo</w:t>
      </w:r>
      <w:r w:rsidR="5A276900" w:rsidRPr="00764C58">
        <w:rPr>
          <w:rFonts w:eastAsia="Helvetica Neue"/>
          <w:b/>
          <w:color w:val="000000" w:themeColor="text1"/>
          <w:sz w:val="24"/>
          <w:szCs w:val="24"/>
        </w:rPr>
        <w:t>.</w:t>
      </w:r>
      <w:r w:rsidR="5A276900" w:rsidRPr="00764C58">
        <w:rPr>
          <w:rFonts w:eastAsia="Helvetica Neue"/>
          <w:color w:val="000000" w:themeColor="text1"/>
          <w:sz w:val="24"/>
          <w:szCs w:val="24"/>
        </w:rPr>
        <w:t xml:space="preserve"> </w:t>
      </w:r>
      <w:r w:rsidR="001526E9" w:rsidRPr="00764C58">
        <w:rPr>
          <w:rFonts w:eastAsia="Helvetica Neue"/>
          <w:color w:val="000000" w:themeColor="text1"/>
          <w:sz w:val="24"/>
          <w:szCs w:val="24"/>
        </w:rPr>
        <w:t xml:space="preserve">Se </w:t>
      </w:r>
      <w:r w:rsidR="08429668" w:rsidRPr="00764C58">
        <w:rPr>
          <w:rFonts w:eastAsia="Helvetica Neue"/>
          <w:color w:val="000000" w:themeColor="text1"/>
          <w:sz w:val="24"/>
          <w:szCs w:val="24"/>
        </w:rPr>
        <w:t>indique en los lineamientos correspondientes</w:t>
      </w:r>
      <w:r w:rsidR="6BDEA222" w:rsidRPr="00764C58">
        <w:rPr>
          <w:rFonts w:eastAsia="Helvetica Neue"/>
          <w:color w:val="000000" w:themeColor="text1"/>
          <w:sz w:val="24"/>
          <w:szCs w:val="24"/>
        </w:rPr>
        <w:t xml:space="preserve"> </w:t>
      </w:r>
      <w:r w:rsidR="08429668" w:rsidRPr="00764C58">
        <w:rPr>
          <w:rFonts w:eastAsia="Helvetica Neue"/>
          <w:color w:val="000000" w:themeColor="text1"/>
          <w:sz w:val="24"/>
          <w:szCs w:val="24"/>
        </w:rPr>
        <w:t xml:space="preserve">la especificación de mensajes no deseados (SPAM) </w:t>
      </w:r>
      <w:r w:rsidR="72D4C25E" w:rsidRPr="00764C58">
        <w:rPr>
          <w:rFonts w:eastAsia="Helvetica Neue"/>
          <w:color w:val="000000" w:themeColor="text1"/>
          <w:sz w:val="24"/>
          <w:szCs w:val="24"/>
        </w:rPr>
        <w:t xml:space="preserve">y se indiquen los límites cuantitativos de periodicidad </w:t>
      </w:r>
      <w:r w:rsidR="15DFB3C6" w:rsidRPr="00764C58">
        <w:rPr>
          <w:rFonts w:eastAsia="Helvetica Neue"/>
          <w:color w:val="000000" w:themeColor="text1"/>
          <w:sz w:val="24"/>
          <w:szCs w:val="24"/>
        </w:rPr>
        <w:t xml:space="preserve">y longitud </w:t>
      </w:r>
      <w:r w:rsidR="72D4C25E" w:rsidRPr="00764C58">
        <w:rPr>
          <w:rFonts w:eastAsia="Helvetica Neue"/>
          <w:color w:val="000000" w:themeColor="text1"/>
          <w:sz w:val="24"/>
          <w:szCs w:val="24"/>
        </w:rPr>
        <w:t>de los mismos en servicios de A2P.</w:t>
      </w:r>
    </w:p>
    <w:p w14:paraId="2EB9A5A7" w14:textId="77777777" w:rsidR="00DA2F3A" w:rsidRDefault="00764C58" w:rsidP="00DA2F3A">
      <w:pPr>
        <w:pBdr>
          <w:top w:val="nil"/>
          <w:left w:val="nil"/>
          <w:bottom w:val="nil"/>
          <w:right w:val="nil"/>
          <w:between w:val="nil"/>
        </w:pBdr>
        <w:spacing w:after="120" w:line="276" w:lineRule="auto"/>
        <w:ind w:left="360"/>
        <w:jc w:val="both"/>
        <w:rPr>
          <w:rFonts w:asciiTheme="minorHAnsi" w:hAnsiTheme="minorHAnsi" w:cs="Arial"/>
          <w:sz w:val="24"/>
          <w:szCs w:val="24"/>
          <w:lang w:val="es-MX"/>
        </w:rPr>
      </w:pPr>
      <w:r w:rsidRPr="00764C58">
        <w:rPr>
          <w:rFonts w:eastAsia="Helvetica Neue"/>
          <w:b/>
          <w:color w:val="000000" w:themeColor="text1"/>
          <w:sz w:val="24"/>
          <w:szCs w:val="24"/>
        </w:rPr>
        <w:t>Tercero</w:t>
      </w:r>
      <w:r w:rsidR="76F23E00" w:rsidRPr="00764C58">
        <w:rPr>
          <w:rFonts w:eastAsia="Helvetica Neue"/>
          <w:b/>
          <w:color w:val="000000" w:themeColor="text1"/>
          <w:sz w:val="24"/>
          <w:szCs w:val="24"/>
        </w:rPr>
        <w:t>.</w:t>
      </w:r>
      <w:r w:rsidR="76F23E00" w:rsidRPr="00764C58">
        <w:rPr>
          <w:rFonts w:eastAsia="Helvetica Neue"/>
          <w:color w:val="000000" w:themeColor="text1"/>
          <w:sz w:val="24"/>
          <w:szCs w:val="24"/>
        </w:rPr>
        <w:t xml:space="preserve"> Se eliminen las </w:t>
      </w:r>
      <w:r w:rsidR="00A60914">
        <w:rPr>
          <w:rFonts w:eastAsia="Helvetica Neue"/>
          <w:color w:val="000000" w:themeColor="text1"/>
          <w:sz w:val="24"/>
          <w:szCs w:val="24"/>
        </w:rPr>
        <w:t xml:space="preserve">restricciones </w:t>
      </w:r>
      <w:r w:rsidR="76F23E00" w:rsidRPr="00764C58">
        <w:rPr>
          <w:rFonts w:eastAsia="Helvetica Neue"/>
          <w:color w:val="000000" w:themeColor="text1"/>
          <w:sz w:val="24"/>
          <w:szCs w:val="24"/>
        </w:rPr>
        <w:t xml:space="preserve">para que cualquier concesionario de telecomunicaciones pueda ofrecer a sus clientes códigos cortos </w:t>
      </w:r>
      <w:r w:rsidR="76F23E00" w:rsidRPr="00764C58">
        <w:rPr>
          <w:rFonts w:asciiTheme="minorHAnsi" w:hAnsiTheme="minorHAnsi" w:cs="Arial"/>
          <w:sz w:val="24"/>
          <w:szCs w:val="24"/>
          <w:lang w:val="es-MX"/>
        </w:rPr>
        <w:t xml:space="preserve">de 5 o 6 dígitos, enmascarados o </w:t>
      </w:r>
      <w:r w:rsidR="76F23E00" w:rsidRPr="00EC0FE2">
        <w:rPr>
          <w:rFonts w:asciiTheme="minorHAnsi" w:hAnsiTheme="minorHAnsi" w:cs="Arial"/>
          <w:i/>
          <w:iCs/>
          <w:sz w:val="24"/>
          <w:szCs w:val="24"/>
          <w:lang w:val="es-MX"/>
        </w:rPr>
        <w:t>flash</w:t>
      </w:r>
      <w:r w:rsidR="76F23E00" w:rsidRPr="00764C58">
        <w:rPr>
          <w:rFonts w:asciiTheme="minorHAnsi" w:hAnsiTheme="minorHAnsi" w:cs="Arial"/>
          <w:sz w:val="24"/>
          <w:szCs w:val="24"/>
          <w:lang w:val="es-MX"/>
        </w:rPr>
        <w:t>.</w:t>
      </w:r>
      <w:r w:rsidR="1F924966" w:rsidRPr="00764C58">
        <w:rPr>
          <w:rFonts w:asciiTheme="minorHAnsi" w:hAnsiTheme="minorHAnsi" w:cs="Arial"/>
          <w:sz w:val="24"/>
          <w:szCs w:val="24"/>
          <w:lang w:val="es-MX"/>
        </w:rPr>
        <w:t xml:space="preserve"> </w:t>
      </w:r>
      <w:r w:rsidR="1F924966" w:rsidRPr="00950F94">
        <w:rPr>
          <w:rFonts w:asciiTheme="minorHAnsi" w:hAnsiTheme="minorHAnsi" w:cs="Arial"/>
          <w:sz w:val="24"/>
          <w:szCs w:val="24"/>
          <w:lang w:val="es-MX"/>
        </w:rPr>
        <w:t xml:space="preserve">En particular, se recomienda revisar y adoptar las mejores prácticas propuestas por la Asociación de </w:t>
      </w:r>
      <w:r w:rsidR="00AF6A22" w:rsidRPr="00950F94">
        <w:rPr>
          <w:rFonts w:asciiTheme="minorHAnsi" w:hAnsiTheme="minorHAnsi" w:cs="Arial"/>
          <w:sz w:val="24"/>
          <w:szCs w:val="24"/>
          <w:lang w:val="es-MX"/>
        </w:rPr>
        <w:t xml:space="preserve">Operadores </w:t>
      </w:r>
      <w:r w:rsidR="1F924966" w:rsidRPr="00950F94">
        <w:rPr>
          <w:rFonts w:asciiTheme="minorHAnsi" w:hAnsiTheme="minorHAnsi" w:cs="Arial"/>
          <w:sz w:val="24"/>
          <w:szCs w:val="24"/>
          <w:lang w:val="es-MX"/>
        </w:rPr>
        <w:t>Inalámbricos (CTIA) en E</w:t>
      </w:r>
      <w:r w:rsidR="00AF6A22" w:rsidRPr="00950F94">
        <w:rPr>
          <w:rFonts w:asciiTheme="minorHAnsi" w:hAnsiTheme="minorHAnsi" w:cs="Arial"/>
          <w:sz w:val="24"/>
          <w:szCs w:val="24"/>
          <w:lang w:val="es-MX"/>
        </w:rPr>
        <w:t>stados Unidos</w:t>
      </w:r>
      <w:r w:rsidR="408766AC" w:rsidRPr="00950F94">
        <w:rPr>
          <w:rFonts w:asciiTheme="minorHAnsi" w:hAnsiTheme="minorHAnsi" w:cs="Arial"/>
          <w:sz w:val="24"/>
          <w:szCs w:val="24"/>
          <w:lang w:val="es-MX"/>
        </w:rPr>
        <w:t xml:space="preserve"> r</w:t>
      </w:r>
      <w:r w:rsidR="1F924966" w:rsidRPr="00950F94">
        <w:rPr>
          <w:rFonts w:asciiTheme="minorHAnsi" w:hAnsiTheme="minorHAnsi" w:cs="Arial"/>
          <w:sz w:val="24"/>
          <w:szCs w:val="24"/>
          <w:lang w:val="es-MX"/>
        </w:rPr>
        <w:t xml:space="preserve">especto al servicio de </w:t>
      </w:r>
      <w:r w:rsidR="5241386D" w:rsidRPr="00950F94">
        <w:rPr>
          <w:rFonts w:asciiTheme="minorHAnsi" w:hAnsiTheme="minorHAnsi" w:cs="Arial"/>
          <w:sz w:val="24"/>
          <w:szCs w:val="24"/>
          <w:lang w:val="es-MX"/>
        </w:rPr>
        <w:t>SMS para</w:t>
      </w:r>
      <w:r w:rsidR="77383B51" w:rsidRPr="00950F94">
        <w:rPr>
          <w:rFonts w:asciiTheme="minorHAnsi" w:hAnsiTheme="minorHAnsi" w:cs="Arial"/>
          <w:sz w:val="24"/>
          <w:szCs w:val="24"/>
          <w:lang w:val="es-MX"/>
        </w:rPr>
        <w:t xml:space="preserve"> A2P.</w:t>
      </w:r>
    </w:p>
    <w:p w14:paraId="6D226571" w14:textId="398B43ED" w:rsidR="00AC16F4" w:rsidRPr="00044C5D" w:rsidRDefault="00DA2F3A" w:rsidP="00DA2F3A">
      <w:pPr>
        <w:pBdr>
          <w:top w:val="nil"/>
          <w:left w:val="nil"/>
          <w:bottom w:val="nil"/>
          <w:right w:val="nil"/>
          <w:between w:val="nil"/>
        </w:pBdr>
        <w:spacing w:after="120" w:line="276" w:lineRule="auto"/>
        <w:ind w:left="360"/>
        <w:jc w:val="both"/>
        <w:rPr>
          <w:sz w:val="24"/>
          <w:szCs w:val="24"/>
        </w:rPr>
      </w:pPr>
      <w:r w:rsidRPr="00044C5D">
        <w:rPr>
          <w:sz w:val="24"/>
          <w:szCs w:val="24"/>
        </w:rPr>
        <w:t xml:space="preserve"> </w:t>
      </w:r>
    </w:p>
    <w:p w14:paraId="1D6656F4" w14:textId="77777777" w:rsidR="00044C5D" w:rsidRPr="00044C5D" w:rsidRDefault="00044C5D" w:rsidP="00044C5D">
      <w:pPr>
        <w:autoSpaceDE w:val="0"/>
        <w:autoSpaceDN w:val="0"/>
        <w:adjustRightInd w:val="0"/>
        <w:jc w:val="center"/>
        <w:rPr>
          <w:b/>
          <w:bCs/>
          <w:sz w:val="24"/>
          <w:szCs w:val="24"/>
        </w:rPr>
      </w:pPr>
      <w:r w:rsidRPr="00044C5D">
        <w:rPr>
          <w:b/>
          <w:bCs/>
          <w:sz w:val="24"/>
          <w:szCs w:val="24"/>
        </w:rPr>
        <w:t xml:space="preserve">Dr. Ernesto M. Flores-Roux </w:t>
      </w:r>
    </w:p>
    <w:p w14:paraId="1B809BCE" w14:textId="3068201D" w:rsidR="00044C5D" w:rsidRDefault="00044C5D" w:rsidP="00044C5D">
      <w:pPr>
        <w:autoSpaceDE w:val="0"/>
        <w:autoSpaceDN w:val="0"/>
        <w:adjustRightInd w:val="0"/>
        <w:jc w:val="center"/>
        <w:rPr>
          <w:b/>
          <w:bCs/>
          <w:sz w:val="24"/>
          <w:szCs w:val="24"/>
        </w:rPr>
      </w:pPr>
      <w:r w:rsidRPr="00044C5D">
        <w:rPr>
          <w:b/>
          <w:bCs/>
          <w:sz w:val="24"/>
          <w:szCs w:val="24"/>
        </w:rPr>
        <w:t>Presidente</w:t>
      </w:r>
    </w:p>
    <w:p w14:paraId="058F0684" w14:textId="4CC66E32" w:rsidR="00AC16F4" w:rsidRPr="00044C5D" w:rsidRDefault="00AC16F4" w:rsidP="00044C5D">
      <w:pPr>
        <w:autoSpaceDE w:val="0"/>
        <w:autoSpaceDN w:val="0"/>
        <w:adjustRightInd w:val="0"/>
        <w:jc w:val="center"/>
        <w:rPr>
          <w:b/>
          <w:bCs/>
          <w:sz w:val="24"/>
          <w:szCs w:val="24"/>
        </w:rPr>
      </w:pPr>
    </w:p>
    <w:p w14:paraId="398857B8" w14:textId="77777777" w:rsidR="00044C5D" w:rsidRPr="00044C5D" w:rsidRDefault="00044C5D" w:rsidP="00044C5D">
      <w:pPr>
        <w:autoSpaceDE w:val="0"/>
        <w:autoSpaceDN w:val="0"/>
        <w:adjustRightInd w:val="0"/>
        <w:rPr>
          <w:b/>
          <w:bCs/>
          <w:sz w:val="24"/>
          <w:szCs w:val="24"/>
        </w:rPr>
      </w:pPr>
      <w:bookmarkStart w:id="0" w:name="_GoBack"/>
      <w:bookmarkEnd w:id="0"/>
    </w:p>
    <w:p w14:paraId="3E9A0403" w14:textId="77777777" w:rsidR="00044C5D" w:rsidRPr="00044C5D" w:rsidRDefault="00044C5D" w:rsidP="00044C5D">
      <w:pPr>
        <w:autoSpaceDE w:val="0"/>
        <w:autoSpaceDN w:val="0"/>
        <w:adjustRightInd w:val="0"/>
        <w:jc w:val="center"/>
        <w:rPr>
          <w:b/>
          <w:bCs/>
          <w:sz w:val="24"/>
          <w:szCs w:val="24"/>
        </w:rPr>
      </w:pPr>
      <w:r w:rsidRPr="00044C5D">
        <w:rPr>
          <w:b/>
          <w:bCs/>
          <w:sz w:val="24"/>
          <w:szCs w:val="24"/>
        </w:rPr>
        <w:t>Lic. Juan José Crispín Borbolla</w:t>
      </w:r>
    </w:p>
    <w:p w14:paraId="64704AD3" w14:textId="76BE8BE1" w:rsidR="00AC16F4" w:rsidRPr="00DA2F3A" w:rsidRDefault="00044C5D" w:rsidP="00DA2F3A">
      <w:pPr>
        <w:autoSpaceDE w:val="0"/>
        <w:autoSpaceDN w:val="0"/>
        <w:adjustRightInd w:val="0"/>
        <w:jc w:val="center"/>
        <w:rPr>
          <w:b/>
          <w:bCs/>
          <w:sz w:val="24"/>
          <w:szCs w:val="24"/>
        </w:rPr>
      </w:pPr>
      <w:r w:rsidRPr="00044C5D">
        <w:rPr>
          <w:b/>
          <w:bCs/>
          <w:sz w:val="24"/>
          <w:szCs w:val="24"/>
        </w:rPr>
        <w:t>Secretario</w:t>
      </w:r>
    </w:p>
    <w:p w14:paraId="7ACC3352" w14:textId="758FD6FB" w:rsidR="00AC16F4" w:rsidRDefault="00AC16F4" w:rsidP="00044C5D">
      <w:pPr>
        <w:jc w:val="both"/>
        <w:rPr>
          <w:b/>
          <w:bCs/>
          <w:sz w:val="14"/>
          <w:szCs w:val="14"/>
        </w:rPr>
      </w:pPr>
    </w:p>
    <w:p w14:paraId="622AF641" w14:textId="1EEEEF5B" w:rsidR="00CE7208" w:rsidRDefault="00CE7208" w:rsidP="00044C5D">
      <w:pPr>
        <w:jc w:val="both"/>
        <w:rPr>
          <w:sz w:val="14"/>
          <w:szCs w:val="14"/>
        </w:rPr>
      </w:pPr>
    </w:p>
    <w:p w14:paraId="4CD1C015" w14:textId="36C213F2" w:rsidR="00044C5D" w:rsidRDefault="00044C5D" w:rsidP="00044C5D">
      <w:pPr>
        <w:jc w:val="both"/>
        <w:rPr>
          <w:sz w:val="14"/>
          <w:szCs w:val="14"/>
        </w:rPr>
      </w:pPr>
      <w:r w:rsidRPr="00196154">
        <w:rPr>
          <w:sz w:val="14"/>
          <w:szCs w:val="14"/>
        </w:rPr>
        <w:t>La Rec</w:t>
      </w:r>
      <w:r>
        <w:rPr>
          <w:sz w:val="14"/>
          <w:szCs w:val="14"/>
        </w:rPr>
        <w:t xml:space="preserve">omendación fue aprobada por el </w:t>
      </w:r>
      <w:r w:rsidRPr="00196154">
        <w:rPr>
          <w:sz w:val="14"/>
          <w:szCs w:val="14"/>
        </w:rPr>
        <w:t xml:space="preserve">V Consejo Consultivo del Instituto Federal </w:t>
      </w:r>
      <w:r>
        <w:rPr>
          <w:sz w:val="14"/>
          <w:szCs w:val="14"/>
        </w:rPr>
        <w:t xml:space="preserve">de Telecomunicaciones por unanimidad de votos </w:t>
      </w:r>
      <w:r w:rsidRPr="00196154">
        <w:rPr>
          <w:sz w:val="14"/>
          <w:szCs w:val="14"/>
        </w:rPr>
        <w:t xml:space="preserve">de los Consejeros </w:t>
      </w:r>
      <w:r w:rsidR="00E04175" w:rsidRPr="00E04175">
        <w:rPr>
          <w:sz w:val="14"/>
          <w:szCs w:val="14"/>
        </w:rPr>
        <w:t>Sara Gabriela Castellanos Pascacio, Isabel Clavijo Mostajo, Ernesto M. Flores-Roux, Gerardo Francisco González Abarca, Erik Huesca Morales, Salvador Landeros Ayala, Luis Miguel Martínez Cervantes, Jorge Fernando Negrete Pacheco, Lucía Ojeda Cárdenas, María Catalina Ovando Chico, Euridice Palma Salas, Fabiola Alicia Peña Ahumada, Armida Sánchez Arellano y Salomón Woldenberg Esperón</w:t>
      </w:r>
      <w:r w:rsidRPr="00196154">
        <w:rPr>
          <w:sz w:val="14"/>
          <w:szCs w:val="14"/>
        </w:rPr>
        <w:t xml:space="preserve">, </w:t>
      </w:r>
      <w:r>
        <w:rPr>
          <w:sz w:val="14"/>
          <w:szCs w:val="14"/>
        </w:rPr>
        <w:t xml:space="preserve">en su </w:t>
      </w:r>
      <w:r w:rsidRPr="00196154">
        <w:rPr>
          <w:sz w:val="14"/>
          <w:szCs w:val="14"/>
        </w:rPr>
        <w:t>II</w:t>
      </w:r>
      <w:r w:rsidR="00E04175">
        <w:rPr>
          <w:sz w:val="14"/>
          <w:szCs w:val="14"/>
        </w:rPr>
        <w:t>I</w:t>
      </w:r>
      <w:r w:rsidRPr="00196154">
        <w:rPr>
          <w:sz w:val="14"/>
          <w:szCs w:val="14"/>
        </w:rPr>
        <w:t xml:space="preserve"> </w:t>
      </w:r>
      <w:r w:rsidR="00E04175">
        <w:rPr>
          <w:sz w:val="14"/>
          <w:szCs w:val="14"/>
        </w:rPr>
        <w:t>Sesión Ordinaria celebrada el 6 de agosto</w:t>
      </w:r>
      <w:r w:rsidR="00CE7208">
        <w:rPr>
          <w:sz w:val="14"/>
          <w:szCs w:val="14"/>
        </w:rPr>
        <w:t xml:space="preserve"> de 2020</w:t>
      </w:r>
      <w:r w:rsidRPr="00196154">
        <w:rPr>
          <w:sz w:val="14"/>
          <w:szCs w:val="14"/>
        </w:rPr>
        <w:t xml:space="preserve">, mediante Acuerdo </w:t>
      </w:r>
      <w:r w:rsidR="00E04175" w:rsidRPr="00E04175">
        <w:rPr>
          <w:sz w:val="14"/>
          <w:szCs w:val="14"/>
        </w:rPr>
        <w:t>CC/IFT/060820/8</w:t>
      </w:r>
      <w:r w:rsidRPr="00196154">
        <w:rPr>
          <w:sz w:val="14"/>
          <w:szCs w:val="14"/>
        </w:rPr>
        <w:t>.</w:t>
      </w:r>
    </w:p>
    <w:p w14:paraId="0E27C842" w14:textId="7C342584" w:rsidR="00445326" w:rsidRDefault="00445326" w:rsidP="00044C5D">
      <w:pPr>
        <w:jc w:val="both"/>
        <w:rPr>
          <w:sz w:val="14"/>
          <w:szCs w:val="14"/>
        </w:rPr>
      </w:pPr>
    </w:p>
    <w:p w14:paraId="779020A7" w14:textId="12F4D325" w:rsidR="00445326" w:rsidRPr="00196154" w:rsidRDefault="00445326" w:rsidP="00044C5D">
      <w:pPr>
        <w:jc w:val="both"/>
        <w:rPr>
          <w:sz w:val="14"/>
          <w:szCs w:val="14"/>
        </w:rPr>
      </w:pPr>
      <w:r w:rsidRPr="00757DD0">
        <w:rPr>
          <w:bCs/>
          <w:sz w:val="14"/>
          <w:szCs w:val="14"/>
        </w:rPr>
        <w:t xml:space="preserve">El proyecto de Recomendación fue desarrollado por el Consejero </w:t>
      </w:r>
      <w:r w:rsidRPr="00044C5D">
        <w:rPr>
          <w:sz w:val="14"/>
          <w:szCs w:val="14"/>
        </w:rPr>
        <w:t>Gerardo Francisco González Abarca</w:t>
      </w:r>
      <w:r>
        <w:rPr>
          <w:sz w:val="14"/>
          <w:szCs w:val="14"/>
        </w:rPr>
        <w:t>.</w:t>
      </w:r>
    </w:p>
    <w:p w14:paraId="25C2C47D" w14:textId="77777777" w:rsidR="00044C5D" w:rsidRPr="00196154" w:rsidRDefault="00044C5D" w:rsidP="00044C5D">
      <w:pPr>
        <w:jc w:val="both"/>
        <w:rPr>
          <w:sz w:val="14"/>
          <w:szCs w:val="14"/>
        </w:rPr>
      </w:pPr>
    </w:p>
    <w:p w14:paraId="66B0A98A" w14:textId="77777777" w:rsidR="5010D3AE" w:rsidRDefault="5010D3AE" w:rsidP="5010D3AE">
      <w:pPr>
        <w:spacing w:line="276" w:lineRule="auto"/>
        <w:jc w:val="both"/>
        <w:rPr>
          <w:rFonts w:eastAsia="Helvetica Neue"/>
          <w:color w:val="000000" w:themeColor="text1"/>
          <w:sz w:val="24"/>
          <w:szCs w:val="24"/>
        </w:rPr>
      </w:pPr>
    </w:p>
    <w:sectPr w:rsidR="5010D3AE" w:rsidSect="00804144">
      <w:headerReference w:type="default" r:id="rId10"/>
      <w:footerReference w:type="default" r:id="rId11"/>
      <w:pgSz w:w="12240" w:h="15840"/>
      <w:pgMar w:top="1701" w:right="1701" w:bottom="1417" w:left="1701" w:header="708" w:footer="708" w:gutter="0"/>
      <w:pgNumType w:start="1"/>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541FA" w14:textId="77777777" w:rsidR="009F7DDE" w:rsidRDefault="009F7DDE" w:rsidP="000835BD">
      <w:r>
        <w:separator/>
      </w:r>
    </w:p>
  </w:endnote>
  <w:endnote w:type="continuationSeparator" w:id="0">
    <w:p w14:paraId="77C3AAEC" w14:textId="77777777" w:rsidR="009F7DDE" w:rsidRDefault="009F7DDE" w:rsidP="00083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 Neue Light">
    <w:altName w:val="Times New Roman"/>
    <w:charset w:val="00"/>
    <w:family w:val="auto"/>
    <w:pitch w:val="variable"/>
    <w:sig w:usb0="00000001" w:usb1="5000205B" w:usb2="00000002" w:usb3="00000000" w:csb0="00000007"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2741812"/>
      <w:docPartObj>
        <w:docPartGallery w:val="Page Numbers (Bottom of Page)"/>
        <w:docPartUnique/>
      </w:docPartObj>
    </w:sdtPr>
    <w:sdtEndPr>
      <w:rPr>
        <w:sz w:val="18"/>
        <w:szCs w:val="18"/>
      </w:rPr>
    </w:sdtEndPr>
    <w:sdtContent>
      <w:p w14:paraId="2AFF6367" w14:textId="56B6E970" w:rsidR="004563EE" w:rsidRPr="004563EE" w:rsidRDefault="00A82DE8">
        <w:pPr>
          <w:pStyle w:val="Piedepgina"/>
          <w:jc w:val="right"/>
          <w:rPr>
            <w:sz w:val="18"/>
            <w:szCs w:val="18"/>
          </w:rPr>
        </w:pPr>
        <w:r>
          <w:fldChar w:fldCharType="begin"/>
        </w:r>
        <w:r>
          <w:instrText>PAGE   \* MERGEFORMAT</w:instrText>
        </w:r>
        <w:r>
          <w:fldChar w:fldCharType="separate"/>
        </w:r>
        <w:r w:rsidR="00DA2F3A" w:rsidRPr="00DA2F3A">
          <w:rPr>
            <w:noProof/>
            <w:sz w:val="18"/>
            <w:szCs w:val="18"/>
          </w:rPr>
          <w:t>1</w:t>
        </w:r>
        <w:r>
          <w:rPr>
            <w:noProof/>
            <w:sz w:val="18"/>
            <w:szCs w:val="18"/>
          </w:rPr>
          <w:fldChar w:fldCharType="end"/>
        </w:r>
      </w:p>
    </w:sdtContent>
  </w:sdt>
  <w:p w14:paraId="22953F6F" w14:textId="77777777" w:rsidR="004563EE" w:rsidRDefault="004563E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5AFE6" w14:textId="77777777" w:rsidR="009F7DDE" w:rsidRDefault="009F7DDE" w:rsidP="000835BD">
      <w:r>
        <w:separator/>
      </w:r>
    </w:p>
  </w:footnote>
  <w:footnote w:type="continuationSeparator" w:id="0">
    <w:p w14:paraId="2F22003C" w14:textId="77777777" w:rsidR="009F7DDE" w:rsidRDefault="009F7DDE" w:rsidP="000835BD">
      <w:r>
        <w:continuationSeparator/>
      </w:r>
    </w:p>
  </w:footnote>
  <w:footnote w:id="1">
    <w:p w14:paraId="4F300A22" w14:textId="694CEEDC" w:rsidR="005918D6" w:rsidRPr="00690C1B" w:rsidRDefault="005918D6">
      <w:pPr>
        <w:pStyle w:val="Textonotapie"/>
        <w:rPr>
          <w:rFonts w:asciiTheme="minorHAnsi" w:hAnsiTheme="minorHAnsi" w:cstheme="minorHAnsi"/>
          <w:sz w:val="18"/>
          <w:szCs w:val="18"/>
          <w:lang w:val="es-MX"/>
        </w:rPr>
      </w:pPr>
      <w:r w:rsidRPr="00690C1B">
        <w:rPr>
          <w:rStyle w:val="Refdenotaalpie"/>
          <w:rFonts w:asciiTheme="minorHAnsi" w:hAnsiTheme="minorHAnsi" w:cstheme="minorHAnsi"/>
          <w:sz w:val="18"/>
          <w:szCs w:val="18"/>
        </w:rPr>
        <w:footnoteRef/>
      </w:r>
      <w:r w:rsidRPr="00690C1B">
        <w:rPr>
          <w:rFonts w:asciiTheme="minorHAnsi" w:hAnsiTheme="minorHAnsi" w:cstheme="minorHAnsi"/>
          <w:sz w:val="18"/>
          <w:szCs w:val="18"/>
        </w:rPr>
        <w:t xml:space="preserve"> </w:t>
      </w:r>
      <w:r w:rsidRPr="00690C1B">
        <w:rPr>
          <w:rFonts w:asciiTheme="minorHAnsi" w:hAnsiTheme="minorHAnsi" w:cstheme="minorHAnsi"/>
          <w:sz w:val="18"/>
          <w:szCs w:val="18"/>
          <w:lang w:val="es-MX"/>
        </w:rPr>
        <w:t xml:space="preserve">Resoluciones de condiciones mínimas de interconexión </w:t>
      </w:r>
      <w:r w:rsidR="003A0BC6" w:rsidRPr="00690C1B">
        <w:rPr>
          <w:rFonts w:asciiTheme="minorHAnsi" w:hAnsiTheme="minorHAnsi" w:cstheme="minorHAnsi"/>
          <w:sz w:val="18"/>
          <w:szCs w:val="18"/>
          <w:lang w:val="es-MX"/>
        </w:rPr>
        <w:t>y tarifas desde el año 2017.</w:t>
      </w:r>
      <w:r w:rsidR="00556181" w:rsidRPr="00556181">
        <w:rPr>
          <w:noProof/>
          <w:lang w:val="es-MX"/>
        </w:rPr>
        <w:t xml:space="preserve"> </w:t>
      </w:r>
    </w:p>
  </w:footnote>
  <w:footnote w:id="2">
    <w:p w14:paraId="0101AD12" w14:textId="513F16F6" w:rsidR="003A0BC6" w:rsidRPr="00690C1B" w:rsidRDefault="003A0BC6" w:rsidP="00690C1B">
      <w:pPr>
        <w:pStyle w:val="Textonotapie"/>
        <w:jc w:val="both"/>
        <w:rPr>
          <w:rFonts w:asciiTheme="minorHAnsi" w:hAnsiTheme="minorHAnsi" w:cstheme="minorHAnsi"/>
          <w:sz w:val="18"/>
          <w:szCs w:val="18"/>
          <w:lang w:val="es-MX"/>
        </w:rPr>
      </w:pPr>
      <w:r w:rsidRPr="00690C1B">
        <w:rPr>
          <w:rStyle w:val="Refdenotaalpie"/>
          <w:rFonts w:asciiTheme="minorHAnsi" w:hAnsiTheme="minorHAnsi" w:cstheme="minorHAnsi"/>
          <w:sz w:val="18"/>
          <w:szCs w:val="18"/>
        </w:rPr>
        <w:footnoteRef/>
      </w:r>
      <w:r w:rsidR="00804144" w:rsidRPr="00804144">
        <w:rPr>
          <w:rFonts w:asciiTheme="minorHAnsi" w:hAnsiTheme="minorHAnsi" w:cstheme="minorHAnsi"/>
          <w:sz w:val="18"/>
          <w:szCs w:val="18"/>
        </w:rPr>
        <w:t>http://consejoconsultivo.ift.org.mx/docs/recomendaciones/2019/Recomendaci%C3%B3n%20sobre%20la%20interconexi%C3%B3n%20entre%20redes%20fijas%20y%20m%C3%B3viles%20para%20el%20intercambio%20de%20mensajes.pdf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A82E9" w14:textId="1CB0FD66" w:rsidR="000835BD" w:rsidRDefault="00DA2F3A">
    <w:pPr>
      <w:pStyle w:val="Encabezado"/>
    </w:pPr>
    <w:r>
      <w:rPr>
        <w:noProof/>
        <w:lang w:val="es-MX"/>
      </w:rPr>
      <w:pict w14:anchorId="59EBC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8506562" o:spid="_x0000_s2051" type="#_x0000_t75" alt="" style="position:absolute;margin-left:-84.1pt;margin-top:-86.15pt;width:609.6pt;height:793.9pt;z-index:-251658240;mso-wrap-edited:f;mso-width-percent:0;mso-height-percent:0;mso-position-horizontal-relative:margin;mso-position-vertical-relative:margin;mso-width-percent:0;mso-height-percent:0" o:allowincell="f">
          <v:imagedata r:id="rId1" o:title="V CC logo (hoj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4405F"/>
    <w:multiLevelType w:val="hybridMultilevel"/>
    <w:tmpl w:val="B4B656E4"/>
    <w:lvl w:ilvl="0" w:tplc="0409000F">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090771"/>
    <w:multiLevelType w:val="multilevel"/>
    <w:tmpl w:val="65249FA2"/>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CA0B22"/>
    <w:multiLevelType w:val="multilevel"/>
    <w:tmpl w:val="9BCA2F1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6DF25EC"/>
    <w:multiLevelType w:val="hybridMultilevel"/>
    <w:tmpl w:val="E7008D26"/>
    <w:lvl w:ilvl="0" w:tplc="80DE5E1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27D5521"/>
    <w:multiLevelType w:val="hybridMultilevel"/>
    <w:tmpl w:val="661488DC"/>
    <w:lvl w:ilvl="0" w:tplc="01AED448">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C4B5A72"/>
    <w:multiLevelType w:val="hybridMultilevel"/>
    <w:tmpl w:val="45A64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AA4D8D"/>
    <w:multiLevelType w:val="multilevel"/>
    <w:tmpl w:val="AC8E3E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45E2B12"/>
    <w:multiLevelType w:val="multilevel"/>
    <w:tmpl w:val="0B9E2BA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6FF14529"/>
    <w:multiLevelType w:val="hybridMultilevel"/>
    <w:tmpl w:val="181A11B8"/>
    <w:lvl w:ilvl="0" w:tplc="080A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6"/>
  </w:num>
  <w:num w:numId="3">
    <w:abstractNumId w:val="7"/>
  </w:num>
  <w:num w:numId="4">
    <w:abstractNumId w:val="2"/>
  </w:num>
  <w:num w:numId="5">
    <w:abstractNumId w:val="0"/>
  </w:num>
  <w:num w:numId="6">
    <w:abstractNumId w:val="8"/>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9A"/>
    <w:rsid w:val="00013C89"/>
    <w:rsid w:val="00015B42"/>
    <w:rsid w:val="00035C2F"/>
    <w:rsid w:val="00044C5D"/>
    <w:rsid w:val="00060A94"/>
    <w:rsid w:val="0007754A"/>
    <w:rsid w:val="000835BD"/>
    <w:rsid w:val="000B29E2"/>
    <w:rsid w:val="00105DE4"/>
    <w:rsid w:val="001341E8"/>
    <w:rsid w:val="001526E9"/>
    <w:rsid w:val="001E281C"/>
    <w:rsid w:val="002255E8"/>
    <w:rsid w:val="00243115"/>
    <w:rsid w:val="00262CA2"/>
    <w:rsid w:val="0029093F"/>
    <w:rsid w:val="002E5A23"/>
    <w:rsid w:val="002E669A"/>
    <w:rsid w:val="002E6985"/>
    <w:rsid w:val="00334D70"/>
    <w:rsid w:val="003551B2"/>
    <w:rsid w:val="0039175E"/>
    <w:rsid w:val="003A0BC6"/>
    <w:rsid w:val="003D18D2"/>
    <w:rsid w:val="00445326"/>
    <w:rsid w:val="00446327"/>
    <w:rsid w:val="00456174"/>
    <w:rsid w:val="004563EE"/>
    <w:rsid w:val="0046127F"/>
    <w:rsid w:val="0046B857"/>
    <w:rsid w:val="00493325"/>
    <w:rsid w:val="00556181"/>
    <w:rsid w:val="00564819"/>
    <w:rsid w:val="00591039"/>
    <w:rsid w:val="005918D6"/>
    <w:rsid w:val="00595D65"/>
    <w:rsid w:val="00597E37"/>
    <w:rsid w:val="005E7428"/>
    <w:rsid w:val="006213F2"/>
    <w:rsid w:val="00637D1F"/>
    <w:rsid w:val="00647A9C"/>
    <w:rsid w:val="006624A2"/>
    <w:rsid w:val="00665203"/>
    <w:rsid w:val="00690C1B"/>
    <w:rsid w:val="006F433E"/>
    <w:rsid w:val="00764C58"/>
    <w:rsid w:val="0076763F"/>
    <w:rsid w:val="007750BA"/>
    <w:rsid w:val="007D03D5"/>
    <w:rsid w:val="007D7FCB"/>
    <w:rsid w:val="00804144"/>
    <w:rsid w:val="0082033B"/>
    <w:rsid w:val="00833E20"/>
    <w:rsid w:val="00836FB9"/>
    <w:rsid w:val="00867371"/>
    <w:rsid w:val="008B5FE8"/>
    <w:rsid w:val="008F4D9E"/>
    <w:rsid w:val="009450D6"/>
    <w:rsid w:val="00945375"/>
    <w:rsid w:val="00950F94"/>
    <w:rsid w:val="00951483"/>
    <w:rsid w:val="00967C33"/>
    <w:rsid w:val="00984AE1"/>
    <w:rsid w:val="009D35B7"/>
    <w:rsid w:val="009E3ECC"/>
    <w:rsid w:val="009F7DDE"/>
    <w:rsid w:val="00A448E7"/>
    <w:rsid w:val="00A60914"/>
    <w:rsid w:val="00A65EDF"/>
    <w:rsid w:val="00A82DE8"/>
    <w:rsid w:val="00A866E9"/>
    <w:rsid w:val="00AA01EB"/>
    <w:rsid w:val="00AA77FE"/>
    <w:rsid w:val="00AC16F4"/>
    <w:rsid w:val="00AD0A69"/>
    <w:rsid w:val="00AD7168"/>
    <w:rsid w:val="00AF6A22"/>
    <w:rsid w:val="00B9243F"/>
    <w:rsid w:val="00BA157C"/>
    <w:rsid w:val="00BD24BA"/>
    <w:rsid w:val="00C36885"/>
    <w:rsid w:val="00C37710"/>
    <w:rsid w:val="00C45238"/>
    <w:rsid w:val="00CA32A5"/>
    <w:rsid w:val="00CC4482"/>
    <w:rsid w:val="00CE7208"/>
    <w:rsid w:val="00D12286"/>
    <w:rsid w:val="00D36CB4"/>
    <w:rsid w:val="00D648A3"/>
    <w:rsid w:val="00DA1C05"/>
    <w:rsid w:val="00DA2F3A"/>
    <w:rsid w:val="00DB19C7"/>
    <w:rsid w:val="00DF0ADB"/>
    <w:rsid w:val="00E04175"/>
    <w:rsid w:val="00E041D0"/>
    <w:rsid w:val="00E568E3"/>
    <w:rsid w:val="00EA421D"/>
    <w:rsid w:val="00EB1E90"/>
    <w:rsid w:val="00EB77FC"/>
    <w:rsid w:val="00EC0FE2"/>
    <w:rsid w:val="00ED5A48"/>
    <w:rsid w:val="00F30BB0"/>
    <w:rsid w:val="00F516EB"/>
    <w:rsid w:val="00FC3476"/>
    <w:rsid w:val="00FE2319"/>
    <w:rsid w:val="02E87405"/>
    <w:rsid w:val="044DCE11"/>
    <w:rsid w:val="04E95A94"/>
    <w:rsid w:val="0578549B"/>
    <w:rsid w:val="05AF68A3"/>
    <w:rsid w:val="065963B7"/>
    <w:rsid w:val="08429668"/>
    <w:rsid w:val="097C2BA4"/>
    <w:rsid w:val="099390EC"/>
    <w:rsid w:val="0A7EDDB7"/>
    <w:rsid w:val="0BDE52BB"/>
    <w:rsid w:val="12E14F7E"/>
    <w:rsid w:val="134895B1"/>
    <w:rsid w:val="15DFB3C6"/>
    <w:rsid w:val="16453F23"/>
    <w:rsid w:val="1A840A8E"/>
    <w:rsid w:val="1AE1367B"/>
    <w:rsid w:val="1C700F33"/>
    <w:rsid w:val="1E14F331"/>
    <w:rsid w:val="1F924966"/>
    <w:rsid w:val="21755A5B"/>
    <w:rsid w:val="22257444"/>
    <w:rsid w:val="2261307B"/>
    <w:rsid w:val="23056E73"/>
    <w:rsid w:val="23C82273"/>
    <w:rsid w:val="24B2BF53"/>
    <w:rsid w:val="25BB11A3"/>
    <w:rsid w:val="25F700E9"/>
    <w:rsid w:val="2654CC09"/>
    <w:rsid w:val="27F7EDAF"/>
    <w:rsid w:val="2880AEBE"/>
    <w:rsid w:val="28E68B3B"/>
    <w:rsid w:val="29DD6E5F"/>
    <w:rsid w:val="2A25D063"/>
    <w:rsid w:val="2D563DE1"/>
    <w:rsid w:val="2D67D026"/>
    <w:rsid w:val="2FBA0C8F"/>
    <w:rsid w:val="327BE719"/>
    <w:rsid w:val="32DB3890"/>
    <w:rsid w:val="3505C28E"/>
    <w:rsid w:val="35913092"/>
    <w:rsid w:val="36F9D9A5"/>
    <w:rsid w:val="3A34495B"/>
    <w:rsid w:val="3A3B3683"/>
    <w:rsid w:val="3DFCECC6"/>
    <w:rsid w:val="3F095986"/>
    <w:rsid w:val="406B2947"/>
    <w:rsid w:val="408766AC"/>
    <w:rsid w:val="416386A4"/>
    <w:rsid w:val="42AA5C01"/>
    <w:rsid w:val="438E80E5"/>
    <w:rsid w:val="44F07A0F"/>
    <w:rsid w:val="454B1D8A"/>
    <w:rsid w:val="481EFDD8"/>
    <w:rsid w:val="492F68BC"/>
    <w:rsid w:val="497F647D"/>
    <w:rsid w:val="4AC14791"/>
    <w:rsid w:val="4BB88B00"/>
    <w:rsid w:val="4C4154A0"/>
    <w:rsid w:val="4C694473"/>
    <w:rsid w:val="4D6EFC43"/>
    <w:rsid w:val="4E8134E3"/>
    <w:rsid w:val="4EC42186"/>
    <w:rsid w:val="5010D3AE"/>
    <w:rsid w:val="5241386D"/>
    <w:rsid w:val="5253E1B4"/>
    <w:rsid w:val="54D0F4E9"/>
    <w:rsid w:val="599BD6A3"/>
    <w:rsid w:val="5A276900"/>
    <w:rsid w:val="5F6E91BD"/>
    <w:rsid w:val="604EF493"/>
    <w:rsid w:val="61CD8295"/>
    <w:rsid w:val="6298C6AE"/>
    <w:rsid w:val="64CB398F"/>
    <w:rsid w:val="64F92898"/>
    <w:rsid w:val="654A91BC"/>
    <w:rsid w:val="659CD391"/>
    <w:rsid w:val="6721D975"/>
    <w:rsid w:val="67FE0CB8"/>
    <w:rsid w:val="6ACC0818"/>
    <w:rsid w:val="6BDEA222"/>
    <w:rsid w:val="6BE02B9C"/>
    <w:rsid w:val="6D5DB017"/>
    <w:rsid w:val="72685719"/>
    <w:rsid w:val="72D4C25E"/>
    <w:rsid w:val="73185C26"/>
    <w:rsid w:val="757675F6"/>
    <w:rsid w:val="76F23E00"/>
    <w:rsid w:val="77383B51"/>
    <w:rsid w:val="77E7ADBD"/>
    <w:rsid w:val="79C00AA8"/>
    <w:rsid w:val="7B602BEE"/>
    <w:rsid w:val="7C237426"/>
    <w:rsid w:val="7C2507BD"/>
    <w:rsid w:val="7C277035"/>
    <w:rsid w:val="7E4F05EF"/>
    <w:rsid w:val="7F62BC5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BA83093"/>
  <w15:docId w15:val="{FEA1FFF3-10FC-2144-A718-5CC169577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6"/>
        <w:szCs w:val="26"/>
        <w:lang w:val="es-ES"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0F6"/>
  </w:style>
  <w:style w:type="paragraph" w:styleId="Ttulo1">
    <w:name w:val="heading 1"/>
    <w:basedOn w:val="Normal"/>
    <w:next w:val="Normal"/>
    <w:link w:val="Ttulo1Car"/>
    <w:uiPriority w:val="9"/>
    <w:qFormat/>
    <w:rsid w:val="00161D1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61D14"/>
    <w:pPr>
      <w:keepNext/>
      <w:keepLines/>
      <w:spacing w:before="40"/>
      <w:outlineLvl w:val="1"/>
    </w:pPr>
    <w:rPr>
      <w:rFonts w:asciiTheme="majorHAnsi" w:eastAsiaTheme="majorEastAsia" w:hAnsiTheme="majorHAnsi" w:cstheme="majorBidi"/>
      <w:color w:val="2F5496" w:themeColor="accent1" w:themeShade="BF"/>
    </w:rPr>
  </w:style>
  <w:style w:type="paragraph" w:styleId="Ttulo3">
    <w:name w:val="heading 3"/>
    <w:basedOn w:val="Normal"/>
    <w:next w:val="Normal"/>
    <w:uiPriority w:val="9"/>
    <w:semiHidden/>
    <w:unhideWhenUsed/>
    <w:qFormat/>
    <w:rsid w:val="003D18D2"/>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3D18D2"/>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3D18D2"/>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3D18D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3D18D2"/>
    <w:tblPr>
      <w:tblCellMar>
        <w:top w:w="0" w:type="dxa"/>
        <w:left w:w="0" w:type="dxa"/>
        <w:bottom w:w="0" w:type="dxa"/>
        <w:right w:w="0" w:type="dxa"/>
      </w:tblCellMar>
    </w:tblPr>
  </w:style>
  <w:style w:type="paragraph" w:styleId="Ttulo">
    <w:name w:val="Title"/>
    <w:basedOn w:val="Normal"/>
    <w:next w:val="Normal"/>
    <w:uiPriority w:val="10"/>
    <w:qFormat/>
    <w:rsid w:val="003D18D2"/>
    <w:pPr>
      <w:keepNext/>
      <w:keepLines/>
      <w:spacing w:before="480" w:after="120"/>
    </w:pPr>
    <w:rPr>
      <w:b/>
      <w:sz w:val="72"/>
      <w:szCs w:val="72"/>
    </w:rPr>
  </w:style>
  <w:style w:type="paragraph" w:styleId="Textodeglobo">
    <w:name w:val="Balloon Text"/>
    <w:basedOn w:val="Normal"/>
    <w:link w:val="TextodegloboCar"/>
    <w:uiPriority w:val="99"/>
    <w:semiHidden/>
    <w:unhideWhenUsed/>
    <w:rsid w:val="00F406E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F406E7"/>
    <w:rPr>
      <w:rFonts w:ascii="Times New Roman" w:hAnsi="Times New Roman" w:cs="Times New Roman"/>
      <w:sz w:val="18"/>
      <w:szCs w:val="18"/>
    </w:rPr>
  </w:style>
  <w:style w:type="paragraph" w:styleId="Textonotapie">
    <w:name w:val="footnote text"/>
    <w:basedOn w:val="Normal"/>
    <w:link w:val="TextonotapieCar"/>
    <w:uiPriority w:val="99"/>
    <w:semiHidden/>
    <w:unhideWhenUsed/>
    <w:rsid w:val="00F406E7"/>
    <w:rPr>
      <w:rFonts w:ascii="Helvetica Neue Light" w:eastAsia="Times New Roman" w:hAnsi="Helvetica Neue Light" w:cs="Times New Roman"/>
      <w:sz w:val="20"/>
      <w:szCs w:val="20"/>
      <w:lang w:val="es-ES_tradnl"/>
    </w:rPr>
  </w:style>
  <w:style w:type="character" w:customStyle="1" w:styleId="TextonotapieCar">
    <w:name w:val="Texto nota pie Car"/>
    <w:basedOn w:val="Fuentedeprrafopredeter"/>
    <w:link w:val="Textonotapie"/>
    <w:uiPriority w:val="99"/>
    <w:semiHidden/>
    <w:rsid w:val="00F406E7"/>
    <w:rPr>
      <w:rFonts w:ascii="Helvetica Neue Light" w:eastAsia="Times New Roman" w:hAnsi="Helvetica Neue Light" w:cs="Times New Roman"/>
      <w:sz w:val="20"/>
      <w:szCs w:val="20"/>
      <w:lang w:val="es-ES_tradnl"/>
    </w:rPr>
  </w:style>
  <w:style w:type="character" w:styleId="Refdenotaalpie">
    <w:name w:val="footnote reference"/>
    <w:basedOn w:val="Fuentedeprrafopredeter"/>
    <w:uiPriority w:val="99"/>
    <w:semiHidden/>
    <w:unhideWhenUsed/>
    <w:rsid w:val="00F406E7"/>
    <w:rPr>
      <w:vertAlign w:val="superscript"/>
    </w:rPr>
  </w:style>
  <w:style w:type="character" w:styleId="Refdecomentario">
    <w:name w:val="annotation reference"/>
    <w:basedOn w:val="Fuentedeprrafopredeter"/>
    <w:uiPriority w:val="99"/>
    <w:semiHidden/>
    <w:unhideWhenUsed/>
    <w:rsid w:val="00F406E7"/>
    <w:rPr>
      <w:sz w:val="16"/>
      <w:szCs w:val="16"/>
    </w:rPr>
  </w:style>
  <w:style w:type="paragraph" w:styleId="Textocomentario">
    <w:name w:val="annotation text"/>
    <w:basedOn w:val="Normal"/>
    <w:link w:val="TextocomentarioCar"/>
    <w:uiPriority w:val="99"/>
    <w:semiHidden/>
    <w:unhideWhenUsed/>
    <w:rsid w:val="00F406E7"/>
    <w:rPr>
      <w:rFonts w:ascii="Helvetica Neue Light" w:eastAsia="Times New Roman" w:hAnsi="Helvetica Neue Light" w:cs="Times New Roman"/>
      <w:sz w:val="20"/>
      <w:szCs w:val="20"/>
      <w:lang w:val="es-ES_tradnl"/>
    </w:rPr>
  </w:style>
  <w:style w:type="character" w:customStyle="1" w:styleId="TextocomentarioCar">
    <w:name w:val="Texto comentario Car"/>
    <w:basedOn w:val="Fuentedeprrafopredeter"/>
    <w:link w:val="Textocomentario"/>
    <w:uiPriority w:val="99"/>
    <w:semiHidden/>
    <w:rsid w:val="00F406E7"/>
    <w:rPr>
      <w:rFonts w:ascii="Helvetica Neue Light" w:eastAsia="Times New Roman" w:hAnsi="Helvetica Neue Light" w:cs="Times New Roman"/>
      <w:sz w:val="20"/>
      <w:szCs w:val="20"/>
      <w:lang w:val="es-ES_tradnl"/>
    </w:rPr>
  </w:style>
  <w:style w:type="character" w:styleId="Textodelmarcadordeposicin">
    <w:name w:val="Placeholder Text"/>
    <w:basedOn w:val="Fuentedeprrafopredeter"/>
    <w:uiPriority w:val="99"/>
    <w:semiHidden/>
    <w:rsid w:val="00F91569"/>
    <w:rPr>
      <w:color w:val="808080"/>
    </w:rPr>
  </w:style>
  <w:style w:type="character" w:customStyle="1" w:styleId="Ttulo2Car">
    <w:name w:val="Título 2 Car"/>
    <w:basedOn w:val="Fuentedeprrafopredeter"/>
    <w:link w:val="Ttulo2"/>
    <w:uiPriority w:val="9"/>
    <w:rsid w:val="00161D14"/>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161D14"/>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161D14"/>
    <w:pPr>
      <w:ind w:left="720"/>
      <w:contextualSpacing/>
    </w:pPr>
  </w:style>
  <w:style w:type="paragraph" w:styleId="Subttulo">
    <w:name w:val="Subtitle"/>
    <w:basedOn w:val="Normal"/>
    <w:next w:val="Normal"/>
    <w:uiPriority w:val="11"/>
    <w:qFormat/>
    <w:rsid w:val="003D18D2"/>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0835BD"/>
    <w:pPr>
      <w:tabs>
        <w:tab w:val="center" w:pos="4419"/>
        <w:tab w:val="right" w:pos="8838"/>
      </w:tabs>
    </w:pPr>
  </w:style>
  <w:style w:type="character" w:customStyle="1" w:styleId="EncabezadoCar">
    <w:name w:val="Encabezado Car"/>
    <w:basedOn w:val="Fuentedeprrafopredeter"/>
    <w:link w:val="Encabezado"/>
    <w:uiPriority w:val="99"/>
    <w:rsid w:val="000835BD"/>
  </w:style>
  <w:style w:type="paragraph" w:styleId="Piedepgina">
    <w:name w:val="footer"/>
    <w:basedOn w:val="Normal"/>
    <w:link w:val="PiedepginaCar"/>
    <w:uiPriority w:val="99"/>
    <w:unhideWhenUsed/>
    <w:rsid w:val="000835BD"/>
    <w:pPr>
      <w:tabs>
        <w:tab w:val="center" w:pos="4419"/>
        <w:tab w:val="right" w:pos="8838"/>
      </w:tabs>
    </w:pPr>
  </w:style>
  <w:style w:type="character" w:customStyle="1" w:styleId="PiedepginaCar">
    <w:name w:val="Pie de página Car"/>
    <w:basedOn w:val="Fuentedeprrafopredeter"/>
    <w:link w:val="Piedepgina"/>
    <w:uiPriority w:val="99"/>
    <w:rsid w:val="000835BD"/>
  </w:style>
  <w:style w:type="character" w:styleId="Hipervnculo">
    <w:name w:val="Hyperlink"/>
    <w:basedOn w:val="Fuentedeprrafopredeter"/>
    <w:uiPriority w:val="99"/>
    <w:unhideWhenUsed/>
    <w:rsid w:val="003A0BC6"/>
    <w:rPr>
      <w:color w:val="0563C1" w:themeColor="hyperlink"/>
      <w:u w:val="single"/>
    </w:rPr>
  </w:style>
  <w:style w:type="character" w:customStyle="1" w:styleId="UnresolvedMention1">
    <w:name w:val="Unresolved Mention1"/>
    <w:basedOn w:val="Fuentedeprrafopredeter"/>
    <w:uiPriority w:val="99"/>
    <w:semiHidden/>
    <w:unhideWhenUsed/>
    <w:rsid w:val="003A0BC6"/>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950F94"/>
    <w:rPr>
      <w:rFonts w:ascii="Calibri" w:eastAsia="Calibri" w:hAnsi="Calibri" w:cs="Calibri"/>
      <w:b/>
      <w:bCs/>
      <w:lang w:val="es-ES"/>
    </w:rPr>
  </w:style>
  <w:style w:type="character" w:customStyle="1" w:styleId="AsuntodelcomentarioCar">
    <w:name w:val="Asunto del comentario Car"/>
    <w:basedOn w:val="TextocomentarioCar"/>
    <w:link w:val="Asuntodelcomentario"/>
    <w:uiPriority w:val="99"/>
    <w:semiHidden/>
    <w:rsid w:val="00950F94"/>
    <w:rPr>
      <w:rFonts w:ascii="Helvetica Neue Light" w:eastAsia="Times New Roman" w:hAnsi="Helvetica Neue Light" w:cs="Times New Roman"/>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912364">
      <w:bodyDiv w:val="1"/>
      <w:marLeft w:val="0"/>
      <w:marRight w:val="0"/>
      <w:marTop w:val="0"/>
      <w:marBottom w:val="0"/>
      <w:divBdr>
        <w:top w:val="none" w:sz="0" w:space="0" w:color="auto"/>
        <w:left w:val="none" w:sz="0" w:space="0" w:color="auto"/>
        <w:bottom w:val="none" w:sz="0" w:space="0" w:color="auto"/>
        <w:right w:val="none" w:sz="0" w:space="0" w:color="auto"/>
      </w:divBdr>
    </w:div>
    <w:div w:id="13411552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consejoconsultivo.ift.org.mx/docs/recomendaciones/2019/Recomendaci%C3%B3n%20sobre%20la%20interconexi%C3%B3n%20entre%20redes%20fijas%20y%20m%C3%B3viles%20para%20el%20intercambio%20de%20mensaj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cptX+tSpoOWMJ/S9O6Lx1KhXiw==">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30B0255-4945-4B52-8BB5-6EFD9475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5051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Huesca</dc:creator>
  <cp:lastModifiedBy>Arlene Ameneyro Tapia</cp:lastModifiedBy>
  <cp:revision>2</cp:revision>
  <dcterms:created xsi:type="dcterms:W3CDTF">2020-09-17T21:29:00Z</dcterms:created>
  <dcterms:modified xsi:type="dcterms:W3CDTF">2020-09-17T21:29:00Z</dcterms:modified>
</cp:coreProperties>
</file>