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B7537" w14:textId="64498FE3" w:rsidR="00D97D67" w:rsidRDefault="00D97D67" w:rsidP="0004663D">
      <w:pPr>
        <w:spacing w:line="276" w:lineRule="auto"/>
        <w:jc w:val="both"/>
        <w:rPr>
          <w:rFonts w:asciiTheme="majorHAnsi" w:eastAsia="Proxima Nova" w:hAnsiTheme="majorHAnsi" w:cstheme="majorHAnsi"/>
          <w:b/>
        </w:rPr>
      </w:pPr>
      <w:r w:rsidRPr="00D97D67">
        <w:rPr>
          <w:rFonts w:asciiTheme="majorHAnsi" w:eastAsia="Proxima Nova" w:hAnsiTheme="majorHAnsi" w:cstheme="majorHAnsi"/>
          <w:b/>
        </w:rPr>
        <w:t>RECOMENDACIÓN QUE EMITE EL CUARTO CONSEJO CONSULTIVO DEL INSTITUTO FEDERAL DE TELECOMUNICACIONES (INSTITUTO) SOBRE LA PROTECCIÓN DEL DERECHO A LA PRIVACIDAD EN LA PRESTACIÓN DE SERVICIOS DE TELECOMUNICACIONES Y EN LA COLABORACIÓN CON AUTORIDADES DE SEGURIDAD Y JUSTICIA</w:t>
      </w:r>
    </w:p>
    <w:sdt>
      <w:sdtPr>
        <w:rPr>
          <w:rFonts w:asciiTheme="minorHAnsi" w:eastAsiaTheme="minorEastAsia" w:hAnsiTheme="minorHAnsi" w:cstheme="minorBidi"/>
          <w:color w:val="auto"/>
          <w:sz w:val="24"/>
          <w:szCs w:val="24"/>
          <w:lang w:val="es-ES" w:eastAsia="en-US"/>
        </w:rPr>
        <w:id w:val="164758561"/>
        <w:docPartObj>
          <w:docPartGallery w:val="Table of Contents"/>
          <w:docPartUnique/>
        </w:docPartObj>
      </w:sdtPr>
      <w:sdtEndPr>
        <w:rPr>
          <w:b/>
          <w:bCs/>
        </w:rPr>
      </w:sdtEndPr>
      <w:sdtContent>
        <w:p w14:paraId="309E52A9" w14:textId="62A78714" w:rsidR="00E458AD" w:rsidRPr="00583DEB" w:rsidRDefault="00583DEB">
          <w:pPr>
            <w:pStyle w:val="TtuloTDC"/>
            <w:rPr>
              <w:rFonts w:cstheme="majorHAnsi"/>
              <w:b/>
              <w:sz w:val="22"/>
              <w:szCs w:val="22"/>
            </w:rPr>
          </w:pPr>
          <w:r w:rsidRPr="00583DEB">
            <w:rPr>
              <w:rFonts w:eastAsiaTheme="minorEastAsia" w:cstheme="minorBidi"/>
              <w:b/>
              <w:color w:val="auto"/>
              <w:sz w:val="24"/>
              <w:szCs w:val="24"/>
              <w:lang w:val="es-ES" w:eastAsia="en-US"/>
            </w:rPr>
            <w:t>Índice</w:t>
          </w:r>
        </w:p>
        <w:p w14:paraId="7A492DAD" w14:textId="02D19426" w:rsidR="00E458AD" w:rsidRPr="00583DEB" w:rsidRDefault="00E458AD">
          <w:pPr>
            <w:pStyle w:val="TDC1"/>
            <w:rPr>
              <w:rFonts w:asciiTheme="majorHAnsi" w:hAnsiTheme="majorHAnsi" w:cstheme="majorHAnsi"/>
              <w:noProof/>
              <w:sz w:val="22"/>
              <w:szCs w:val="22"/>
              <w:lang w:eastAsia="es-MX"/>
            </w:rPr>
          </w:pPr>
          <w:r w:rsidRPr="00583DEB">
            <w:rPr>
              <w:rFonts w:asciiTheme="majorHAnsi" w:hAnsiTheme="majorHAnsi" w:cstheme="majorHAnsi"/>
              <w:sz w:val="22"/>
              <w:szCs w:val="22"/>
            </w:rPr>
            <w:fldChar w:fldCharType="begin"/>
          </w:r>
          <w:r w:rsidRPr="00583DEB">
            <w:rPr>
              <w:rFonts w:asciiTheme="majorHAnsi" w:hAnsiTheme="majorHAnsi" w:cstheme="majorHAnsi"/>
              <w:sz w:val="22"/>
              <w:szCs w:val="22"/>
            </w:rPr>
            <w:instrText xml:space="preserve"> TOC \o "1-3" \h \z \u </w:instrText>
          </w:r>
          <w:r w:rsidRPr="00583DEB">
            <w:rPr>
              <w:rFonts w:asciiTheme="majorHAnsi" w:hAnsiTheme="majorHAnsi" w:cstheme="majorHAnsi"/>
              <w:sz w:val="22"/>
              <w:szCs w:val="22"/>
            </w:rPr>
            <w:fldChar w:fldCharType="separate"/>
          </w:r>
          <w:hyperlink w:anchor="_Toc24650364" w:history="1">
            <w:r w:rsidRPr="00583DEB">
              <w:rPr>
                <w:rStyle w:val="Hipervnculo"/>
                <w:rFonts w:asciiTheme="majorHAnsi" w:eastAsia="Proxima Nova" w:hAnsiTheme="majorHAnsi" w:cstheme="majorHAnsi"/>
                <w:noProof/>
                <w:sz w:val="22"/>
                <w:szCs w:val="22"/>
              </w:rPr>
              <w:t>I. Antecedentes</w:t>
            </w:r>
            <w:r w:rsidRPr="00583DEB">
              <w:rPr>
                <w:rFonts w:asciiTheme="majorHAnsi" w:hAnsiTheme="majorHAnsi" w:cstheme="majorHAnsi"/>
                <w:noProof/>
                <w:webHidden/>
                <w:sz w:val="22"/>
                <w:szCs w:val="22"/>
              </w:rPr>
              <w:tab/>
            </w:r>
            <w:r w:rsidRPr="00583DEB">
              <w:rPr>
                <w:rFonts w:asciiTheme="majorHAnsi" w:hAnsiTheme="majorHAnsi" w:cstheme="majorHAnsi"/>
                <w:noProof/>
                <w:webHidden/>
                <w:sz w:val="22"/>
                <w:szCs w:val="22"/>
              </w:rPr>
              <w:fldChar w:fldCharType="begin"/>
            </w:r>
            <w:r w:rsidRPr="00583DEB">
              <w:rPr>
                <w:rFonts w:asciiTheme="majorHAnsi" w:hAnsiTheme="majorHAnsi" w:cstheme="majorHAnsi"/>
                <w:noProof/>
                <w:webHidden/>
                <w:sz w:val="22"/>
                <w:szCs w:val="22"/>
              </w:rPr>
              <w:instrText xml:space="preserve"> PAGEREF _Toc24650364 \h </w:instrText>
            </w:r>
            <w:r w:rsidRPr="00583DEB">
              <w:rPr>
                <w:rFonts w:asciiTheme="majorHAnsi" w:hAnsiTheme="majorHAnsi" w:cstheme="majorHAnsi"/>
                <w:noProof/>
                <w:webHidden/>
                <w:sz w:val="22"/>
                <w:szCs w:val="22"/>
              </w:rPr>
            </w:r>
            <w:r w:rsidRPr="00583DEB">
              <w:rPr>
                <w:rFonts w:asciiTheme="majorHAnsi" w:hAnsiTheme="majorHAnsi" w:cstheme="majorHAnsi"/>
                <w:noProof/>
                <w:webHidden/>
                <w:sz w:val="22"/>
                <w:szCs w:val="22"/>
              </w:rPr>
              <w:fldChar w:fldCharType="separate"/>
            </w:r>
            <w:r w:rsidR="00F01D09">
              <w:rPr>
                <w:rFonts w:asciiTheme="majorHAnsi" w:hAnsiTheme="majorHAnsi" w:cstheme="majorHAnsi"/>
                <w:noProof/>
                <w:webHidden/>
                <w:sz w:val="22"/>
                <w:szCs w:val="22"/>
              </w:rPr>
              <w:t>1</w:t>
            </w:r>
            <w:r w:rsidRPr="00583DEB">
              <w:rPr>
                <w:rFonts w:asciiTheme="majorHAnsi" w:hAnsiTheme="majorHAnsi" w:cstheme="majorHAnsi"/>
                <w:noProof/>
                <w:webHidden/>
                <w:sz w:val="22"/>
                <w:szCs w:val="22"/>
              </w:rPr>
              <w:fldChar w:fldCharType="end"/>
            </w:r>
          </w:hyperlink>
        </w:p>
        <w:p w14:paraId="646A3C4F" w14:textId="7BD87432" w:rsidR="00E458AD" w:rsidRPr="00583DEB" w:rsidRDefault="008B67C5">
          <w:pPr>
            <w:pStyle w:val="TDC1"/>
            <w:rPr>
              <w:rFonts w:asciiTheme="majorHAnsi" w:hAnsiTheme="majorHAnsi" w:cstheme="majorHAnsi"/>
              <w:noProof/>
              <w:sz w:val="22"/>
              <w:szCs w:val="22"/>
              <w:lang w:eastAsia="es-MX"/>
            </w:rPr>
          </w:pPr>
          <w:hyperlink w:anchor="_Toc24650365" w:history="1">
            <w:r w:rsidR="00E458AD" w:rsidRPr="00583DEB">
              <w:rPr>
                <w:rStyle w:val="Hipervnculo"/>
                <w:rFonts w:asciiTheme="majorHAnsi" w:eastAsia="Proxima Nova" w:hAnsiTheme="majorHAnsi" w:cstheme="majorHAnsi"/>
                <w:noProof/>
                <w:sz w:val="22"/>
                <w:szCs w:val="22"/>
              </w:rPr>
              <w:t>II. Facultad sancionatoria por infracciones a la confidencialidad y privacidad de personas usuarias de telecomunicaciones</w:t>
            </w:r>
            <w:r w:rsidR="00E458AD" w:rsidRPr="00583DEB">
              <w:rPr>
                <w:rFonts w:asciiTheme="majorHAnsi" w:hAnsiTheme="majorHAnsi" w:cstheme="majorHAnsi"/>
                <w:noProof/>
                <w:webHidden/>
                <w:sz w:val="22"/>
                <w:szCs w:val="22"/>
              </w:rPr>
              <w:tab/>
            </w:r>
            <w:r w:rsidR="00E458AD" w:rsidRPr="00583DEB">
              <w:rPr>
                <w:rFonts w:asciiTheme="majorHAnsi" w:hAnsiTheme="majorHAnsi" w:cstheme="majorHAnsi"/>
                <w:noProof/>
                <w:webHidden/>
                <w:sz w:val="22"/>
                <w:szCs w:val="22"/>
              </w:rPr>
              <w:fldChar w:fldCharType="begin"/>
            </w:r>
            <w:r w:rsidR="00E458AD" w:rsidRPr="00583DEB">
              <w:rPr>
                <w:rFonts w:asciiTheme="majorHAnsi" w:hAnsiTheme="majorHAnsi" w:cstheme="majorHAnsi"/>
                <w:noProof/>
                <w:webHidden/>
                <w:sz w:val="22"/>
                <w:szCs w:val="22"/>
              </w:rPr>
              <w:instrText xml:space="preserve"> PAGEREF _Toc24650365 \h </w:instrText>
            </w:r>
            <w:r w:rsidR="00E458AD" w:rsidRPr="00583DEB">
              <w:rPr>
                <w:rFonts w:asciiTheme="majorHAnsi" w:hAnsiTheme="majorHAnsi" w:cstheme="majorHAnsi"/>
                <w:noProof/>
                <w:webHidden/>
                <w:sz w:val="22"/>
                <w:szCs w:val="22"/>
              </w:rPr>
            </w:r>
            <w:r w:rsidR="00E458AD" w:rsidRPr="00583DEB">
              <w:rPr>
                <w:rFonts w:asciiTheme="majorHAnsi" w:hAnsiTheme="majorHAnsi" w:cstheme="majorHAnsi"/>
                <w:noProof/>
                <w:webHidden/>
                <w:sz w:val="22"/>
                <w:szCs w:val="22"/>
              </w:rPr>
              <w:fldChar w:fldCharType="separate"/>
            </w:r>
            <w:r w:rsidR="00F01D09">
              <w:rPr>
                <w:rFonts w:asciiTheme="majorHAnsi" w:hAnsiTheme="majorHAnsi" w:cstheme="majorHAnsi"/>
                <w:noProof/>
                <w:webHidden/>
                <w:sz w:val="22"/>
                <w:szCs w:val="22"/>
              </w:rPr>
              <w:t>2</w:t>
            </w:r>
            <w:r w:rsidR="00E458AD" w:rsidRPr="00583DEB">
              <w:rPr>
                <w:rFonts w:asciiTheme="majorHAnsi" w:hAnsiTheme="majorHAnsi" w:cstheme="majorHAnsi"/>
                <w:noProof/>
                <w:webHidden/>
                <w:sz w:val="22"/>
                <w:szCs w:val="22"/>
              </w:rPr>
              <w:fldChar w:fldCharType="end"/>
            </w:r>
          </w:hyperlink>
        </w:p>
        <w:p w14:paraId="5A988348" w14:textId="5371CEA1" w:rsidR="00E458AD" w:rsidRPr="00583DEB" w:rsidRDefault="008B67C5">
          <w:pPr>
            <w:pStyle w:val="TDC1"/>
            <w:rPr>
              <w:rFonts w:asciiTheme="majorHAnsi" w:hAnsiTheme="majorHAnsi" w:cstheme="majorHAnsi"/>
              <w:noProof/>
              <w:sz w:val="22"/>
              <w:szCs w:val="22"/>
              <w:lang w:eastAsia="es-MX"/>
            </w:rPr>
          </w:pPr>
          <w:hyperlink w:anchor="_Toc24650366" w:history="1">
            <w:r w:rsidR="00E458AD" w:rsidRPr="00583DEB">
              <w:rPr>
                <w:rStyle w:val="Hipervnculo"/>
                <w:rFonts w:asciiTheme="majorHAnsi" w:eastAsia="Proxima Nova" w:hAnsiTheme="majorHAnsi" w:cstheme="majorHAnsi"/>
                <w:noProof/>
                <w:sz w:val="22"/>
                <w:szCs w:val="22"/>
              </w:rPr>
              <w:t>III. Colaboración en materia de seguridad y justicia</w:t>
            </w:r>
            <w:r w:rsidR="00E458AD" w:rsidRPr="00583DEB">
              <w:rPr>
                <w:rFonts w:asciiTheme="majorHAnsi" w:hAnsiTheme="majorHAnsi" w:cstheme="majorHAnsi"/>
                <w:noProof/>
                <w:webHidden/>
                <w:sz w:val="22"/>
                <w:szCs w:val="22"/>
              </w:rPr>
              <w:tab/>
            </w:r>
            <w:r w:rsidR="00E458AD" w:rsidRPr="00583DEB">
              <w:rPr>
                <w:rFonts w:asciiTheme="majorHAnsi" w:hAnsiTheme="majorHAnsi" w:cstheme="majorHAnsi"/>
                <w:noProof/>
                <w:webHidden/>
                <w:sz w:val="22"/>
                <w:szCs w:val="22"/>
              </w:rPr>
              <w:fldChar w:fldCharType="begin"/>
            </w:r>
            <w:r w:rsidR="00E458AD" w:rsidRPr="00583DEB">
              <w:rPr>
                <w:rFonts w:asciiTheme="majorHAnsi" w:hAnsiTheme="majorHAnsi" w:cstheme="majorHAnsi"/>
                <w:noProof/>
                <w:webHidden/>
                <w:sz w:val="22"/>
                <w:szCs w:val="22"/>
              </w:rPr>
              <w:instrText xml:space="preserve"> PAGEREF _Toc24650366 \h </w:instrText>
            </w:r>
            <w:r w:rsidR="00E458AD" w:rsidRPr="00583DEB">
              <w:rPr>
                <w:rFonts w:asciiTheme="majorHAnsi" w:hAnsiTheme="majorHAnsi" w:cstheme="majorHAnsi"/>
                <w:noProof/>
                <w:webHidden/>
                <w:sz w:val="22"/>
                <w:szCs w:val="22"/>
              </w:rPr>
            </w:r>
            <w:r w:rsidR="00E458AD" w:rsidRPr="00583DEB">
              <w:rPr>
                <w:rFonts w:asciiTheme="majorHAnsi" w:hAnsiTheme="majorHAnsi" w:cstheme="majorHAnsi"/>
                <w:noProof/>
                <w:webHidden/>
                <w:sz w:val="22"/>
                <w:szCs w:val="22"/>
              </w:rPr>
              <w:fldChar w:fldCharType="separate"/>
            </w:r>
            <w:r w:rsidR="00F01D09">
              <w:rPr>
                <w:rFonts w:asciiTheme="majorHAnsi" w:hAnsiTheme="majorHAnsi" w:cstheme="majorHAnsi"/>
                <w:noProof/>
                <w:webHidden/>
                <w:sz w:val="22"/>
                <w:szCs w:val="22"/>
              </w:rPr>
              <w:t>2</w:t>
            </w:r>
            <w:r w:rsidR="00E458AD" w:rsidRPr="00583DEB">
              <w:rPr>
                <w:rFonts w:asciiTheme="majorHAnsi" w:hAnsiTheme="majorHAnsi" w:cstheme="majorHAnsi"/>
                <w:noProof/>
                <w:webHidden/>
                <w:sz w:val="22"/>
                <w:szCs w:val="22"/>
              </w:rPr>
              <w:fldChar w:fldCharType="end"/>
            </w:r>
          </w:hyperlink>
        </w:p>
        <w:p w14:paraId="27F1402B" w14:textId="2B37E646" w:rsidR="00E458AD" w:rsidRPr="00583DEB" w:rsidRDefault="008B67C5">
          <w:pPr>
            <w:pStyle w:val="TDC1"/>
            <w:rPr>
              <w:rFonts w:asciiTheme="majorHAnsi" w:hAnsiTheme="majorHAnsi" w:cstheme="majorHAnsi"/>
              <w:noProof/>
              <w:sz w:val="22"/>
              <w:szCs w:val="22"/>
              <w:lang w:eastAsia="es-MX"/>
            </w:rPr>
          </w:pPr>
          <w:hyperlink w:anchor="_Toc24650367" w:history="1">
            <w:r w:rsidR="00E458AD" w:rsidRPr="00583DEB">
              <w:rPr>
                <w:rStyle w:val="Hipervnculo"/>
                <w:rFonts w:asciiTheme="majorHAnsi" w:eastAsia="Proxima Nova" w:hAnsiTheme="majorHAnsi" w:cstheme="majorHAnsi"/>
                <w:noProof/>
                <w:sz w:val="22"/>
                <w:szCs w:val="22"/>
              </w:rPr>
              <w:t>IV. Lineamientos sobre la neutralidad de la red</w:t>
            </w:r>
            <w:r w:rsidR="00E458AD" w:rsidRPr="00583DEB">
              <w:rPr>
                <w:rFonts w:asciiTheme="majorHAnsi" w:hAnsiTheme="majorHAnsi" w:cstheme="majorHAnsi"/>
                <w:noProof/>
                <w:webHidden/>
                <w:sz w:val="22"/>
                <w:szCs w:val="22"/>
              </w:rPr>
              <w:tab/>
            </w:r>
            <w:r w:rsidR="00E458AD" w:rsidRPr="00583DEB">
              <w:rPr>
                <w:rFonts w:asciiTheme="majorHAnsi" w:hAnsiTheme="majorHAnsi" w:cstheme="majorHAnsi"/>
                <w:noProof/>
                <w:webHidden/>
                <w:sz w:val="22"/>
                <w:szCs w:val="22"/>
              </w:rPr>
              <w:fldChar w:fldCharType="begin"/>
            </w:r>
            <w:r w:rsidR="00E458AD" w:rsidRPr="00583DEB">
              <w:rPr>
                <w:rFonts w:asciiTheme="majorHAnsi" w:hAnsiTheme="majorHAnsi" w:cstheme="majorHAnsi"/>
                <w:noProof/>
                <w:webHidden/>
                <w:sz w:val="22"/>
                <w:szCs w:val="22"/>
              </w:rPr>
              <w:instrText xml:space="preserve"> PAGEREF _Toc24650367 \h </w:instrText>
            </w:r>
            <w:r w:rsidR="00E458AD" w:rsidRPr="00583DEB">
              <w:rPr>
                <w:rFonts w:asciiTheme="majorHAnsi" w:hAnsiTheme="majorHAnsi" w:cstheme="majorHAnsi"/>
                <w:noProof/>
                <w:webHidden/>
                <w:sz w:val="22"/>
                <w:szCs w:val="22"/>
              </w:rPr>
            </w:r>
            <w:r w:rsidR="00E458AD" w:rsidRPr="00583DEB">
              <w:rPr>
                <w:rFonts w:asciiTheme="majorHAnsi" w:hAnsiTheme="majorHAnsi" w:cstheme="majorHAnsi"/>
                <w:noProof/>
                <w:webHidden/>
                <w:sz w:val="22"/>
                <w:szCs w:val="22"/>
              </w:rPr>
              <w:fldChar w:fldCharType="separate"/>
            </w:r>
            <w:r w:rsidR="00F01D09">
              <w:rPr>
                <w:rFonts w:asciiTheme="majorHAnsi" w:hAnsiTheme="majorHAnsi" w:cstheme="majorHAnsi"/>
                <w:noProof/>
                <w:webHidden/>
                <w:sz w:val="22"/>
                <w:szCs w:val="22"/>
              </w:rPr>
              <w:t>5</w:t>
            </w:r>
            <w:r w:rsidR="00E458AD" w:rsidRPr="00583DEB">
              <w:rPr>
                <w:rFonts w:asciiTheme="majorHAnsi" w:hAnsiTheme="majorHAnsi" w:cstheme="majorHAnsi"/>
                <w:noProof/>
                <w:webHidden/>
                <w:sz w:val="22"/>
                <w:szCs w:val="22"/>
              </w:rPr>
              <w:fldChar w:fldCharType="end"/>
            </w:r>
          </w:hyperlink>
        </w:p>
        <w:p w14:paraId="6D377162" w14:textId="6E1BA52E" w:rsidR="00E458AD" w:rsidRPr="00583DEB" w:rsidRDefault="008B67C5">
          <w:pPr>
            <w:pStyle w:val="TDC1"/>
            <w:rPr>
              <w:rFonts w:asciiTheme="majorHAnsi" w:hAnsiTheme="majorHAnsi" w:cstheme="majorHAnsi"/>
              <w:noProof/>
              <w:sz w:val="22"/>
              <w:szCs w:val="22"/>
              <w:lang w:eastAsia="es-MX"/>
            </w:rPr>
          </w:pPr>
          <w:hyperlink w:anchor="_Toc24650368" w:history="1">
            <w:r w:rsidR="00E458AD" w:rsidRPr="00583DEB">
              <w:rPr>
                <w:rStyle w:val="Hipervnculo"/>
                <w:rFonts w:asciiTheme="majorHAnsi" w:eastAsia="Proxima Nova" w:hAnsiTheme="majorHAnsi" w:cstheme="majorHAnsi"/>
                <w:noProof/>
                <w:sz w:val="22"/>
                <w:szCs w:val="22"/>
              </w:rPr>
              <w:t>V. Recomendaciones</w:t>
            </w:r>
            <w:r w:rsidR="00E458AD" w:rsidRPr="00583DEB">
              <w:rPr>
                <w:rFonts w:asciiTheme="majorHAnsi" w:hAnsiTheme="majorHAnsi" w:cstheme="majorHAnsi"/>
                <w:noProof/>
                <w:webHidden/>
                <w:sz w:val="22"/>
                <w:szCs w:val="22"/>
              </w:rPr>
              <w:tab/>
            </w:r>
            <w:r w:rsidR="00E458AD" w:rsidRPr="00583DEB">
              <w:rPr>
                <w:rFonts w:asciiTheme="majorHAnsi" w:hAnsiTheme="majorHAnsi" w:cstheme="majorHAnsi"/>
                <w:noProof/>
                <w:webHidden/>
                <w:sz w:val="22"/>
                <w:szCs w:val="22"/>
              </w:rPr>
              <w:fldChar w:fldCharType="begin"/>
            </w:r>
            <w:r w:rsidR="00E458AD" w:rsidRPr="00583DEB">
              <w:rPr>
                <w:rFonts w:asciiTheme="majorHAnsi" w:hAnsiTheme="majorHAnsi" w:cstheme="majorHAnsi"/>
                <w:noProof/>
                <w:webHidden/>
                <w:sz w:val="22"/>
                <w:szCs w:val="22"/>
              </w:rPr>
              <w:instrText xml:space="preserve"> PAGEREF _Toc24650368 \h </w:instrText>
            </w:r>
            <w:r w:rsidR="00E458AD" w:rsidRPr="00583DEB">
              <w:rPr>
                <w:rFonts w:asciiTheme="majorHAnsi" w:hAnsiTheme="majorHAnsi" w:cstheme="majorHAnsi"/>
                <w:noProof/>
                <w:webHidden/>
                <w:sz w:val="22"/>
                <w:szCs w:val="22"/>
              </w:rPr>
            </w:r>
            <w:r w:rsidR="00E458AD" w:rsidRPr="00583DEB">
              <w:rPr>
                <w:rFonts w:asciiTheme="majorHAnsi" w:hAnsiTheme="majorHAnsi" w:cstheme="majorHAnsi"/>
                <w:noProof/>
                <w:webHidden/>
                <w:sz w:val="22"/>
                <w:szCs w:val="22"/>
              </w:rPr>
              <w:fldChar w:fldCharType="separate"/>
            </w:r>
            <w:r w:rsidR="00F01D09">
              <w:rPr>
                <w:rFonts w:asciiTheme="majorHAnsi" w:hAnsiTheme="majorHAnsi" w:cstheme="majorHAnsi"/>
                <w:noProof/>
                <w:webHidden/>
                <w:sz w:val="22"/>
                <w:szCs w:val="22"/>
              </w:rPr>
              <w:t>5</w:t>
            </w:r>
            <w:r w:rsidR="00E458AD" w:rsidRPr="00583DEB">
              <w:rPr>
                <w:rFonts w:asciiTheme="majorHAnsi" w:hAnsiTheme="majorHAnsi" w:cstheme="majorHAnsi"/>
                <w:noProof/>
                <w:webHidden/>
                <w:sz w:val="22"/>
                <w:szCs w:val="22"/>
              </w:rPr>
              <w:fldChar w:fldCharType="end"/>
            </w:r>
          </w:hyperlink>
        </w:p>
        <w:p w14:paraId="31DF9A5C" w14:textId="3D12A737" w:rsidR="0004663D" w:rsidRPr="00E458AD" w:rsidRDefault="00E458AD" w:rsidP="00E458AD">
          <w:r w:rsidRPr="00583DEB">
            <w:rPr>
              <w:rFonts w:asciiTheme="majorHAnsi" w:hAnsiTheme="majorHAnsi" w:cstheme="majorHAnsi"/>
              <w:bCs/>
              <w:sz w:val="22"/>
              <w:szCs w:val="22"/>
              <w:lang w:val="es-ES"/>
            </w:rPr>
            <w:fldChar w:fldCharType="end"/>
          </w:r>
        </w:p>
      </w:sdtContent>
    </w:sdt>
    <w:p w14:paraId="272C5A14" w14:textId="42E97CE9" w:rsidR="0004663D" w:rsidRPr="0004663D" w:rsidRDefault="0004663D" w:rsidP="0004663D">
      <w:pPr>
        <w:pStyle w:val="Ttulo1"/>
        <w:spacing w:line="276" w:lineRule="auto"/>
        <w:rPr>
          <w:rFonts w:eastAsia="Proxima Nova" w:cstheme="majorHAnsi"/>
          <w:b/>
          <w:color w:val="auto"/>
          <w:sz w:val="24"/>
          <w:szCs w:val="24"/>
          <w:u w:val="single"/>
        </w:rPr>
      </w:pPr>
      <w:bookmarkStart w:id="0" w:name="_Toc24650364"/>
      <w:r w:rsidRPr="00583DEB">
        <w:rPr>
          <w:rFonts w:eastAsia="Proxima Nova" w:cstheme="majorHAnsi"/>
          <w:b/>
          <w:color w:val="auto"/>
          <w:sz w:val="24"/>
          <w:szCs w:val="24"/>
        </w:rPr>
        <w:t>I.</w:t>
      </w:r>
      <w:r w:rsidRPr="0004663D">
        <w:rPr>
          <w:rFonts w:eastAsia="Proxima Nova" w:cstheme="majorHAnsi"/>
          <w:b/>
          <w:color w:val="auto"/>
          <w:sz w:val="24"/>
          <w:szCs w:val="24"/>
          <w:u w:val="single"/>
        </w:rPr>
        <w:t xml:space="preserve"> Antecedentes</w:t>
      </w:r>
      <w:bookmarkEnd w:id="0"/>
    </w:p>
    <w:p w14:paraId="1269C59F" w14:textId="77777777" w:rsidR="0004663D" w:rsidRPr="0004663D" w:rsidRDefault="0004663D" w:rsidP="0004663D">
      <w:pPr>
        <w:spacing w:line="276" w:lineRule="auto"/>
      </w:pPr>
    </w:p>
    <w:p w14:paraId="398B8BD9" w14:textId="3E57D7AC" w:rsidR="0004663D" w:rsidRDefault="00D97D67" w:rsidP="0004663D">
      <w:pPr>
        <w:pStyle w:val="Prrafodelista"/>
        <w:numPr>
          <w:ilvl w:val="0"/>
          <w:numId w:val="37"/>
        </w:numPr>
        <w:shd w:val="clear" w:color="auto" w:fill="FFFFFF"/>
        <w:spacing w:after="0" w:line="276" w:lineRule="auto"/>
        <w:jc w:val="both"/>
        <w:rPr>
          <w:rFonts w:asciiTheme="majorHAnsi" w:eastAsia="Proxima Nova" w:hAnsiTheme="majorHAnsi" w:cstheme="majorHAnsi"/>
        </w:rPr>
      </w:pPr>
      <w:r w:rsidRPr="0004663D">
        <w:rPr>
          <w:rFonts w:asciiTheme="majorHAnsi" w:eastAsia="Proxima Nova" w:hAnsiTheme="majorHAnsi" w:cstheme="majorHAnsi"/>
        </w:rPr>
        <w:t>La importancia del acceso a las tecnologías de la información y la comunicación (TIC) para el ejercicio de derechos humanos como la libertad de expresión, el derecho a la información, el acceso a la cultura, entre otros, ha propiciado que, en México, el acceso a las TIC sea reconocido como un derecho humano en el artículo 6 de la Constitu</w:t>
      </w:r>
      <w:bookmarkStart w:id="1" w:name="_GoBack"/>
      <w:bookmarkEnd w:id="1"/>
      <w:r w:rsidRPr="0004663D">
        <w:rPr>
          <w:rFonts w:asciiTheme="majorHAnsi" w:eastAsia="Proxima Nova" w:hAnsiTheme="majorHAnsi" w:cstheme="majorHAnsi"/>
        </w:rPr>
        <w:t>ción.</w:t>
      </w:r>
    </w:p>
    <w:p w14:paraId="4AF9A60B" w14:textId="77777777" w:rsidR="0004663D" w:rsidRPr="0004663D" w:rsidRDefault="0004663D" w:rsidP="0004663D">
      <w:pPr>
        <w:pStyle w:val="Prrafodelista"/>
        <w:shd w:val="clear" w:color="auto" w:fill="FFFFFF"/>
        <w:spacing w:after="0" w:line="276" w:lineRule="auto"/>
        <w:jc w:val="both"/>
        <w:rPr>
          <w:rFonts w:asciiTheme="majorHAnsi" w:eastAsia="Proxima Nova" w:hAnsiTheme="majorHAnsi" w:cstheme="majorHAnsi"/>
        </w:rPr>
      </w:pPr>
    </w:p>
    <w:p w14:paraId="6ED23AB9" w14:textId="73084404" w:rsidR="00D97D67" w:rsidRDefault="00D97D67" w:rsidP="0004663D">
      <w:pPr>
        <w:pStyle w:val="Prrafodelista"/>
        <w:numPr>
          <w:ilvl w:val="0"/>
          <w:numId w:val="37"/>
        </w:numPr>
        <w:shd w:val="clear" w:color="auto" w:fill="FFFFFF"/>
        <w:spacing w:after="0" w:line="276" w:lineRule="auto"/>
        <w:jc w:val="both"/>
        <w:rPr>
          <w:rFonts w:asciiTheme="majorHAnsi" w:eastAsia="Proxima Nova" w:hAnsiTheme="majorHAnsi" w:cstheme="majorHAnsi"/>
        </w:rPr>
      </w:pPr>
      <w:r w:rsidRPr="0004663D">
        <w:rPr>
          <w:rFonts w:asciiTheme="majorHAnsi" w:eastAsia="Proxima Nova" w:hAnsiTheme="majorHAnsi" w:cstheme="majorHAnsi"/>
        </w:rPr>
        <w:t>Igualmente, como ha sido ampliamente reconocido, por ejemplo, por el Relator Especial sobre la promoción y protección del derecho a la libertad de expresión y opinión de la Organización de las Naciones Unidas (ONU), existe una relación intrínseca entre derechos como la libertad de expresión y el acceso a las TIC y el derecho a la privacidad. En este sentido, no es posible disociar la protección del derecho a la privacidad de la promoción de la prestación de servicios de telecomunicaciones, ni de la garantía del derecho a la libertad de expresión.</w:t>
      </w:r>
    </w:p>
    <w:p w14:paraId="1F26548D" w14:textId="77777777" w:rsidR="00E458AD" w:rsidRPr="0004663D" w:rsidRDefault="00E458AD" w:rsidP="00E458AD">
      <w:pPr>
        <w:pStyle w:val="Prrafodelista"/>
        <w:shd w:val="clear" w:color="auto" w:fill="FFFFFF"/>
        <w:spacing w:after="0" w:line="276" w:lineRule="auto"/>
        <w:jc w:val="both"/>
        <w:rPr>
          <w:rFonts w:asciiTheme="majorHAnsi" w:eastAsia="Proxima Nova" w:hAnsiTheme="majorHAnsi" w:cstheme="majorHAnsi"/>
        </w:rPr>
      </w:pPr>
    </w:p>
    <w:p w14:paraId="0180C971" w14:textId="66C9E061" w:rsidR="0004663D" w:rsidRDefault="00D97D67" w:rsidP="0004663D">
      <w:pPr>
        <w:pStyle w:val="Prrafodelista"/>
        <w:numPr>
          <w:ilvl w:val="0"/>
          <w:numId w:val="37"/>
        </w:numPr>
        <w:shd w:val="clear" w:color="auto" w:fill="FFFFFF"/>
        <w:spacing w:after="0" w:line="276" w:lineRule="auto"/>
        <w:jc w:val="both"/>
        <w:rPr>
          <w:rFonts w:asciiTheme="majorHAnsi" w:eastAsia="Proxima Nova" w:hAnsiTheme="majorHAnsi" w:cstheme="majorHAnsi"/>
        </w:rPr>
      </w:pPr>
      <w:r w:rsidRPr="0004663D">
        <w:rPr>
          <w:rFonts w:asciiTheme="majorHAnsi" w:eastAsia="Proxima Nova" w:hAnsiTheme="majorHAnsi" w:cstheme="majorHAnsi"/>
        </w:rPr>
        <w:t xml:space="preserve">Si bien la Constitución y diversas leyes contemplan mecanismos institucionales especializados en la protección del derecho a la privacidad, como lo es el Instituto Nacional de Transparencia, Acceso a la Información y la Protección de Datos Personales (INAI), además de existir marcos jurídicos específicos como la Ley Federal de Protección de Datos Personales en Posesión de Particulares o la Ley General de Protección de Datos Personales en Posesión de Sujetos Obligados, debido a la relación existente entre la garantía de los derechos a la libertad de expresión y el acceso a las TIC, contemplados en los artículos 6o y 7o de la Constitución y la protección a la privacidad, es menester de los órganos reguladores en la materia de </w:t>
      </w:r>
      <w:r w:rsidRPr="0004663D">
        <w:rPr>
          <w:rFonts w:asciiTheme="majorHAnsi" w:eastAsia="Proxima Nova" w:hAnsiTheme="majorHAnsi" w:cstheme="majorHAnsi"/>
        </w:rPr>
        <w:lastRenderedPageBreak/>
        <w:t>telecomunicaciones el contemplar los impactos que su actividad regulatoria puede generar en el derecho a la privacidad.</w:t>
      </w:r>
    </w:p>
    <w:p w14:paraId="69B1CF23" w14:textId="77777777" w:rsidR="00E458AD" w:rsidRPr="0004663D" w:rsidRDefault="00E458AD" w:rsidP="00E458AD">
      <w:pPr>
        <w:pStyle w:val="Prrafodelista"/>
        <w:shd w:val="clear" w:color="auto" w:fill="FFFFFF"/>
        <w:spacing w:after="0" w:line="276" w:lineRule="auto"/>
        <w:jc w:val="both"/>
        <w:rPr>
          <w:rFonts w:asciiTheme="majorHAnsi" w:eastAsia="Proxima Nova" w:hAnsiTheme="majorHAnsi" w:cstheme="majorHAnsi"/>
        </w:rPr>
      </w:pPr>
    </w:p>
    <w:p w14:paraId="6A7CB398" w14:textId="332F6637" w:rsidR="00D97D67" w:rsidRPr="0004663D" w:rsidRDefault="00D97D67" w:rsidP="0004663D">
      <w:pPr>
        <w:pStyle w:val="Prrafodelista"/>
        <w:numPr>
          <w:ilvl w:val="0"/>
          <w:numId w:val="37"/>
        </w:numPr>
        <w:shd w:val="clear" w:color="auto" w:fill="FFFFFF"/>
        <w:spacing w:after="0" w:line="276" w:lineRule="auto"/>
        <w:jc w:val="both"/>
        <w:rPr>
          <w:rFonts w:asciiTheme="majorHAnsi" w:eastAsia="Proxima Nova" w:hAnsiTheme="majorHAnsi" w:cstheme="majorHAnsi"/>
        </w:rPr>
      </w:pPr>
      <w:r w:rsidRPr="0004663D">
        <w:rPr>
          <w:rFonts w:asciiTheme="majorHAnsi" w:eastAsia="Proxima Nova" w:hAnsiTheme="majorHAnsi" w:cstheme="majorHAnsi"/>
        </w:rPr>
        <w:t xml:space="preserve">De esta manera, la Constitución y la Ley Federal de Telecomunicaciones y Radiodifusión (LFTR), además de reconocer al Instituto Federal de Telecomunicaciones, como garante de los artículos 6o y 7o de la Constitución, contempla diversas disposiciones que directa e indirectamente inciden en el derecho a la privacidad, </w:t>
      </w:r>
      <w:r w:rsidR="0004663D" w:rsidRPr="0004663D">
        <w:rPr>
          <w:rFonts w:asciiTheme="majorHAnsi" w:eastAsia="Proxima Nova" w:hAnsiTheme="majorHAnsi" w:cstheme="majorHAnsi"/>
        </w:rPr>
        <w:t>y,</w:t>
      </w:r>
      <w:r w:rsidRPr="0004663D">
        <w:rPr>
          <w:rFonts w:asciiTheme="majorHAnsi" w:eastAsia="Proxima Nova" w:hAnsiTheme="majorHAnsi" w:cstheme="majorHAnsi"/>
        </w:rPr>
        <w:t xml:space="preserve"> por ende, requieren del Instituto su debida consideración.</w:t>
      </w:r>
    </w:p>
    <w:p w14:paraId="7AC22FF0" w14:textId="032D6267" w:rsidR="00D97D67" w:rsidRPr="0004663D" w:rsidRDefault="0004663D" w:rsidP="0004663D">
      <w:pPr>
        <w:pStyle w:val="Ttulo1"/>
        <w:spacing w:line="276" w:lineRule="auto"/>
        <w:rPr>
          <w:rFonts w:eastAsia="Proxima Nova" w:cstheme="majorHAnsi"/>
          <w:b/>
          <w:color w:val="auto"/>
          <w:sz w:val="24"/>
          <w:szCs w:val="24"/>
          <w:u w:val="single"/>
        </w:rPr>
      </w:pPr>
      <w:bookmarkStart w:id="2" w:name="_Toc24650365"/>
      <w:r w:rsidRPr="00583DEB">
        <w:rPr>
          <w:rFonts w:eastAsia="Proxima Nova" w:cstheme="majorHAnsi"/>
          <w:b/>
          <w:color w:val="auto"/>
          <w:sz w:val="24"/>
          <w:szCs w:val="24"/>
        </w:rPr>
        <w:t>II.</w:t>
      </w:r>
      <w:r w:rsidRPr="0004663D">
        <w:rPr>
          <w:rFonts w:eastAsia="Proxima Nova" w:cstheme="majorHAnsi"/>
          <w:b/>
          <w:color w:val="auto"/>
          <w:sz w:val="24"/>
          <w:szCs w:val="24"/>
          <w:u w:val="single"/>
        </w:rPr>
        <w:t xml:space="preserve"> </w:t>
      </w:r>
      <w:r w:rsidR="00D97D67" w:rsidRPr="0004663D">
        <w:rPr>
          <w:rFonts w:eastAsia="Proxima Nova" w:cstheme="majorHAnsi"/>
          <w:b/>
          <w:color w:val="auto"/>
          <w:sz w:val="24"/>
          <w:szCs w:val="24"/>
          <w:u w:val="single"/>
        </w:rPr>
        <w:t>Facultad sancionatoria por infracciones a la confidencialidad y privacidad de personas usuarias de telecomunicaciones</w:t>
      </w:r>
      <w:bookmarkEnd w:id="2"/>
    </w:p>
    <w:p w14:paraId="7F24BE3D" w14:textId="77777777" w:rsidR="0004663D" w:rsidRPr="0004663D" w:rsidRDefault="0004663D" w:rsidP="0004663D">
      <w:pPr>
        <w:spacing w:line="276" w:lineRule="auto"/>
      </w:pPr>
    </w:p>
    <w:p w14:paraId="0D0D7A4B" w14:textId="7F92704E" w:rsidR="00D97D67"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t>El artículo 298, apartado D), fracción V de la LFTR otorga al Instituto la facultad de imponer sanciones a los concesionarios o autorizados cuando no establezcan las medidas necesarias para garantizar la confidencialidad y privacidad de las comunicaciones de los usuarios.</w:t>
      </w:r>
    </w:p>
    <w:p w14:paraId="2FEB6470" w14:textId="77777777" w:rsidR="00E458AD" w:rsidRPr="0004663D" w:rsidRDefault="00E458AD" w:rsidP="00E458AD">
      <w:pPr>
        <w:pStyle w:val="Prrafodelista"/>
        <w:shd w:val="clear" w:color="auto" w:fill="FFFFFF"/>
        <w:spacing w:line="276" w:lineRule="auto"/>
        <w:jc w:val="both"/>
        <w:rPr>
          <w:rFonts w:asciiTheme="majorHAnsi" w:eastAsia="Proxima Nova" w:hAnsiTheme="majorHAnsi" w:cstheme="majorHAnsi"/>
        </w:rPr>
      </w:pPr>
    </w:p>
    <w:p w14:paraId="39CB1D40" w14:textId="20F2C4ED" w:rsidR="00D97D67"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t xml:space="preserve">De lo anterior se desprende una función supervisora en materia de privacidad por parte del Instituto que implica, por un lado, la necesidad de </w:t>
      </w:r>
      <w:r w:rsidR="0004663D" w:rsidRPr="0004663D">
        <w:rPr>
          <w:rFonts w:asciiTheme="majorHAnsi" w:eastAsia="Proxima Nova" w:hAnsiTheme="majorHAnsi" w:cstheme="majorHAnsi"/>
        </w:rPr>
        <w:t>que,</w:t>
      </w:r>
      <w:r w:rsidRPr="0004663D">
        <w:rPr>
          <w:rFonts w:asciiTheme="majorHAnsi" w:eastAsia="Proxima Nova" w:hAnsiTheme="majorHAnsi" w:cstheme="majorHAnsi"/>
        </w:rPr>
        <w:t xml:space="preserve"> al usar su facultad regulatoria, se asegure de contemplar, y en su caso, determinar las medidas necesarias para garantizar la confidencialidad y privacidad de las comunicaciones de los usuarios. </w:t>
      </w:r>
    </w:p>
    <w:p w14:paraId="1C796BE0" w14:textId="77777777" w:rsidR="00E458AD" w:rsidRPr="0004663D" w:rsidRDefault="00E458AD" w:rsidP="00E458AD">
      <w:pPr>
        <w:pStyle w:val="Prrafodelista"/>
        <w:shd w:val="clear" w:color="auto" w:fill="FFFFFF"/>
        <w:spacing w:line="276" w:lineRule="auto"/>
        <w:jc w:val="both"/>
        <w:rPr>
          <w:rFonts w:asciiTheme="majorHAnsi" w:eastAsia="Proxima Nova" w:hAnsiTheme="majorHAnsi" w:cstheme="majorHAnsi"/>
        </w:rPr>
      </w:pPr>
    </w:p>
    <w:p w14:paraId="3CDD8D2D" w14:textId="1DA92B6F" w:rsidR="00D97D67" w:rsidRPr="0004663D"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t>De igual manera, la facultad sancionatoria mencionada implica la necesidad de que el Instituto cuente con el personal especializado en materia de privacidad que permita al Instituto contar con las herramientas de análisis necesarias para desempeñar su función regulatoria y sancionatoria en materia de privacidad. Asimismo, resulta fundamental estrechar las relaciones entre el Instituto y el INAI, de manera que se fortalezca la protección del derecho a la privacidad en las decisiones del Instituto que puedan afectarla.</w:t>
      </w:r>
    </w:p>
    <w:p w14:paraId="690E01C1" w14:textId="14A32C35" w:rsidR="00D97D67" w:rsidRDefault="0004663D" w:rsidP="0004663D">
      <w:pPr>
        <w:pStyle w:val="Ttulo1"/>
        <w:spacing w:line="276" w:lineRule="auto"/>
        <w:rPr>
          <w:rFonts w:eastAsia="Proxima Nova" w:cstheme="majorHAnsi"/>
          <w:b/>
          <w:color w:val="auto"/>
          <w:sz w:val="24"/>
          <w:szCs w:val="24"/>
          <w:u w:val="single"/>
        </w:rPr>
      </w:pPr>
      <w:bookmarkStart w:id="3" w:name="_Toc24650366"/>
      <w:r w:rsidRPr="00583DEB">
        <w:rPr>
          <w:rFonts w:eastAsia="Proxima Nova" w:cstheme="majorHAnsi"/>
          <w:b/>
          <w:color w:val="auto"/>
          <w:sz w:val="24"/>
          <w:szCs w:val="24"/>
        </w:rPr>
        <w:t>III.</w:t>
      </w:r>
      <w:r w:rsidRPr="0004663D">
        <w:rPr>
          <w:rFonts w:eastAsia="Proxima Nova" w:cstheme="majorHAnsi"/>
          <w:b/>
          <w:color w:val="auto"/>
          <w:sz w:val="24"/>
          <w:szCs w:val="24"/>
          <w:u w:val="single"/>
        </w:rPr>
        <w:t xml:space="preserve"> </w:t>
      </w:r>
      <w:r w:rsidR="00D97D67" w:rsidRPr="0004663D">
        <w:rPr>
          <w:rFonts w:eastAsia="Proxima Nova" w:cstheme="majorHAnsi"/>
          <w:b/>
          <w:color w:val="auto"/>
          <w:sz w:val="24"/>
          <w:szCs w:val="24"/>
          <w:u w:val="single"/>
        </w:rPr>
        <w:t>Colaboración en materia de seguridad y justicia</w:t>
      </w:r>
      <w:bookmarkEnd w:id="3"/>
    </w:p>
    <w:p w14:paraId="52E3B93B" w14:textId="77777777" w:rsidR="00E458AD" w:rsidRPr="00E458AD" w:rsidRDefault="00E458AD" w:rsidP="00E458AD"/>
    <w:p w14:paraId="5966256C" w14:textId="77777777" w:rsidR="00D97D67" w:rsidRPr="0004663D"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t>Un ejemplo concreto de disposiciones en materia de telecomunicaciones que tienen una clara incidencia en la protección del derecho a la privacidad, son las disposiciones sobre la colaboración en materia de seguridad y justicia por parte de concesionarios y autorizados para prestar servicios de telecomunicaciones, según lo disponen los artículos 189 y 190 de la LFTR.</w:t>
      </w:r>
    </w:p>
    <w:p w14:paraId="3EB6980C" w14:textId="77777777" w:rsidR="00D97D67" w:rsidRPr="00D97D67" w:rsidRDefault="00D97D67" w:rsidP="0004663D">
      <w:pPr>
        <w:shd w:val="clear" w:color="auto" w:fill="FFFFFF"/>
        <w:spacing w:line="276" w:lineRule="auto"/>
        <w:jc w:val="both"/>
        <w:rPr>
          <w:rFonts w:asciiTheme="majorHAnsi" w:eastAsia="Proxima Nova" w:hAnsiTheme="majorHAnsi" w:cstheme="majorHAnsi"/>
        </w:rPr>
      </w:pPr>
    </w:p>
    <w:p w14:paraId="0C6CE10F" w14:textId="5BC33248" w:rsidR="00D97D67"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lastRenderedPageBreak/>
        <w:t>Como ha sido reconocido el Grupo de Trabajo sobre Protección de Datos</w:t>
      </w:r>
      <w:r w:rsidRPr="00D97D67">
        <w:rPr>
          <w:rFonts w:eastAsia="Proxima Nova"/>
          <w:vertAlign w:val="superscript"/>
        </w:rPr>
        <w:footnoteReference w:id="1"/>
      </w:r>
      <w:r w:rsidRPr="0004663D">
        <w:rPr>
          <w:rFonts w:asciiTheme="majorHAnsi" w:eastAsia="Proxima Nova" w:hAnsiTheme="majorHAnsi" w:cstheme="majorHAnsi"/>
        </w:rPr>
        <w:t xml:space="preserve"> y por organismos internacionales de derechos humanos</w:t>
      </w:r>
      <w:r w:rsidRPr="00D97D67">
        <w:rPr>
          <w:rFonts w:eastAsia="Proxima Nova"/>
          <w:vertAlign w:val="superscript"/>
        </w:rPr>
        <w:footnoteReference w:id="2"/>
      </w:r>
      <w:r w:rsidRPr="0004663D">
        <w:rPr>
          <w:rFonts w:asciiTheme="majorHAnsi" w:eastAsia="Proxima Nova" w:hAnsiTheme="majorHAnsi" w:cstheme="majorHAnsi"/>
        </w:rPr>
        <w:t xml:space="preserve"> y tribunales internacionales como el Tribunal Europeo de Derechos Humanos</w:t>
      </w:r>
      <w:r w:rsidRPr="00D97D67">
        <w:rPr>
          <w:rFonts w:eastAsia="Proxima Nova"/>
          <w:vertAlign w:val="superscript"/>
        </w:rPr>
        <w:footnoteReference w:id="3"/>
      </w:r>
      <w:r w:rsidRPr="0004663D">
        <w:rPr>
          <w:rFonts w:asciiTheme="majorHAnsi" w:eastAsia="Proxima Nova" w:hAnsiTheme="majorHAnsi" w:cstheme="majorHAnsi"/>
        </w:rPr>
        <w:t>, las facultades de acceso a datos de usuarios de telecomunicaciones representan un riesgo para el derecho a la privacidad que requiere, entre otras cosas, que las normas que establecen este tipo de medidas sean precisas, claras y detalladas, de manera que las personas puedan conocer de antemano las circunstancias en las que el Estado podrá invadir su privacidad de manera legítima</w:t>
      </w:r>
      <w:r w:rsidRPr="00D97D67">
        <w:rPr>
          <w:rFonts w:eastAsia="Proxima Nova"/>
          <w:vertAlign w:val="superscript"/>
        </w:rPr>
        <w:footnoteReference w:id="4"/>
      </w:r>
      <w:r w:rsidRPr="0004663D">
        <w:rPr>
          <w:rFonts w:asciiTheme="majorHAnsi" w:eastAsia="Proxima Nova" w:hAnsiTheme="majorHAnsi" w:cstheme="majorHAnsi"/>
        </w:rPr>
        <w:t>.</w:t>
      </w:r>
    </w:p>
    <w:p w14:paraId="6A6CDCD4" w14:textId="77777777" w:rsidR="00E458AD" w:rsidRPr="0004663D" w:rsidRDefault="00E458AD" w:rsidP="00E458AD">
      <w:pPr>
        <w:pStyle w:val="Prrafodelista"/>
        <w:shd w:val="clear" w:color="auto" w:fill="FFFFFF"/>
        <w:spacing w:line="276" w:lineRule="auto"/>
        <w:jc w:val="both"/>
        <w:rPr>
          <w:rFonts w:asciiTheme="majorHAnsi" w:eastAsia="Proxima Nova" w:hAnsiTheme="majorHAnsi" w:cstheme="majorHAnsi"/>
        </w:rPr>
      </w:pPr>
    </w:p>
    <w:p w14:paraId="2D9F00AE" w14:textId="132C334A" w:rsidR="00D97D67"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t>Igualmente ha sido reiteradamente reconocido por organismos internacionales de derechos humanos</w:t>
      </w:r>
      <w:r w:rsidRPr="00D97D67">
        <w:rPr>
          <w:rFonts w:eastAsia="Proxima Nova"/>
          <w:vertAlign w:val="superscript"/>
        </w:rPr>
        <w:footnoteReference w:id="5"/>
      </w:r>
      <w:r w:rsidRPr="0004663D">
        <w:rPr>
          <w:rFonts w:asciiTheme="majorHAnsi" w:eastAsia="Proxima Nova" w:hAnsiTheme="majorHAnsi" w:cstheme="majorHAnsi"/>
        </w:rPr>
        <w:t xml:space="preserve"> que la particularidad invasiva de las medidas de vigilancia y el potencial riesgo de abuso hacen necesario que existan esquemas de control democrático, como lo es el control judicial previo o inmediato, las medidas de transparencia, supervisión independiente o el derecho a la notificación de las personas afectadas</w:t>
      </w:r>
      <w:r w:rsidRPr="00D97D67">
        <w:rPr>
          <w:rFonts w:eastAsia="Proxima Nova"/>
          <w:vertAlign w:val="superscript"/>
        </w:rPr>
        <w:footnoteReference w:id="6"/>
      </w:r>
      <w:r w:rsidRPr="0004663D">
        <w:rPr>
          <w:rFonts w:asciiTheme="majorHAnsi" w:eastAsia="Proxima Nova" w:hAnsiTheme="majorHAnsi" w:cstheme="majorHAnsi"/>
        </w:rPr>
        <w:t>, entre otras medidas.</w:t>
      </w:r>
    </w:p>
    <w:p w14:paraId="21B85FF9" w14:textId="77777777" w:rsidR="00E458AD" w:rsidRPr="0004663D" w:rsidRDefault="00E458AD" w:rsidP="00E458AD">
      <w:pPr>
        <w:pStyle w:val="Prrafodelista"/>
        <w:shd w:val="clear" w:color="auto" w:fill="FFFFFF"/>
        <w:spacing w:line="276" w:lineRule="auto"/>
        <w:jc w:val="both"/>
        <w:rPr>
          <w:rFonts w:asciiTheme="majorHAnsi" w:eastAsia="Proxima Nova" w:hAnsiTheme="majorHAnsi" w:cstheme="majorHAnsi"/>
        </w:rPr>
      </w:pPr>
    </w:p>
    <w:p w14:paraId="726BF215" w14:textId="0956E3A6" w:rsidR="00D97D67"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t xml:space="preserve">Una medida de control que ha sido ampliamente aceptada, incluso de manera voluntaria por parte de varias empresas de telecomunicaciones, es la publicación de informes de </w:t>
      </w:r>
      <w:r w:rsidRPr="0004663D">
        <w:rPr>
          <w:rFonts w:asciiTheme="majorHAnsi" w:eastAsia="Proxima Nova" w:hAnsiTheme="majorHAnsi" w:cstheme="majorHAnsi"/>
        </w:rPr>
        <w:lastRenderedPageBreak/>
        <w:t>transparencia estadística sobre las solicitudes de acceso a datos de usuarios por parte de autoridades de seguridad y justicia</w:t>
      </w:r>
      <w:r w:rsidRPr="00D97D67">
        <w:rPr>
          <w:rFonts w:eastAsia="Proxima Nova"/>
          <w:vertAlign w:val="superscript"/>
        </w:rPr>
        <w:footnoteReference w:id="7"/>
      </w:r>
      <w:r w:rsidRPr="0004663D">
        <w:rPr>
          <w:rFonts w:asciiTheme="majorHAnsi" w:eastAsia="Proxima Nova" w:hAnsiTheme="majorHAnsi" w:cstheme="majorHAnsi"/>
        </w:rPr>
        <w:t xml:space="preserve">. </w:t>
      </w:r>
    </w:p>
    <w:p w14:paraId="6568084E" w14:textId="77777777" w:rsidR="00E458AD" w:rsidRPr="0004663D" w:rsidRDefault="00E458AD" w:rsidP="00E458AD">
      <w:pPr>
        <w:pStyle w:val="Prrafodelista"/>
        <w:shd w:val="clear" w:color="auto" w:fill="FFFFFF"/>
        <w:spacing w:line="276" w:lineRule="auto"/>
        <w:jc w:val="both"/>
        <w:rPr>
          <w:rFonts w:asciiTheme="majorHAnsi" w:eastAsia="Proxima Nova" w:hAnsiTheme="majorHAnsi" w:cstheme="majorHAnsi"/>
        </w:rPr>
      </w:pPr>
    </w:p>
    <w:p w14:paraId="6CF5E47C" w14:textId="61F923D6" w:rsidR="00D97D67" w:rsidRDefault="00D97D67" w:rsidP="0004663D">
      <w:pPr>
        <w:pStyle w:val="Prrafodelista"/>
        <w:numPr>
          <w:ilvl w:val="0"/>
          <w:numId w:val="37"/>
        </w:numPr>
        <w:spacing w:line="276" w:lineRule="auto"/>
        <w:jc w:val="both"/>
        <w:rPr>
          <w:rFonts w:asciiTheme="majorHAnsi" w:eastAsia="Proxima Nova" w:hAnsiTheme="majorHAnsi" w:cstheme="majorHAnsi"/>
        </w:rPr>
      </w:pPr>
      <w:r w:rsidRPr="0004663D">
        <w:rPr>
          <w:rFonts w:asciiTheme="majorHAnsi" w:eastAsia="Proxima Nova" w:hAnsiTheme="majorHAnsi" w:cstheme="majorHAnsi"/>
        </w:rPr>
        <w:t>Al emitir los Lineamientos de Colaboración en Materia de Seguridad y Justicia publicados en el Diario Oficial de la Federación el 2 de diciembre de 2015</w:t>
      </w:r>
      <w:r w:rsidRPr="00D97D67">
        <w:rPr>
          <w:rFonts w:eastAsia="Proxima Nova"/>
          <w:vertAlign w:val="superscript"/>
        </w:rPr>
        <w:footnoteReference w:id="8"/>
      </w:r>
      <w:r w:rsidRPr="0004663D">
        <w:rPr>
          <w:rFonts w:asciiTheme="majorHAnsi" w:eastAsia="Proxima Nova" w:hAnsiTheme="majorHAnsi" w:cstheme="majorHAnsi"/>
        </w:rPr>
        <w:t>, el Instituto contempló disposiciones encaminadas a favorecer la transparencia en la colaboración en materia de seguridad y justicia. En concreto, el Lineamiento Décimo Octavo de dichos Lineamientos estableció la obligación de las concesionarias y autorizadas de telecomunicaciones de entregar al IFT un informe semestral que debía contener información estadística como el número de requerimientos recibidos y cumplimentados de parte de autoridades facultadas, los cuales serían publicados por el Instituto en su portal de Internet.</w:t>
      </w:r>
    </w:p>
    <w:p w14:paraId="2DE0BCCF" w14:textId="77777777" w:rsidR="00E458AD" w:rsidRPr="0004663D" w:rsidRDefault="00E458AD" w:rsidP="00E458AD">
      <w:pPr>
        <w:pStyle w:val="Prrafodelista"/>
        <w:spacing w:line="276" w:lineRule="auto"/>
        <w:jc w:val="both"/>
        <w:rPr>
          <w:rFonts w:asciiTheme="majorHAnsi" w:eastAsia="Proxima Nova" w:hAnsiTheme="majorHAnsi" w:cstheme="majorHAnsi"/>
        </w:rPr>
      </w:pPr>
    </w:p>
    <w:p w14:paraId="55348EE6" w14:textId="3C07F4D3" w:rsidR="00D97D67" w:rsidRDefault="00D97D67" w:rsidP="0004663D">
      <w:pPr>
        <w:pStyle w:val="Prrafodelista"/>
        <w:numPr>
          <w:ilvl w:val="0"/>
          <w:numId w:val="37"/>
        </w:numPr>
        <w:spacing w:line="276" w:lineRule="auto"/>
        <w:jc w:val="both"/>
        <w:rPr>
          <w:rFonts w:asciiTheme="majorHAnsi" w:eastAsia="Proxima Nova" w:hAnsiTheme="majorHAnsi" w:cstheme="majorHAnsi"/>
        </w:rPr>
      </w:pPr>
      <w:r w:rsidRPr="0004663D">
        <w:rPr>
          <w:rFonts w:asciiTheme="majorHAnsi" w:eastAsia="Proxima Nova" w:hAnsiTheme="majorHAnsi" w:cstheme="majorHAnsi"/>
        </w:rPr>
        <w:t xml:space="preserve">La producción y publicación de estos informes durante los años 2016 y 2017 permitió al Instituto y al público en general conocer información relevante sobre las medidas de colaboración en materia de seguridad y justicia. </w:t>
      </w:r>
    </w:p>
    <w:p w14:paraId="18480B56" w14:textId="77777777" w:rsidR="00E458AD" w:rsidRPr="0004663D" w:rsidRDefault="00E458AD" w:rsidP="00E458AD">
      <w:pPr>
        <w:pStyle w:val="Prrafodelista"/>
        <w:spacing w:line="276" w:lineRule="auto"/>
        <w:jc w:val="both"/>
        <w:rPr>
          <w:rFonts w:asciiTheme="majorHAnsi" w:eastAsia="Proxima Nova" w:hAnsiTheme="majorHAnsi" w:cstheme="majorHAnsi"/>
        </w:rPr>
      </w:pPr>
    </w:p>
    <w:p w14:paraId="289C6625" w14:textId="7548014D" w:rsidR="00D97D67" w:rsidRDefault="00D97D67" w:rsidP="0004663D">
      <w:pPr>
        <w:pStyle w:val="Prrafodelista"/>
        <w:numPr>
          <w:ilvl w:val="0"/>
          <w:numId w:val="37"/>
        </w:numPr>
        <w:spacing w:line="276" w:lineRule="auto"/>
        <w:jc w:val="both"/>
        <w:rPr>
          <w:rFonts w:asciiTheme="majorHAnsi" w:eastAsia="Proxima Nova" w:hAnsiTheme="majorHAnsi" w:cstheme="majorHAnsi"/>
        </w:rPr>
      </w:pPr>
      <w:r w:rsidRPr="0004663D">
        <w:rPr>
          <w:rFonts w:asciiTheme="majorHAnsi" w:eastAsia="Proxima Nova" w:hAnsiTheme="majorHAnsi" w:cstheme="majorHAnsi"/>
        </w:rPr>
        <w:t>Por ejemplo, destaca que, entre los años 2016 y 2017, los concesionarios y autorizados de telecomunicaciones reportaron haber recibido poco más de 140 mil solicitudes de acceso a datos conservados y de geolocalización, de las cuales, en 97 por ciento de las ocasiones, la información fue entregada. Asimismo, 31.5 por ciento de las solicitudes reportadas –casi la tercera parte– fueron realizadas por autoridades sin facultades o cuya identidad no se conoce</w:t>
      </w:r>
      <w:r w:rsidRPr="00D97D67">
        <w:rPr>
          <w:rFonts w:eastAsia="Proxima Nova"/>
          <w:vertAlign w:val="superscript"/>
        </w:rPr>
        <w:footnoteReference w:id="9"/>
      </w:r>
      <w:r w:rsidRPr="0004663D">
        <w:rPr>
          <w:rFonts w:asciiTheme="majorHAnsi" w:eastAsia="Proxima Nova" w:hAnsiTheme="majorHAnsi" w:cstheme="majorHAnsi"/>
        </w:rPr>
        <w:t>.</w:t>
      </w:r>
    </w:p>
    <w:p w14:paraId="6666E1DA" w14:textId="77777777" w:rsidR="00E458AD" w:rsidRPr="0004663D" w:rsidRDefault="00E458AD" w:rsidP="00E458AD">
      <w:pPr>
        <w:pStyle w:val="Prrafodelista"/>
        <w:spacing w:line="276" w:lineRule="auto"/>
        <w:jc w:val="both"/>
        <w:rPr>
          <w:rFonts w:asciiTheme="majorHAnsi" w:eastAsia="Proxima Nova" w:hAnsiTheme="majorHAnsi" w:cstheme="majorHAnsi"/>
        </w:rPr>
      </w:pPr>
    </w:p>
    <w:p w14:paraId="201AC01D" w14:textId="1B99C346" w:rsidR="00D97D67" w:rsidRDefault="00D97D67" w:rsidP="0004663D">
      <w:pPr>
        <w:pStyle w:val="Prrafodelista"/>
        <w:numPr>
          <w:ilvl w:val="0"/>
          <w:numId w:val="37"/>
        </w:numPr>
        <w:spacing w:line="276" w:lineRule="auto"/>
        <w:jc w:val="both"/>
        <w:rPr>
          <w:rFonts w:asciiTheme="majorHAnsi" w:eastAsia="Proxima Nova" w:hAnsiTheme="majorHAnsi" w:cstheme="majorHAnsi"/>
        </w:rPr>
      </w:pPr>
      <w:r w:rsidRPr="0004663D">
        <w:rPr>
          <w:rFonts w:asciiTheme="majorHAnsi" w:eastAsia="Proxima Nova" w:hAnsiTheme="majorHAnsi" w:cstheme="majorHAnsi"/>
        </w:rPr>
        <w:t>De manera preocupante, los datos reportados revelan que Telcel y Telmex entregaron información en el 100 por ciento de las solicitudes recibidas (110,214 y 6,402, respectivamente), en tanto que Movistar otorgó los datos en 83.4 por ciento de las ocasiones; y AT&amp;T, en 61.5 por ciento. Merece la pena destacar que 31 por ciento de las solicitudes recibidas por Telcel (y entregadas en su totalidad) fueron efectuadas por autoridades sin facultades o no identificadas</w:t>
      </w:r>
      <w:r w:rsidRPr="00D97D67">
        <w:rPr>
          <w:rFonts w:eastAsia="Proxima Nova"/>
          <w:vertAlign w:val="superscript"/>
        </w:rPr>
        <w:footnoteReference w:id="10"/>
      </w:r>
      <w:r w:rsidRPr="0004663D">
        <w:rPr>
          <w:rFonts w:asciiTheme="majorHAnsi" w:eastAsia="Proxima Nova" w:hAnsiTheme="majorHAnsi" w:cstheme="majorHAnsi"/>
        </w:rPr>
        <w:t>.</w:t>
      </w:r>
    </w:p>
    <w:p w14:paraId="74E50DF9" w14:textId="77777777" w:rsidR="00E458AD" w:rsidRPr="0004663D" w:rsidRDefault="00E458AD" w:rsidP="00E458AD">
      <w:pPr>
        <w:pStyle w:val="Prrafodelista"/>
        <w:spacing w:line="276" w:lineRule="auto"/>
        <w:jc w:val="both"/>
        <w:rPr>
          <w:rFonts w:asciiTheme="majorHAnsi" w:eastAsia="Proxima Nova" w:hAnsiTheme="majorHAnsi" w:cstheme="majorHAnsi"/>
        </w:rPr>
      </w:pPr>
    </w:p>
    <w:p w14:paraId="30FD5044" w14:textId="6419E852" w:rsidR="00D97D67"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lastRenderedPageBreak/>
        <w:t>No obstante la relevancia pública de la información contenida en los informes requeridos por el Instituto con base en los Lineamientos y de la utilidad para el ejercicio de las facultades propias del Instituto relacionadas con la protección del derecho a la privacidad, el Instituto decidió eliminar dichas obligaciones en abril de 2018</w:t>
      </w:r>
      <w:r w:rsidRPr="00D97D67">
        <w:rPr>
          <w:rFonts w:eastAsia="Proxima Nova"/>
          <w:vertAlign w:val="superscript"/>
        </w:rPr>
        <w:footnoteReference w:id="11"/>
      </w:r>
      <w:r w:rsidRPr="0004663D">
        <w:rPr>
          <w:rFonts w:asciiTheme="majorHAnsi" w:eastAsia="Proxima Nova" w:hAnsiTheme="majorHAnsi" w:cstheme="majorHAnsi"/>
        </w:rPr>
        <w:t>, por lo que hoy no es posible para el Instituto y para los usuarios conocer el número de solicitudes de acceso a usuarios que recibe cada concesionario o autorizado, las autoridades solicitantes o el número de solicitudes que son cumplidas o negadas por los concesionarios o autorizados.</w:t>
      </w:r>
    </w:p>
    <w:p w14:paraId="50F26B8D" w14:textId="77777777" w:rsidR="00E458AD" w:rsidRPr="0004663D" w:rsidRDefault="00E458AD" w:rsidP="00E458AD">
      <w:pPr>
        <w:pStyle w:val="Prrafodelista"/>
        <w:shd w:val="clear" w:color="auto" w:fill="FFFFFF"/>
        <w:spacing w:line="276" w:lineRule="auto"/>
        <w:jc w:val="both"/>
        <w:rPr>
          <w:rFonts w:asciiTheme="majorHAnsi" w:eastAsia="Proxima Nova" w:hAnsiTheme="majorHAnsi" w:cstheme="majorHAnsi"/>
        </w:rPr>
      </w:pPr>
    </w:p>
    <w:p w14:paraId="6AEEF1B1" w14:textId="7F5200E8" w:rsidR="0004663D" w:rsidRPr="00E458AD"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t>En este sentido, este Consejo considera que sería recomendable reconsiderar la eliminación de la obligación de emisión de reportes estadísticos, escuchando previamente a las autoridades de seguridad y justicia, como señala el artículo 190 y siguiendo el proceso de consulta pública correspondiente, de manera que se fortalezca la protección de la privacidad de los usuarios de telecomunicaciones y, de igual manera, el Instituto cuente con mejor información para cumplir con sus funciones en la materia.</w:t>
      </w:r>
    </w:p>
    <w:p w14:paraId="0A691534" w14:textId="367D2C9D" w:rsidR="00D97D67" w:rsidRDefault="0004663D" w:rsidP="0004663D">
      <w:pPr>
        <w:pStyle w:val="Ttulo1"/>
        <w:spacing w:line="276" w:lineRule="auto"/>
        <w:rPr>
          <w:rFonts w:eastAsia="Proxima Nova" w:cstheme="majorHAnsi"/>
          <w:b/>
          <w:color w:val="auto"/>
          <w:sz w:val="24"/>
          <w:szCs w:val="24"/>
          <w:u w:val="single"/>
        </w:rPr>
      </w:pPr>
      <w:bookmarkStart w:id="4" w:name="_Toc24650367"/>
      <w:r w:rsidRPr="00583DEB">
        <w:rPr>
          <w:rFonts w:eastAsia="Proxima Nova" w:cstheme="majorHAnsi"/>
          <w:b/>
          <w:color w:val="auto"/>
          <w:sz w:val="24"/>
          <w:szCs w:val="24"/>
        </w:rPr>
        <w:t>IV.</w:t>
      </w:r>
      <w:r w:rsidRPr="0004663D">
        <w:rPr>
          <w:rFonts w:eastAsia="Proxima Nova" w:cstheme="majorHAnsi"/>
          <w:b/>
          <w:color w:val="auto"/>
          <w:sz w:val="24"/>
          <w:szCs w:val="24"/>
          <w:u w:val="single"/>
        </w:rPr>
        <w:t xml:space="preserve"> </w:t>
      </w:r>
      <w:r w:rsidR="00D97D67" w:rsidRPr="0004663D">
        <w:rPr>
          <w:rFonts w:eastAsia="Proxima Nova" w:cstheme="majorHAnsi"/>
          <w:b/>
          <w:color w:val="auto"/>
          <w:sz w:val="24"/>
          <w:szCs w:val="24"/>
          <w:u w:val="single"/>
        </w:rPr>
        <w:t>Lineamientos sobre la neutralidad de la red</w:t>
      </w:r>
      <w:bookmarkEnd w:id="4"/>
    </w:p>
    <w:p w14:paraId="7B25657D" w14:textId="77777777" w:rsidR="00E458AD" w:rsidRPr="00E458AD" w:rsidRDefault="00E458AD" w:rsidP="00E458AD"/>
    <w:p w14:paraId="6790F2D6" w14:textId="4DD17718" w:rsidR="00D97D67"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t>El artículo 145, fracción III de la LFTR dispone que el Instituto debe expedir Lineamientos a los que deberán sujetarse los concesionarios y autorizados que presten el servicio de acceso a Internet, dentro de los cuales deberán incluirse lineamientos tendientes a garantizar la protección de la privacidad de los usuarios.</w:t>
      </w:r>
    </w:p>
    <w:p w14:paraId="77D2AEFA" w14:textId="77777777" w:rsidR="00E458AD" w:rsidRPr="0004663D" w:rsidRDefault="00E458AD" w:rsidP="00E458AD">
      <w:pPr>
        <w:pStyle w:val="Prrafodelista"/>
        <w:shd w:val="clear" w:color="auto" w:fill="FFFFFF"/>
        <w:spacing w:line="276" w:lineRule="auto"/>
        <w:jc w:val="both"/>
        <w:rPr>
          <w:rFonts w:asciiTheme="majorHAnsi" w:eastAsia="Proxima Nova" w:hAnsiTheme="majorHAnsi" w:cstheme="majorHAnsi"/>
        </w:rPr>
      </w:pPr>
    </w:p>
    <w:p w14:paraId="0A88DBDE" w14:textId="199ECFDE" w:rsidR="00D97D67" w:rsidRPr="0004663D"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t>En efecto, si bien la adopción de medidas de gestión de tráfico puede resultar necesaria o legítima en ciertas circunstancias, en opinión de este Consejo, es importante que los Lineamientos contemplen medidas para garantizar que los métodos utilizados por parte de los concesionarios y autorizados sean respetuosos del derecho a la privacidad.</w:t>
      </w:r>
    </w:p>
    <w:p w14:paraId="0394D2D5" w14:textId="42FD76E8" w:rsidR="00D97D67" w:rsidRDefault="0004663D" w:rsidP="0004663D">
      <w:pPr>
        <w:pStyle w:val="Ttulo1"/>
        <w:spacing w:line="276" w:lineRule="auto"/>
        <w:rPr>
          <w:rFonts w:eastAsia="Proxima Nova" w:cstheme="majorHAnsi"/>
          <w:b/>
          <w:color w:val="auto"/>
          <w:sz w:val="24"/>
          <w:szCs w:val="24"/>
          <w:u w:val="single"/>
        </w:rPr>
      </w:pPr>
      <w:bookmarkStart w:id="5" w:name="_Toc24650368"/>
      <w:r w:rsidRPr="00583DEB">
        <w:rPr>
          <w:rFonts w:eastAsia="Proxima Nova" w:cstheme="majorHAnsi"/>
          <w:b/>
          <w:color w:val="auto"/>
          <w:sz w:val="24"/>
          <w:szCs w:val="24"/>
        </w:rPr>
        <w:t>V.</w:t>
      </w:r>
      <w:r w:rsidRPr="0004663D">
        <w:rPr>
          <w:rFonts w:eastAsia="Proxima Nova" w:cstheme="majorHAnsi"/>
          <w:b/>
          <w:color w:val="auto"/>
          <w:sz w:val="24"/>
          <w:szCs w:val="24"/>
          <w:u w:val="single"/>
        </w:rPr>
        <w:t xml:space="preserve"> </w:t>
      </w:r>
      <w:r w:rsidR="00D97D67" w:rsidRPr="0004663D">
        <w:rPr>
          <w:rFonts w:eastAsia="Proxima Nova" w:cstheme="majorHAnsi"/>
          <w:b/>
          <w:color w:val="auto"/>
          <w:sz w:val="24"/>
          <w:szCs w:val="24"/>
          <w:u w:val="single"/>
        </w:rPr>
        <w:t>Recomendaciones</w:t>
      </w:r>
      <w:bookmarkEnd w:id="5"/>
    </w:p>
    <w:p w14:paraId="10C78DBB" w14:textId="77777777" w:rsidR="00E458AD" w:rsidRPr="00E458AD" w:rsidRDefault="00E458AD" w:rsidP="00E458AD"/>
    <w:p w14:paraId="7F68EED8" w14:textId="77777777" w:rsidR="00D97D67" w:rsidRPr="0004663D" w:rsidRDefault="00D97D67" w:rsidP="0004663D">
      <w:pPr>
        <w:pStyle w:val="Prrafodelista"/>
        <w:numPr>
          <w:ilvl w:val="0"/>
          <w:numId w:val="37"/>
        </w:numPr>
        <w:shd w:val="clear" w:color="auto" w:fill="FFFFFF"/>
        <w:spacing w:line="276" w:lineRule="auto"/>
        <w:jc w:val="both"/>
        <w:rPr>
          <w:rFonts w:asciiTheme="majorHAnsi" w:eastAsia="Proxima Nova" w:hAnsiTheme="majorHAnsi" w:cstheme="majorHAnsi"/>
        </w:rPr>
      </w:pPr>
      <w:r w:rsidRPr="0004663D">
        <w:rPr>
          <w:rFonts w:asciiTheme="majorHAnsi" w:eastAsia="Proxima Nova" w:hAnsiTheme="majorHAnsi" w:cstheme="majorHAnsi"/>
        </w:rPr>
        <w:t>En virtud de las consideraciones anteriores, este Consejo recomienda al Instituto Federal de Telecomunicaciones lo siguiente:</w:t>
      </w:r>
    </w:p>
    <w:p w14:paraId="779FE0E2" w14:textId="77777777" w:rsidR="00D97D67" w:rsidRPr="00D97D67" w:rsidRDefault="00D97D67" w:rsidP="0004663D">
      <w:pPr>
        <w:shd w:val="clear" w:color="auto" w:fill="FFFFFF"/>
        <w:spacing w:line="276" w:lineRule="auto"/>
        <w:jc w:val="both"/>
        <w:rPr>
          <w:rFonts w:asciiTheme="majorHAnsi" w:eastAsia="Proxima Nova" w:hAnsiTheme="majorHAnsi" w:cstheme="majorHAnsi"/>
          <w:b/>
        </w:rPr>
      </w:pPr>
    </w:p>
    <w:p w14:paraId="0184AFEB" w14:textId="60833572" w:rsidR="00D97D67" w:rsidRPr="00583DEB" w:rsidRDefault="00D97D67" w:rsidP="00583DEB">
      <w:pPr>
        <w:numPr>
          <w:ilvl w:val="0"/>
          <w:numId w:val="38"/>
        </w:numPr>
        <w:shd w:val="clear" w:color="auto" w:fill="FFFFFF"/>
        <w:spacing w:after="0" w:line="276" w:lineRule="auto"/>
        <w:jc w:val="both"/>
        <w:rPr>
          <w:rFonts w:asciiTheme="majorHAnsi" w:eastAsia="Proxima Nova" w:hAnsiTheme="majorHAnsi" w:cstheme="majorHAnsi"/>
        </w:rPr>
      </w:pPr>
      <w:r w:rsidRPr="00583DEB">
        <w:rPr>
          <w:rFonts w:asciiTheme="majorHAnsi" w:eastAsia="Proxima Nova" w:hAnsiTheme="majorHAnsi" w:cstheme="majorHAnsi"/>
        </w:rPr>
        <w:lastRenderedPageBreak/>
        <w:t>Asegurarse de contemplar y atender los impactos que las decisiones del Instituto, en el desempeño de sus competencias, pueden tener en el derecho a la privacidad de los usuarios de servicios de telecomunicaciones.</w:t>
      </w:r>
    </w:p>
    <w:p w14:paraId="24A63A72" w14:textId="77777777" w:rsidR="00E458AD" w:rsidRPr="00583DEB" w:rsidRDefault="00E458AD" w:rsidP="00E458AD">
      <w:pPr>
        <w:shd w:val="clear" w:color="auto" w:fill="FFFFFF"/>
        <w:spacing w:after="0" w:line="276" w:lineRule="auto"/>
        <w:ind w:left="720"/>
        <w:jc w:val="both"/>
        <w:rPr>
          <w:rFonts w:asciiTheme="majorHAnsi" w:eastAsia="Proxima Nova" w:hAnsiTheme="majorHAnsi" w:cstheme="majorHAnsi"/>
        </w:rPr>
      </w:pPr>
    </w:p>
    <w:p w14:paraId="512A4E90" w14:textId="781F2EF4" w:rsidR="00D97D67" w:rsidRPr="00583DEB" w:rsidRDefault="00D97D67" w:rsidP="00583DEB">
      <w:pPr>
        <w:numPr>
          <w:ilvl w:val="0"/>
          <w:numId w:val="38"/>
        </w:numPr>
        <w:shd w:val="clear" w:color="auto" w:fill="FFFFFF"/>
        <w:spacing w:after="0" w:line="276" w:lineRule="auto"/>
        <w:jc w:val="both"/>
        <w:rPr>
          <w:rFonts w:asciiTheme="majorHAnsi" w:eastAsia="Proxima Nova" w:hAnsiTheme="majorHAnsi" w:cstheme="majorHAnsi"/>
        </w:rPr>
      </w:pPr>
      <w:r w:rsidRPr="00583DEB">
        <w:rPr>
          <w:rFonts w:asciiTheme="majorHAnsi" w:eastAsia="Proxima Nova" w:hAnsiTheme="majorHAnsi" w:cstheme="majorHAnsi"/>
        </w:rPr>
        <w:t>Fortalecer las capacidades institucionales del Instituto en materia de privacidad y estrechar las relaciones con el INAI.</w:t>
      </w:r>
    </w:p>
    <w:p w14:paraId="5F59450B" w14:textId="77777777" w:rsidR="00E458AD" w:rsidRPr="00583DEB" w:rsidRDefault="00E458AD" w:rsidP="00E458AD">
      <w:pPr>
        <w:shd w:val="clear" w:color="auto" w:fill="FFFFFF"/>
        <w:spacing w:after="0" w:line="276" w:lineRule="auto"/>
        <w:ind w:left="720"/>
        <w:jc w:val="both"/>
        <w:rPr>
          <w:rFonts w:asciiTheme="majorHAnsi" w:eastAsia="Proxima Nova" w:hAnsiTheme="majorHAnsi" w:cstheme="majorHAnsi"/>
        </w:rPr>
      </w:pPr>
    </w:p>
    <w:p w14:paraId="3BF20F9D" w14:textId="3025823E" w:rsidR="00D97D67" w:rsidRPr="00583DEB" w:rsidRDefault="00D97D67" w:rsidP="00583DEB">
      <w:pPr>
        <w:numPr>
          <w:ilvl w:val="0"/>
          <w:numId w:val="38"/>
        </w:numPr>
        <w:shd w:val="clear" w:color="auto" w:fill="FFFFFF"/>
        <w:spacing w:after="0" w:line="276" w:lineRule="auto"/>
        <w:jc w:val="both"/>
        <w:rPr>
          <w:rFonts w:asciiTheme="majorHAnsi" w:eastAsia="Proxima Nova" w:hAnsiTheme="majorHAnsi" w:cstheme="majorHAnsi"/>
        </w:rPr>
      </w:pPr>
      <w:r w:rsidRPr="00583DEB">
        <w:rPr>
          <w:rFonts w:asciiTheme="majorHAnsi" w:eastAsia="Proxima Nova" w:hAnsiTheme="majorHAnsi" w:cstheme="majorHAnsi"/>
        </w:rPr>
        <w:t>Luego de escuchar a las autoridades de seguridad y justicia, reintroducir a los Lineamientos de Colaboración en materia de Seguridad y Justicia la obligación de los concesionarios y autorizados de telecomunicaciones de enviar al Instituto un reporte estadístico sobre el número, origen y respuesta otorgada de las solicitudes de colaboración provenientes de autoridades de seguridad y justicia.</w:t>
      </w:r>
    </w:p>
    <w:p w14:paraId="2A02512D" w14:textId="77777777" w:rsidR="00E458AD" w:rsidRPr="00583DEB" w:rsidRDefault="00E458AD" w:rsidP="00E458AD">
      <w:pPr>
        <w:shd w:val="clear" w:color="auto" w:fill="FFFFFF"/>
        <w:spacing w:after="0" w:line="276" w:lineRule="auto"/>
        <w:ind w:left="720"/>
        <w:jc w:val="both"/>
        <w:rPr>
          <w:rFonts w:asciiTheme="majorHAnsi" w:eastAsia="Proxima Nova" w:hAnsiTheme="majorHAnsi" w:cstheme="majorHAnsi"/>
        </w:rPr>
      </w:pPr>
    </w:p>
    <w:p w14:paraId="1ECAD6D4" w14:textId="7AD86CBA" w:rsidR="00871D14" w:rsidRPr="00F3048C" w:rsidRDefault="00D97D67" w:rsidP="00F3048C">
      <w:pPr>
        <w:numPr>
          <w:ilvl w:val="0"/>
          <w:numId w:val="38"/>
        </w:numPr>
        <w:shd w:val="clear" w:color="auto" w:fill="FFFFFF"/>
        <w:spacing w:after="0" w:line="276" w:lineRule="auto"/>
        <w:jc w:val="both"/>
        <w:rPr>
          <w:rFonts w:asciiTheme="majorHAnsi" w:eastAsia="Proxima Nova" w:hAnsiTheme="majorHAnsi" w:cstheme="majorHAnsi"/>
        </w:rPr>
      </w:pPr>
      <w:r w:rsidRPr="00583DEB">
        <w:rPr>
          <w:rFonts w:asciiTheme="majorHAnsi" w:eastAsia="Proxima Nova" w:hAnsiTheme="majorHAnsi" w:cstheme="majorHAnsi"/>
        </w:rPr>
        <w:t>Establecer disposiciones para la protección del derecho a la privacidad al emitir los Lineamientos a los que se refiere el artículo 145 de la LFTR.</w:t>
      </w:r>
    </w:p>
    <w:p w14:paraId="499BF553" w14:textId="091741E5" w:rsidR="00E458AD" w:rsidRDefault="00E458AD" w:rsidP="00F3048C">
      <w:pPr>
        <w:autoSpaceDE w:val="0"/>
        <w:autoSpaceDN w:val="0"/>
        <w:adjustRightInd w:val="0"/>
        <w:spacing w:before="240" w:line="276" w:lineRule="auto"/>
        <w:jc w:val="center"/>
        <w:rPr>
          <w:rFonts w:asciiTheme="majorHAnsi" w:eastAsia="Calibri" w:hAnsiTheme="majorHAnsi" w:cstheme="majorHAnsi"/>
          <w:b/>
          <w:bCs/>
          <w:noProof/>
          <w:lang w:eastAsia="es-MX"/>
        </w:rPr>
      </w:pPr>
    </w:p>
    <w:p w14:paraId="5C479D65" w14:textId="77777777" w:rsidR="00F01D09" w:rsidRPr="00D97D67" w:rsidRDefault="00F01D09" w:rsidP="00F3048C">
      <w:pPr>
        <w:autoSpaceDE w:val="0"/>
        <w:autoSpaceDN w:val="0"/>
        <w:adjustRightInd w:val="0"/>
        <w:spacing w:before="240" w:line="276" w:lineRule="auto"/>
        <w:jc w:val="center"/>
        <w:rPr>
          <w:rFonts w:asciiTheme="majorHAnsi" w:eastAsia="Calibri" w:hAnsiTheme="majorHAnsi" w:cstheme="majorHAnsi"/>
          <w:b/>
          <w:bCs/>
          <w:noProof/>
          <w:lang w:eastAsia="es-MX"/>
        </w:rPr>
      </w:pPr>
    </w:p>
    <w:p w14:paraId="66A0483F" w14:textId="77777777" w:rsidR="00871D14" w:rsidRPr="00D97D67" w:rsidRDefault="00871D14" w:rsidP="00E458AD">
      <w:pPr>
        <w:autoSpaceDE w:val="0"/>
        <w:autoSpaceDN w:val="0"/>
        <w:adjustRightInd w:val="0"/>
        <w:spacing w:after="0" w:line="276" w:lineRule="auto"/>
        <w:jc w:val="center"/>
        <w:rPr>
          <w:rFonts w:asciiTheme="majorHAnsi" w:eastAsia="Calibri" w:hAnsiTheme="majorHAnsi" w:cstheme="majorHAnsi"/>
          <w:b/>
          <w:bCs/>
        </w:rPr>
      </w:pPr>
      <w:r w:rsidRPr="00D97D67">
        <w:rPr>
          <w:rFonts w:asciiTheme="majorHAnsi" w:eastAsia="Calibri" w:hAnsiTheme="majorHAnsi" w:cstheme="majorHAnsi"/>
          <w:b/>
          <w:bCs/>
        </w:rPr>
        <w:t xml:space="preserve">Dr. Ernesto M. Flores-Roux </w:t>
      </w:r>
    </w:p>
    <w:p w14:paraId="2E0092CC" w14:textId="77777777" w:rsidR="00871D14" w:rsidRPr="00D97D67" w:rsidRDefault="00871D14" w:rsidP="00E458AD">
      <w:pPr>
        <w:autoSpaceDE w:val="0"/>
        <w:autoSpaceDN w:val="0"/>
        <w:adjustRightInd w:val="0"/>
        <w:spacing w:after="0" w:line="276" w:lineRule="auto"/>
        <w:jc w:val="center"/>
        <w:rPr>
          <w:rFonts w:asciiTheme="majorHAnsi" w:eastAsia="Calibri" w:hAnsiTheme="majorHAnsi" w:cstheme="majorHAnsi"/>
          <w:b/>
          <w:bCs/>
        </w:rPr>
      </w:pPr>
      <w:r w:rsidRPr="00D97D67">
        <w:rPr>
          <w:rFonts w:asciiTheme="majorHAnsi" w:eastAsia="Calibri" w:hAnsiTheme="majorHAnsi" w:cstheme="majorHAnsi"/>
          <w:b/>
          <w:bCs/>
        </w:rPr>
        <w:t>Presidente</w:t>
      </w:r>
    </w:p>
    <w:p w14:paraId="670C63E3" w14:textId="77777777" w:rsidR="00871D14" w:rsidRPr="00D97D67" w:rsidRDefault="00871D14" w:rsidP="00E458AD">
      <w:pPr>
        <w:autoSpaceDE w:val="0"/>
        <w:autoSpaceDN w:val="0"/>
        <w:adjustRightInd w:val="0"/>
        <w:spacing w:after="0" w:line="276" w:lineRule="auto"/>
        <w:rPr>
          <w:rFonts w:asciiTheme="majorHAnsi" w:eastAsia="Calibri" w:hAnsiTheme="majorHAnsi" w:cstheme="majorHAnsi"/>
          <w:b/>
          <w:bCs/>
        </w:rPr>
      </w:pPr>
    </w:p>
    <w:p w14:paraId="6CFE1785" w14:textId="3923EF9C" w:rsidR="00F3048C" w:rsidRPr="00D97D67" w:rsidRDefault="00F3048C" w:rsidP="00E458AD">
      <w:pPr>
        <w:autoSpaceDE w:val="0"/>
        <w:autoSpaceDN w:val="0"/>
        <w:adjustRightInd w:val="0"/>
        <w:spacing w:after="0" w:line="276" w:lineRule="auto"/>
        <w:rPr>
          <w:rFonts w:asciiTheme="majorHAnsi" w:eastAsia="Calibri" w:hAnsiTheme="majorHAnsi" w:cstheme="majorHAnsi"/>
          <w:b/>
          <w:bCs/>
        </w:rPr>
      </w:pPr>
    </w:p>
    <w:p w14:paraId="60B4E004" w14:textId="77777777" w:rsidR="00871D14" w:rsidRPr="00D97D67" w:rsidRDefault="00871D14" w:rsidP="00E458AD">
      <w:pPr>
        <w:autoSpaceDE w:val="0"/>
        <w:autoSpaceDN w:val="0"/>
        <w:adjustRightInd w:val="0"/>
        <w:spacing w:after="0" w:line="276" w:lineRule="auto"/>
        <w:jc w:val="center"/>
        <w:rPr>
          <w:rFonts w:asciiTheme="majorHAnsi" w:eastAsia="Calibri" w:hAnsiTheme="majorHAnsi" w:cstheme="majorHAnsi"/>
          <w:b/>
          <w:bCs/>
        </w:rPr>
      </w:pPr>
      <w:r w:rsidRPr="00D97D67">
        <w:rPr>
          <w:rFonts w:asciiTheme="majorHAnsi" w:eastAsia="Calibri" w:hAnsiTheme="majorHAnsi" w:cstheme="majorHAnsi"/>
          <w:b/>
          <w:bCs/>
        </w:rPr>
        <w:t>Lic. Juan José Crispín Borbolla</w:t>
      </w:r>
    </w:p>
    <w:p w14:paraId="1B0C668F" w14:textId="0A4B2603" w:rsidR="00F3048C" w:rsidRDefault="00871D14" w:rsidP="00F01D09">
      <w:pPr>
        <w:autoSpaceDE w:val="0"/>
        <w:autoSpaceDN w:val="0"/>
        <w:adjustRightInd w:val="0"/>
        <w:spacing w:after="0" w:line="276" w:lineRule="auto"/>
        <w:jc w:val="center"/>
        <w:rPr>
          <w:rFonts w:asciiTheme="majorHAnsi" w:eastAsia="Calibri" w:hAnsiTheme="majorHAnsi" w:cstheme="majorHAnsi"/>
          <w:b/>
          <w:bCs/>
        </w:rPr>
      </w:pPr>
      <w:r w:rsidRPr="00D97D67">
        <w:rPr>
          <w:rFonts w:asciiTheme="majorHAnsi" w:eastAsia="Calibri" w:hAnsiTheme="majorHAnsi" w:cstheme="majorHAnsi"/>
          <w:b/>
          <w:bCs/>
        </w:rPr>
        <w:t>Secretario</w:t>
      </w:r>
    </w:p>
    <w:p w14:paraId="7FFDF5E9" w14:textId="77777777" w:rsidR="00F01D09" w:rsidRDefault="00F01D09" w:rsidP="00F01D09">
      <w:pPr>
        <w:autoSpaceDE w:val="0"/>
        <w:autoSpaceDN w:val="0"/>
        <w:adjustRightInd w:val="0"/>
        <w:spacing w:after="0" w:line="276" w:lineRule="auto"/>
        <w:jc w:val="center"/>
        <w:rPr>
          <w:rFonts w:ascii="Calibri" w:hAnsi="Calibri" w:cs="Calibri"/>
          <w:sz w:val="18"/>
          <w:szCs w:val="18"/>
        </w:rPr>
      </w:pPr>
    </w:p>
    <w:p w14:paraId="0D95C061" w14:textId="766A26F1" w:rsidR="00ED4752" w:rsidRPr="00CB08C7" w:rsidRDefault="0048027C" w:rsidP="0048027C">
      <w:pPr>
        <w:spacing w:after="0"/>
        <w:jc w:val="both"/>
        <w:rPr>
          <w:rFonts w:ascii="Calibri" w:hAnsi="Calibri" w:cs="Calibri"/>
          <w:sz w:val="16"/>
          <w:szCs w:val="16"/>
        </w:rPr>
      </w:pPr>
      <w:r w:rsidRPr="00CB08C7">
        <w:rPr>
          <w:rFonts w:ascii="Calibri" w:hAnsi="Calibri" w:cs="Calibri"/>
          <w:sz w:val="16"/>
          <w:szCs w:val="16"/>
        </w:rPr>
        <w:t xml:space="preserve">La Recomendación fue aprobada por el IV Consejo Consultivo del Instituto Federal de Telecomunicaciones por unanimidad en lo general, </w:t>
      </w:r>
      <w:r w:rsidR="00ED763C" w:rsidRPr="00CB08C7">
        <w:rPr>
          <w:rFonts w:ascii="Calibri" w:hAnsi="Calibri" w:cs="Calibri"/>
          <w:sz w:val="16"/>
          <w:szCs w:val="16"/>
        </w:rPr>
        <w:t xml:space="preserve"> </w:t>
      </w:r>
      <w:r w:rsidRPr="00CB08C7">
        <w:rPr>
          <w:rFonts w:ascii="Calibri" w:hAnsi="Calibri" w:cs="Calibri"/>
          <w:sz w:val="16"/>
          <w:szCs w:val="16"/>
        </w:rPr>
        <w:t xml:space="preserve">con los votos a favor de los Consejeros Sara Gabriela Castellanos Pascacio, Ernesto M. Flores-Roux, Luis Fernando García Muñoz, Gerardo Francisco González Abarca, Santiago Gutiérrez Fernández, Alejandro Ulises Mendoza Pérez, Jorge Fernando Negrete Pacheco, Armida Sánchez Arellano y Primavera Téllez Girón García; y, con la abstención en la recomendación tercera de los Consejeros Alejandro Ulises Mendoza Pérez y Santiago Gutiérrez Fernández, quienes </w:t>
      </w:r>
      <w:r w:rsidR="00A377DD" w:rsidRPr="00CB08C7">
        <w:rPr>
          <w:rFonts w:ascii="Calibri" w:hAnsi="Calibri" w:cs="Calibri"/>
          <w:sz w:val="16"/>
          <w:szCs w:val="16"/>
        </w:rPr>
        <w:t>optaron por no presentar</w:t>
      </w:r>
      <w:r w:rsidR="0092289C" w:rsidRPr="00CB08C7">
        <w:rPr>
          <w:rFonts w:ascii="Calibri" w:hAnsi="Calibri" w:cs="Calibri"/>
          <w:sz w:val="16"/>
          <w:szCs w:val="16"/>
        </w:rPr>
        <w:t xml:space="preserve"> su razonamiento por escrito; en su IX Sesión Ordinaria celebrada el 7 de noviembre de 2019, mediante Acuerdo CC/IFT/071119/22.</w:t>
      </w:r>
    </w:p>
    <w:p w14:paraId="625DE02B" w14:textId="0D327443" w:rsidR="0048027C" w:rsidRPr="00F3048C" w:rsidRDefault="0048027C" w:rsidP="00F3048C">
      <w:pPr>
        <w:autoSpaceDE w:val="0"/>
        <w:autoSpaceDN w:val="0"/>
        <w:adjustRightInd w:val="0"/>
        <w:spacing w:before="240" w:after="0"/>
        <w:jc w:val="both"/>
        <w:rPr>
          <w:sz w:val="16"/>
          <w:szCs w:val="16"/>
          <w:lang w:val="es-ES_tradnl"/>
        </w:rPr>
      </w:pPr>
      <w:r w:rsidRPr="00CB08C7">
        <w:rPr>
          <w:rFonts w:ascii="Calibri" w:eastAsia="Calibri" w:hAnsi="Calibri" w:cs="Times New Roman"/>
          <w:bCs/>
          <w:sz w:val="16"/>
          <w:szCs w:val="16"/>
        </w:rPr>
        <w:t>El proyecto de Recomendación fue desarrollado por el Conse</w:t>
      </w:r>
      <w:r w:rsidR="0092289C" w:rsidRPr="00CB08C7">
        <w:rPr>
          <w:rFonts w:ascii="Calibri" w:eastAsia="Calibri" w:hAnsi="Calibri" w:cs="Times New Roman"/>
          <w:bCs/>
          <w:sz w:val="16"/>
          <w:szCs w:val="16"/>
        </w:rPr>
        <w:t>jero Luis Fernando García Muñoz.</w:t>
      </w:r>
    </w:p>
    <w:sectPr w:rsidR="0048027C" w:rsidRPr="00F3048C" w:rsidSect="00F96DA1">
      <w:headerReference w:type="even" r:id="rId8"/>
      <w:headerReference w:type="default" r:id="rId9"/>
      <w:footerReference w:type="default" r:id="rId10"/>
      <w:headerReference w:type="first" r:id="rId11"/>
      <w:pgSz w:w="12240" w:h="15840"/>
      <w:pgMar w:top="2269" w:right="1325" w:bottom="709"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AC0C2" w14:textId="77777777" w:rsidR="008B67C5" w:rsidRDefault="008B67C5" w:rsidP="00F60C09">
      <w:pPr>
        <w:spacing w:after="0"/>
      </w:pPr>
      <w:r>
        <w:separator/>
      </w:r>
    </w:p>
  </w:endnote>
  <w:endnote w:type="continuationSeparator" w:id="0">
    <w:p w14:paraId="7E162A92" w14:textId="77777777" w:rsidR="008B67C5" w:rsidRDefault="008B67C5" w:rsidP="00F60C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Hebrew Scholar">
    <w:charset w:val="00"/>
    <w:family w:val="auto"/>
    <w:pitch w:val="variable"/>
    <w:sig w:usb0="80000843" w:usb1="40002002"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425099"/>
      <w:docPartObj>
        <w:docPartGallery w:val="Page Numbers (Bottom of Page)"/>
        <w:docPartUnique/>
      </w:docPartObj>
    </w:sdtPr>
    <w:sdtEndPr>
      <w:rPr>
        <w:rFonts w:asciiTheme="majorHAnsi" w:hAnsiTheme="majorHAnsi" w:cstheme="majorHAnsi"/>
        <w:sz w:val="16"/>
        <w:szCs w:val="16"/>
      </w:rPr>
    </w:sdtEndPr>
    <w:sdtContent>
      <w:p w14:paraId="3452C264" w14:textId="7A56BBC5" w:rsidR="004A36EB" w:rsidRPr="00C47843" w:rsidRDefault="004A36EB">
        <w:pPr>
          <w:pStyle w:val="Piedepgina"/>
          <w:jc w:val="right"/>
          <w:rPr>
            <w:rFonts w:asciiTheme="majorHAnsi" w:hAnsiTheme="majorHAnsi" w:cstheme="majorHAnsi"/>
            <w:sz w:val="16"/>
            <w:szCs w:val="16"/>
          </w:rPr>
        </w:pPr>
        <w:r w:rsidRPr="00C47843">
          <w:rPr>
            <w:rFonts w:asciiTheme="majorHAnsi" w:hAnsiTheme="majorHAnsi" w:cstheme="majorHAnsi"/>
            <w:sz w:val="16"/>
            <w:szCs w:val="16"/>
          </w:rPr>
          <w:fldChar w:fldCharType="begin"/>
        </w:r>
        <w:r w:rsidRPr="00C47843">
          <w:rPr>
            <w:rFonts w:asciiTheme="majorHAnsi" w:hAnsiTheme="majorHAnsi" w:cstheme="majorHAnsi"/>
            <w:sz w:val="16"/>
            <w:szCs w:val="16"/>
          </w:rPr>
          <w:instrText>PAGE   \* MERGEFORMAT</w:instrText>
        </w:r>
        <w:r w:rsidRPr="00C47843">
          <w:rPr>
            <w:rFonts w:asciiTheme="majorHAnsi" w:hAnsiTheme="majorHAnsi" w:cstheme="majorHAnsi"/>
            <w:sz w:val="16"/>
            <w:szCs w:val="16"/>
          </w:rPr>
          <w:fldChar w:fldCharType="separate"/>
        </w:r>
        <w:r w:rsidR="00F01D09" w:rsidRPr="00F01D09">
          <w:rPr>
            <w:rFonts w:asciiTheme="majorHAnsi" w:hAnsiTheme="majorHAnsi" w:cstheme="majorHAnsi"/>
            <w:noProof/>
            <w:sz w:val="16"/>
            <w:szCs w:val="16"/>
            <w:lang w:val="es-ES"/>
          </w:rPr>
          <w:t>1</w:t>
        </w:r>
        <w:r w:rsidRPr="00C47843">
          <w:rPr>
            <w:rFonts w:asciiTheme="majorHAnsi" w:hAnsiTheme="majorHAnsi" w:cstheme="majorHAnsi"/>
            <w:sz w:val="16"/>
            <w:szCs w:val="16"/>
          </w:rPr>
          <w:fldChar w:fldCharType="end"/>
        </w:r>
      </w:p>
    </w:sdtContent>
  </w:sdt>
  <w:p w14:paraId="65F8357E" w14:textId="77777777" w:rsidR="004A36EB" w:rsidRDefault="004A36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1F03" w14:textId="77777777" w:rsidR="008B67C5" w:rsidRDefault="008B67C5" w:rsidP="00F60C09">
      <w:pPr>
        <w:spacing w:after="0"/>
      </w:pPr>
      <w:r>
        <w:separator/>
      </w:r>
    </w:p>
  </w:footnote>
  <w:footnote w:type="continuationSeparator" w:id="0">
    <w:p w14:paraId="48005E86" w14:textId="77777777" w:rsidR="008B67C5" w:rsidRDefault="008B67C5" w:rsidP="00F60C09">
      <w:pPr>
        <w:spacing w:after="0"/>
      </w:pPr>
      <w:r>
        <w:continuationSeparator/>
      </w:r>
    </w:p>
  </w:footnote>
  <w:footnote w:id="1">
    <w:p w14:paraId="22689B39" w14:textId="48D8993F" w:rsidR="00D97D67" w:rsidRPr="00D97D67" w:rsidRDefault="00D97D67" w:rsidP="00E458AD">
      <w:pPr>
        <w:jc w:val="both"/>
        <w:rPr>
          <w:rFonts w:asciiTheme="majorHAnsi" w:eastAsia="Proxima Nova" w:hAnsiTheme="majorHAnsi" w:cstheme="majorHAnsi"/>
          <w:sz w:val="16"/>
          <w:szCs w:val="16"/>
        </w:rPr>
      </w:pPr>
      <w:r w:rsidRPr="00D97D67">
        <w:rPr>
          <w:rFonts w:asciiTheme="majorHAnsi" w:hAnsiTheme="majorHAnsi" w:cstheme="majorHAnsi"/>
          <w:sz w:val="16"/>
          <w:szCs w:val="16"/>
          <w:vertAlign w:val="superscript"/>
        </w:rPr>
        <w:footnoteRef/>
      </w:r>
      <w:r w:rsidRPr="00D97D67">
        <w:rPr>
          <w:rFonts w:asciiTheme="majorHAnsi" w:eastAsia="Proxima Nova" w:hAnsiTheme="majorHAnsi" w:cstheme="majorHAnsi"/>
          <w:sz w:val="16"/>
          <w:szCs w:val="16"/>
        </w:rPr>
        <w:t xml:space="preserve"> Grupo de Trabajo sobre Protección de Datos Establecido por el artículo 29 de la Directiva 95/46/CE del Parlamento Europeo. </w:t>
      </w:r>
      <w:r w:rsidRPr="00D97D67">
        <w:rPr>
          <w:rFonts w:asciiTheme="majorHAnsi" w:eastAsia="Proxima Nova" w:hAnsiTheme="majorHAnsi" w:cstheme="majorHAnsi"/>
          <w:i/>
          <w:sz w:val="16"/>
          <w:szCs w:val="16"/>
        </w:rPr>
        <w:t>Dictamen 13/2011 sobre los servicios de geolocalización en los dispositivos móviles inteligentes.</w:t>
      </w:r>
      <w:r w:rsidRPr="00D97D67">
        <w:rPr>
          <w:rFonts w:asciiTheme="majorHAnsi" w:eastAsia="Proxima Nova" w:hAnsiTheme="majorHAnsi" w:cstheme="majorHAnsi"/>
          <w:sz w:val="16"/>
          <w:szCs w:val="16"/>
        </w:rPr>
        <w:t xml:space="preserve"> 16 de mayo de 2011. Disponible en: </w:t>
      </w:r>
      <w:r w:rsidRPr="00D97D67">
        <w:rPr>
          <w:rFonts w:asciiTheme="majorHAnsi" w:eastAsia="Proxima Nova" w:hAnsiTheme="majorHAnsi" w:cstheme="majorHAnsi"/>
          <w:color w:val="1155CC"/>
          <w:sz w:val="16"/>
          <w:szCs w:val="16"/>
          <w:u w:val="single"/>
        </w:rPr>
        <w:t>https://www.apda.ad/system/files/wp185_es.pdf</w:t>
      </w:r>
      <w:r w:rsidRPr="00D97D67">
        <w:rPr>
          <w:rFonts w:asciiTheme="majorHAnsi" w:eastAsia="Proxima Nova" w:hAnsiTheme="majorHAnsi" w:cstheme="majorHAnsi"/>
          <w:sz w:val="16"/>
          <w:szCs w:val="16"/>
        </w:rPr>
        <w:t xml:space="preserve"> </w:t>
      </w:r>
    </w:p>
  </w:footnote>
  <w:footnote w:id="2">
    <w:p w14:paraId="2217A696" w14:textId="77777777" w:rsidR="00D97D67" w:rsidRPr="00D97D67" w:rsidRDefault="00D97D67" w:rsidP="00E458AD">
      <w:pPr>
        <w:jc w:val="both"/>
        <w:rPr>
          <w:rFonts w:asciiTheme="majorHAnsi" w:eastAsia="Proxima Nova" w:hAnsiTheme="majorHAnsi" w:cstheme="majorHAnsi"/>
          <w:sz w:val="16"/>
          <w:szCs w:val="16"/>
        </w:rPr>
      </w:pPr>
      <w:r w:rsidRPr="00D97D67">
        <w:rPr>
          <w:rFonts w:asciiTheme="majorHAnsi" w:hAnsiTheme="majorHAnsi" w:cstheme="majorHAnsi"/>
          <w:sz w:val="16"/>
          <w:szCs w:val="16"/>
          <w:vertAlign w:val="superscript"/>
        </w:rPr>
        <w:footnoteRef/>
      </w:r>
      <w:r w:rsidRPr="00D97D67">
        <w:rPr>
          <w:rFonts w:asciiTheme="majorHAnsi" w:eastAsia="Proxima Nova" w:hAnsiTheme="majorHAnsi" w:cstheme="majorHAnsi"/>
          <w:sz w:val="16"/>
          <w:szCs w:val="16"/>
        </w:rPr>
        <w:t xml:space="preserve"> Declaración Conjunta sobre Programas de Vigilancia y su Impacto en la Libertad de Expresión del Relator Especial de las Naciones Unidas para la protección y promoción del derecho a la libertad de expresión y la Relatora Especial para la Libertad de Expresión de la Comisión Interamericana de Derechos Humanos. 2013, párr. 8. </w:t>
      </w:r>
    </w:p>
  </w:footnote>
  <w:footnote w:id="3">
    <w:p w14:paraId="005E89E9" w14:textId="06A34F21" w:rsidR="00D97D67" w:rsidRPr="00D97D67" w:rsidRDefault="00D97D67" w:rsidP="00E458AD">
      <w:pPr>
        <w:jc w:val="both"/>
        <w:rPr>
          <w:rFonts w:asciiTheme="majorHAnsi" w:eastAsia="Proxima Nova" w:hAnsiTheme="majorHAnsi" w:cstheme="majorHAnsi"/>
          <w:sz w:val="16"/>
          <w:szCs w:val="16"/>
        </w:rPr>
      </w:pPr>
      <w:r w:rsidRPr="00D97D67">
        <w:rPr>
          <w:rFonts w:asciiTheme="majorHAnsi" w:hAnsiTheme="majorHAnsi" w:cstheme="majorHAnsi"/>
          <w:sz w:val="16"/>
          <w:szCs w:val="16"/>
          <w:vertAlign w:val="superscript"/>
        </w:rPr>
        <w:footnoteRef/>
      </w:r>
      <w:r w:rsidRPr="00D97D67">
        <w:rPr>
          <w:rFonts w:asciiTheme="majorHAnsi" w:hAnsiTheme="majorHAnsi" w:cstheme="majorHAnsi"/>
          <w:sz w:val="16"/>
          <w:szCs w:val="16"/>
        </w:rPr>
        <w:t xml:space="preserve"> </w:t>
      </w:r>
      <w:r w:rsidRPr="00D97D67">
        <w:rPr>
          <w:rFonts w:asciiTheme="majorHAnsi" w:eastAsia="Proxima Nova" w:hAnsiTheme="majorHAnsi" w:cstheme="majorHAnsi"/>
          <w:sz w:val="16"/>
          <w:szCs w:val="16"/>
        </w:rPr>
        <w:t xml:space="preserve">TEDH. Caso de </w:t>
      </w:r>
      <w:proofErr w:type="spellStart"/>
      <w:r w:rsidRPr="00D97D67">
        <w:rPr>
          <w:rFonts w:asciiTheme="majorHAnsi" w:eastAsia="Proxima Nova" w:hAnsiTheme="majorHAnsi" w:cstheme="majorHAnsi"/>
          <w:sz w:val="16"/>
          <w:szCs w:val="16"/>
        </w:rPr>
        <w:t>Uzun</w:t>
      </w:r>
      <w:proofErr w:type="spellEnd"/>
      <w:r w:rsidRPr="00D97D67">
        <w:rPr>
          <w:rFonts w:asciiTheme="majorHAnsi" w:eastAsia="Proxima Nova" w:hAnsiTheme="majorHAnsi" w:cstheme="majorHAnsi"/>
          <w:sz w:val="16"/>
          <w:szCs w:val="16"/>
        </w:rPr>
        <w:t xml:space="preserve"> vs. Alemania. Aplicación No. 35623/05. Sentencia de 2 de septiembre de 2010, párr. 61; Weber y Sarabia vs. Alemania. Aplicación No. 54934/00. Decisión de 29 de </w:t>
      </w:r>
      <w:r w:rsidR="00E458AD" w:rsidRPr="00D97D67">
        <w:rPr>
          <w:rFonts w:asciiTheme="majorHAnsi" w:eastAsia="Proxima Nova" w:hAnsiTheme="majorHAnsi" w:cstheme="majorHAnsi"/>
          <w:sz w:val="16"/>
          <w:szCs w:val="16"/>
        </w:rPr>
        <w:t>junio</w:t>
      </w:r>
      <w:r w:rsidRPr="00D97D67">
        <w:rPr>
          <w:rFonts w:asciiTheme="majorHAnsi" w:eastAsia="Proxima Nova" w:hAnsiTheme="majorHAnsi" w:cstheme="majorHAnsi"/>
          <w:sz w:val="16"/>
          <w:szCs w:val="16"/>
        </w:rPr>
        <w:t xml:space="preserve"> de 2006. párr. 93. </w:t>
      </w:r>
    </w:p>
  </w:footnote>
  <w:footnote w:id="4">
    <w:p w14:paraId="45DD52B6" w14:textId="77777777" w:rsidR="00D97D67" w:rsidRPr="00D97D67" w:rsidRDefault="00D97D67" w:rsidP="00E458AD">
      <w:pPr>
        <w:jc w:val="both"/>
        <w:rPr>
          <w:rFonts w:asciiTheme="majorHAnsi" w:eastAsia="Proxima Nova" w:hAnsiTheme="majorHAnsi" w:cstheme="majorHAnsi"/>
          <w:sz w:val="16"/>
          <w:szCs w:val="16"/>
        </w:rPr>
      </w:pPr>
      <w:r w:rsidRPr="00D97D67">
        <w:rPr>
          <w:rFonts w:asciiTheme="majorHAnsi" w:hAnsiTheme="majorHAnsi" w:cstheme="majorHAnsi"/>
          <w:sz w:val="16"/>
          <w:szCs w:val="16"/>
          <w:vertAlign w:val="superscript"/>
        </w:rPr>
        <w:footnoteRef/>
      </w:r>
      <w:r w:rsidRPr="00D97D67">
        <w:rPr>
          <w:rFonts w:asciiTheme="majorHAnsi" w:hAnsiTheme="majorHAnsi" w:cstheme="majorHAnsi"/>
          <w:sz w:val="16"/>
          <w:szCs w:val="16"/>
        </w:rPr>
        <w:t xml:space="preserve"> </w:t>
      </w:r>
      <w:r w:rsidRPr="00D97D67">
        <w:rPr>
          <w:rFonts w:asciiTheme="majorHAnsi" w:eastAsia="Proxima Nova" w:hAnsiTheme="majorHAnsi" w:cstheme="majorHAnsi"/>
          <w:sz w:val="16"/>
          <w:szCs w:val="16"/>
        </w:rPr>
        <w:t>Ver los Principios Internacionales sobre la Aplicación de los Derechos Humanos a la Vigilancia de las Comunicaciones, disponible en:</w:t>
      </w:r>
    </w:p>
    <w:p w14:paraId="56BAEA42" w14:textId="637F2769" w:rsidR="00D97D67" w:rsidRPr="00D97D67" w:rsidRDefault="00D97D67" w:rsidP="00E458AD">
      <w:pPr>
        <w:jc w:val="both"/>
        <w:rPr>
          <w:rFonts w:asciiTheme="majorHAnsi" w:eastAsia="Proxima Nova" w:hAnsiTheme="majorHAnsi" w:cstheme="majorHAnsi"/>
          <w:sz w:val="16"/>
          <w:szCs w:val="16"/>
        </w:rPr>
      </w:pPr>
      <w:r w:rsidRPr="00D97D67">
        <w:rPr>
          <w:rFonts w:asciiTheme="majorHAnsi" w:eastAsia="Proxima Nova" w:hAnsiTheme="majorHAnsi" w:cstheme="majorHAnsi"/>
          <w:color w:val="1155CC"/>
          <w:sz w:val="16"/>
          <w:szCs w:val="16"/>
          <w:u w:val="single"/>
        </w:rPr>
        <w:t>https://es.necessaryandproportionate.org/text</w:t>
      </w:r>
      <w:r w:rsidRPr="00D97D67">
        <w:rPr>
          <w:rFonts w:asciiTheme="majorHAnsi" w:eastAsia="Proxima Nova" w:hAnsiTheme="majorHAnsi" w:cstheme="majorHAnsi"/>
          <w:sz w:val="16"/>
          <w:szCs w:val="16"/>
        </w:rPr>
        <w:t xml:space="preserve"> </w:t>
      </w:r>
    </w:p>
  </w:footnote>
  <w:footnote w:id="5">
    <w:p w14:paraId="5BB9BB8B" w14:textId="2111B602" w:rsidR="00D97D67" w:rsidRPr="00D97D67" w:rsidRDefault="00D97D67" w:rsidP="00E458AD">
      <w:pPr>
        <w:jc w:val="both"/>
        <w:rPr>
          <w:rFonts w:asciiTheme="majorHAnsi" w:eastAsia="Proxima Nova" w:hAnsiTheme="majorHAnsi" w:cstheme="majorHAnsi"/>
          <w:sz w:val="16"/>
          <w:szCs w:val="16"/>
        </w:rPr>
      </w:pPr>
      <w:r w:rsidRPr="00D97D67">
        <w:rPr>
          <w:rFonts w:asciiTheme="majorHAnsi" w:hAnsiTheme="majorHAnsi" w:cstheme="majorHAnsi"/>
          <w:sz w:val="16"/>
          <w:szCs w:val="16"/>
          <w:vertAlign w:val="superscript"/>
        </w:rPr>
        <w:footnoteRef/>
      </w:r>
      <w:r w:rsidRPr="00D97D67">
        <w:rPr>
          <w:rFonts w:asciiTheme="majorHAnsi" w:eastAsia="Proxima Nova" w:hAnsiTheme="majorHAnsi" w:cstheme="majorHAnsi"/>
          <w:sz w:val="16"/>
          <w:szCs w:val="16"/>
        </w:rPr>
        <w:t xml:space="preserve"> CIDH y ONU. Observaciones preliminares del Relator Especial de la ONU sobre la libertad de expresión y el Relator Especial sobre libertad de expresión de la CIDH después de su visita conjunta en México. 4 de diciembre de 2017. Disponible en: </w:t>
      </w:r>
      <w:r w:rsidRPr="00D97D67">
        <w:rPr>
          <w:rFonts w:asciiTheme="majorHAnsi" w:eastAsia="Proxima Nova" w:hAnsiTheme="majorHAnsi" w:cstheme="majorHAnsi"/>
          <w:color w:val="1155CC"/>
          <w:sz w:val="16"/>
          <w:szCs w:val="16"/>
          <w:u w:val="single"/>
        </w:rPr>
        <w:t>http://www.oas.org/es/cidh/expresion/docs/Observaciones_Preliminares_ESP.PDF</w:t>
      </w:r>
      <w:r w:rsidRPr="00D97D67">
        <w:rPr>
          <w:rFonts w:asciiTheme="majorHAnsi" w:eastAsia="Proxima Nova" w:hAnsiTheme="majorHAnsi" w:cstheme="majorHAnsi"/>
          <w:sz w:val="16"/>
          <w:szCs w:val="16"/>
        </w:rPr>
        <w:t xml:space="preserve">; </w:t>
      </w:r>
      <w:r w:rsidRPr="00D97D67">
        <w:rPr>
          <w:rFonts w:asciiTheme="majorHAnsi" w:eastAsia="Proxima Nova" w:hAnsiTheme="majorHAnsi" w:cstheme="majorHAnsi"/>
          <w:i/>
          <w:sz w:val="16"/>
          <w:szCs w:val="16"/>
        </w:rPr>
        <w:t xml:space="preserve">Declaración Conjunta sobre Programas de Vigilancia y su Impacto para la Libertad de Expresión. </w:t>
      </w:r>
      <w:r w:rsidRPr="00D97D67">
        <w:rPr>
          <w:rFonts w:asciiTheme="majorHAnsi" w:eastAsia="Proxima Nova" w:hAnsiTheme="majorHAnsi" w:cstheme="majorHAnsi"/>
          <w:sz w:val="16"/>
          <w:szCs w:val="16"/>
        </w:rPr>
        <w:t xml:space="preserve">21 de junio de 2013. Disponible en: </w:t>
      </w:r>
      <w:r w:rsidRPr="00D97D67">
        <w:rPr>
          <w:rFonts w:asciiTheme="majorHAnsi" w:eastAsia="Proxima Nova" w:hAnsiTheme="majorHAnsi" w:cstheme="majorHAnsi"/>
          <w:color w:val="1155CC"/>
          <w:sz w:val="16"/>
          <w:szCs w:val="16"/>
          <w:u w:val="single"/>
        </w:rPr>
        <w:t>http://www.oas.org/es/cidh/expresion/showarticle.asp?artID=927</w:t>
      </w:r>
      <w:r w:rsidRPr="00D97D67">
        <w:rPr>
          <w:rFonts w:asciiTheme="majorHAnsi" w:eastAsia="Proxima Nova" w:hAnsiTheme="majorHAnsi" w:cstheme="majorHAnsi"/>
          <w:sz w:val="16"/>
          <w:szCs w:val="16"/>
        </w:rPr>
        <w:t xml:space="preserve">; CIDH. </w:t>
      </w:r>
      <w:r w:rsidRPr="00D97D67">
        <w:rPr>
          <w:rFonts w:asciiTheme="majorHAnsi" w:eastAsia="Proxima Nova" w:hAnsiTheme="majorHAnsi" w:cstheme="majorHAnsi"/>
          <w:i/>
          <w:sz w:val="16"/>
          <w:szCs w:val="16"/>
        </w:rPr>
        <w:t xml:space="preserve">Relatoría Especial manifiesta preocupación ante denuncias sobre espionaje de periodistas y defensores de derechos humanos en México e insta a desarrollar una investigación completa e independiente. </w:t>
      </w:r>
      <w:r w:rsidRPr="00D97D67">
        <w:rPr>
          <w:rFonts w:asciiTheme="majorHAnsi" w:eastAsia="Proxima Nova" w:hAnsiTheme="majorHAnsi" w:cstheme="majorHAnsi"/>
          <w:sz w:val="16"/>
          <w:szCs w:val="16"/>
        </w:rPr>
        <w:t xml:space="preserve">12 de Julio de 2017. Disponible en: </w:t>
      </w:r>
      <w:r w:rsidRPr="00D97D67">
        <w:rPr>
          <w:rFonts w:asciiTheme="majorHAnsi" w:eastAsia="Proxima Nova" w:hAnsiTheme="majorHAnsi" w:cstheme="majorHAnsi"/>
          <w:color w:val="1155CC"/>
          <w:sz w:val="16"/>
          <w:szCs w:val="16"/>
          <w:u w:val="single"/>
        </w:rPr>
        <w:t>https://www.oas.org/es/cidh/expresion/showarticle.asp?artID=1069&amp;lID=2</w:t>
      </w:r>
      <w:r w:rsidRPr="00D97D67">
        <w:rPr>
          <w:rFonts w:asciiTheme="majorHAnsi" w:eastAsia="Proxima Nova" w:hAnsiTheme="majorHAnsi" w:cstheme="majorHAnsi"/>
          <w:sz w:val="16"/>
          <w:szCs w:val="16"/>
        </w:rPr>
        <w:t xml:space="preserve">; ONU. </w:t>
      </w:r>
      <w:r w:rsidRPr="00D97D67">
        <w:rPr>
          <w:rFonts w:asciiTheme="majorHAnsi" w:eastAsia="Proxima Nova" w:hAnsiTheme="majorHAnsi" w:cstheme="majorHAnsi"/>
          <w:i/>
          <w:sz w:val="16"/>
          <w:szCs w:val="16"/>
        </w:rPr>
        <w:t xml:space="preserve">El derecho a la privacidad en la era digital. </w:t>
      </w:r>
      <w:r w:rsidRPr="00D97D67">
        <w:rPr>
          <w:rFonts w:asciiTheme="majorHAnsi" w:eastAsia="Proxima Nova" w:hAnsiTheme="majorHAnsi" w:cstheme="majorHAnsi"/>
          <w:sz w:val="16"/>
          <w:szCs w:val="16"/>
        </w:rPr>
        <w:t xml:space="preserve">2017. Disponible en: </w:t>
      </w:r>
      <w:r w:rsidRPr="00D97D67">
        <w:rPr>
          <w:rFonts w:asciiTheme="majorHAnsi" w:eastAsia="Proxima Nova" w:hAnsiTheme="majorHAnsi" w:cstheme="majorHAnsi"/>
          <w:color w:val="1155CC"/>
          <w:sz w:val="16"/>
          <w:szCs w:val="16"/>
          <w:u w:val="single"/>
        </w:rPr>
        <w:t>http://ap.ohchr.org/documents/S/HRC/d_res_dec/A_HRC_34_L7_rev1.pdf</w:t>
      </w:r>
      <w:r w:rsidRPr="00D97D67">
        <w:rPr>
          <w:rFonts w:asciiTheme="majorHAnsi" w:eastAsia="Proxima Nova" w:hAnsiTheme="majorHAnsi" w:cstheme="majorHAnsi"/>
          <w:i/>
          <w:sz w:val="16"/>
          <w:szCs w:val="16"/>
        </w:rPr>
        <w:t xml:space="preserve">; El derecho a la privacidad en la era digital. </w:t>
      </w:r>
      <w:r w:rsidRPr="00D97D67">
        <w:rPr>
          <w:rFonts w:asciiTheme="majorHAnsi" w:eastAsia="Proxima Nova" w:hAnsiTheme="majorHAnsi" w:cstheme="majorHAnsi"/>
          <w:sz w:val="16"/>
          <w:szCs w:val="16"/>
        </w:rPr>
        <w:t xml:space="preserve">2014. Disponible en: </w:t>
      </w:r>
      <w:r w:rsidRPr="00D97D67">
        <w:rPr>
          <w:rFonts w:asciiTheme="majorHAnsi" w:eastAsia="Proxima Nova" w:hAnsiTheme="majorHAnsi" w:cstheme="majorHAnsi"/>
          <w:color w:val="1155CC"/>
          <w:sz w:val="16"/>
          <w:szCs w:val="16"/>
          <w:u w:val="single"/>
        </w:rPr>
        <w:t>http://www.ohchr.org/EN/HRBodies/HRC/RegularSessions/Session27/Documents/A.HRC.27.37_en.pdf</w:t>
      </w:r>
      <w:r w:rsidRPr="00D97D67">
        <w:rPr>
          <w:rFonts w:asciiTheme="majorHAnsi" w:eastAsia="Proxima Nova" w:hAnsiTheme="majorHAnsi" w:cstheme="majorHAnsi"/>
          <w:sz w:val="16"/>
          <w:szCs w:val="16"/>
        </w:rPr>
        <w:t xml:space="preserve">; </w:t>
      </w:r>
      <w:r w:rsidRPr="00D97D67">
        <w:rPr>
          <w:rFonts w:asciiTheme="majorHAnsi" w:eastAsia="Proxima Nova" w:hAnsiTheme="majorHAnsi" w:cstheme="majorHAnsi"/>
          <w:i/>
          <w:sz w:val="16"/>
          <w:szCs w:val="16"/>
        </w:rPr>
        <w:t xml:space="preserve">El derecho a la privacidad en la era digital. </w:t>
      </w:r>
      <w:r w:rsidRPr="00D97D67">
        <w:rPr>
          <w:rFonts w:asciiTheme="majorHAnsi" w:eastAsia="Proxima Nova" w:hAnsiTheme="majorHAnsi" w:cstheme="majorHAnsi"/>
          <w:sz w:val="16"/>
          <w:szCs w:val="16"/>
        </w:rPr>
        <w:t xml:space="preserve">2013. Disponible en: </w:t>
      </w:r>
      <w:r w:rsidRPr="00D97D67">
        <w:rPr>
          <w:rFonts w:asciiTheme="majorHAnsi" w:eastAsia="Proxima Nova" w:hAnsiTheme="majorHAnsi" w:cstheme="majorHAnsi"/>
          <w:color w:val="1155CC"/>
          <w:sz w:val="16"/>
          <w:szCs w:val="16"/>
          <w:u w:val="single"/>
        </w:rPr>
        <w:t>http://www.un.org/ga/search/view_doc.asp?symbol=A/C.3/68/L.45/Rev.1</w:t>
      </w:r>
      <w:r w:rsidRPr="00D97D67">
        <w:rPr>
          <w:rFonts w:asciiTheme="majorHAnsi" w:eastAsia="Proxima Nova" w:hAnsiTheme="majorHAnsi" w:cstheme="majorHAnsi"/>
          <w:sz w:val="16"/>
          <w:szCs w:val="16"/>
        </w:rPr>
        <w:t xml:space="preserve"> </w:t>
      </w:r>
    </w:p>
  </w:footnote>
  <w:footnote w:id="6">
    <w:p w14:paraId="7F5CADF7" w14:textId="614B910A" w:rsidR="00D97D67" w:rsidRPr="00D97D67" w:rsidRDefault="00D97D67" w:rsidP="00E458AD">
      <w:pPr>
        <w:jc w:val="both"/>
        <w:rPr>
          <w:rFonts w:asciiTheme="majorHAnsi" w:hAnsiTheme="majorHAnsi" w:cstheme="majorHAnsi"/>
          <w:sz w:val="16"/>
          <w:szCs w:val="16"/>
        </w:rPr>
      </w:pPr>
      <w:r w:rsidRPr="00D97D67">
        <w:rPr>
          <w:rFonts w:asciiTheme="majorHAnsi" w:hAnsiTheme="majorHAnsi" w:cstheme="majorHAnsi"/>
          <w:sz w:val="16"/>
          <w:szCs w:val="16"/>
          <w:vertAlign w:val="superscript"/>
        </w:rPr>
        <w:footnoteRef/>
      </w:r>
      <w:r w:rsidRPr="00D97D67">
        <w:rPr>
          <w:rFonts w:asciiTheme="majorHAnsi" w:hAnsiTheme="majorHAnsi" w:cstheme="majorHAnsi"/>
          <w:sz w:val="16"/>
          <w:szCs w:val="16"/>
        </w:rPr>
        <w:t xml:space="preserve"> Ver, por ejemplo: Informe del Relator Especial sobre el derecho a la libertad de opinión y expresión de la Organización de las Naciones Unidas. 17 de abril de 2013. A/HRC/23/40; TEDH. Caso de la Asociación para la Integración Europea y los Derechos Humanos y </w:t>
      </w:r>
      <w:proofErr w:type="spellStart"/>
      <w:r w:rsidRPr="00D97D67">
        <w:rPr>
          <w:rFonts w:asciiTheme="majorHAnsi" w:hAnsiTheme="majorHAnsi" w:cstheme="majorHAnsi"/>
          <w:sz w:val="16"/>
          <w:szCs w:val="16"/>
        </w:rPr>
        <w:t>Ekimdzhiev</w:t>
      </w:r>
      <w:proofErr w:type="spellEnd"/>
      <w:r w:rsidRPr="00D97D67">
        <w:rPr>
          <w:rFonts w:asciiTheme="majorHAnsi" w:hAnsiTheme="majorHAnsi" w:cstheme="majorHAnsi"/>
          <w:sz w:val="16"/>
          <w:szCs w:val="16"/>
        </w:rPr>
        <w:t xml:space="preserve"> vs. Bulgaria. Aplicación No. 62540/00. Sentencia de 28 de junio de 2007; y Suprema Corte de Sudáfrica. </w:t>
      </w:r>
      <w:proofErr w:type="spellStart"/>
      <w:r w:rsidRPr="00D97D67">
        <w:rPr>
          <w:rFonts w:asciiTheme="majorHAnsi" w:hAnsiTheme="majorHAnsi" w:cstheme="majorHAnsi"/>
          <w:sz w:val="16"/>
          <w:szCs w:val="16"/>
        </w:rPr>
        <w:t>Amabhungane</w:t>
      </w:r>
      <w:proofErr w:type="spellEnd"/>
      <w:r w:rsidRPr="00D97D67">
        <w:rPr>
          <w:rFonts w:asciiTheme="majorHAnsi" w:hAnsiTheme="majorHAnsi" w:cstheme="majorHAnsi"/>
          <w:sz w:val="16"/>
          <w:szCs w:val="16"/>
        </w:rPr>
        <w:t xml:space="preserve"> vs </w:t>
      </w:r>
      <w:proofErr w:type="spellStart"/>
      <w:r w:rsidRPr="00D97D67">
        <w:rPr>
          <w:rFonts w:asciiTheme="majorHAnsi" w:hAnsiTheme="majorHAnsi" w:cstheme="majorHAnsi"/>
          <w:sz w:val="16"/>
          <w:szCs w:val="16"/>
        </w:rPr>
        <w:t>Minister</w:t>
      </w:r>
      <w:proofErr w:type="spellEnd"/>
      <w:r w:rsidRPr="00D97D67">
        <w:rPr>
          <w:rFonts w:asciiTheme="majorHAnsi" w:hAnsiTheme="majorHAnsi" w:cstheme="majorHAnsi"/>
          <w:sz w:val="16"/>
          <w:szCs w:val="16"/>
        </w:rPr>
        <w:t xml:space="preserve"> of </w:t>
      </w:r>
      <w:proofErr w:type="spellStart"/>
      <w:r w:rsidRPr="00D97D67">
        <w:rPr>
          <w:rFonts w:asciiTheme="majorHAnsi" w:hAnsiTheme="majorHAnsi" w:cstheme="majorHAnsi"/>
          <w:sz w:val="16"/>
          <w:szCs w:val="16"/>
        </w:rPr>
        <w:t>Justice</w:t>
      </w:r>
      <w:proofErr w:type="spellEnd"/>
      <w:r w:rsidRPr="00D97D67">
        <w:rPr>
          <w:rFonts w:asciiTheme="majorHAnsi" w:hAnsiTheme="majorHAnsi" w:cstheme="majorHAnsi"/>
          <w:sz w:val="16"/>
          <w:szCs w:val="16"/>
        </w:rPr>
        <w:t xml:space="preserve"> and </w:t>
      </w:r>
      <w:proofErr w:type="spellStart"/>
      <w:r w:rsidRPr="00D97D67">
        <w:rPr>
          <w:rFonts w:asciiTheme="majorHAnsi" w:hAnsiTheme="majorHAnsi" w:cstheme="majorHAnsi"/>
          <w:sz w:val="16"/>
          <w:szCs w:val="16"/>
        </w:rPr>
        <w:t>others</w:t>
      </w:r>
      <w:proofErr w:type="spellEnd"/>
      <w:r w:rsidRPr="00D97D67">
        <w:rPr>
          <w:rFonts w:asciiTheme="majorHAnsi" w:hAnsiTheme="majorHAnsi" w:cstheme="majorHAnsi"/>
          <w:sz w:val="16"/>
          <w:szCs w:val="16"/>
        </w:rPr>
        <w:t xml:space="preserve">. Decisión del 16 de </w:t>
      </w:r>
      <w:r w:rsidR="00E458AD" w:rsidRPr="00D97D67">
        <w:rPr>
          <w:rFonts w:asciiTheme="majorHAnsi" w:hAnsiTheme="majorHAnsi" w:cstheme="majorHAnsi"/>
          <w:sz w:val="16"/>
          <w:szCs w:val="16"/>
        </w:rPr>
        <w:t>septiembre</w:t>
      </w:r>
      <w:r w:rsidRPr="00D97D67">
        <w:rPr>
          <w:rFonts w:asciiTheme="majorHAnsi" w:hAnsiTheme="majorHAnsi" w:cstheme="majorHAnsi"/>
          <w:sz w:val="16"/>
          <w:szCs w:val="16"/>
        </w:rPr>
        <w:t xml:space="preserve"> de 2019. Disponible en: </w:t>
      </w:r>
      <w:hyperlink r:id="rId1">
        <w:r w:rsidRPr="00D97D67">
          <w:rPr>
            <w:rFonts w:asciiTheme="majorHAnsi" w:hAnsiTheme="majorHAnsi" w:cstheme="majorHAnsi"/>
            <w:color w:val="1155CC"/>
            <w:sz w:val="16"/>
            <w:szCs w:val="16"/>
            <w:u w:val="single"/>
          </w:rPr>
          <w:t>https://privacyinternational.org/sites/default/files/2019-09/Judgment%20AMABHUNGANE%20v%20MIN%20JUSTICE%20%26%20OTH.pdf</w:t>
        </w:r>
      </w:hyperlink>
      <w:r w:rsidRPr="00D97D67">
        <w:rPr>
          <w:rFonts w:asciiTheme="majorHAnsi" w:hAnsiTheme="majorHAnsi" w:cstheme="majorHAnsi"/>
          <w:sz w:val="16"/>
          <w:szCs w:val="16"/>
        </w:rPr>
        <w:t xml:space="preserve"> </w:t>
      </w:r>
    </w:p>
  </w:footnote>
  <w:footnote w:id="7">
    <w:p w14:paraId="218AE135" w14:textId="12D7740E" w:rsidR="00D97D67" w:rsidRPr="00D97D67" w:rsidRDefault="00D97D67" w:rsidP="00D97D67">
      <w:pPr>
        <w:rPr>
          <w:rFonts w:asciiTheme="majorHAnsi" w:hAnsiTheme="majorHAnsi" w:cstheme="majorHAnsi"/>
          <w:sz w:val="16"/>
          <w:szCs w:val="16"/>
        </w:rPr>
      </w:pPr>
      <w:r w:rsidRPr="00D97D67">
        <w:rPr>
          <w:rFonts w:asciiTheme="majorHAnsi" w:hAnsiTheme="majorHAnsi" w:cstheme="majorHAnsi"/>
          <w:sz w:val="16"/>
          <w:szCs w:val="16"/>
          <w:vertAlign w:val="superscript"/>
        </w:rPr>
        <w:footnoteRef/>
      </w:r>
      <w:r w:rsidRPr="00D97D67">
        <w:rPr>
          <w:rFonts w:asciiTheme="majorHAnsi" w:hAnsiTheme="majorHAnsi" w:cstheme="majorHAnsi"/>
          <w:sz w:val="16"/>
          <w:szCs w:val="16"/>
        </w:rPr>
        <w:t xml:space="preserve"> Ver, por ejemplo, Access </w:t>
      </w:r>
      <w:proofErr w:type="spellStart"/>
      <w:r w:rsidRPr="00D97D67">
        <w:rPr>
          <w:rFonts w:asciiTheme="majorHAnsi" w:hAnsiTheme="majorHAnsi" w:cstheme="majorHAnsi"/>
          <w:sz w:val="16"/>
          <w:szCs w:val="16"/>
        </w:rPr>
        <w:t>Now</w:t>
      </w:r>
      <w:proofErr w:type="spellEnd"/>
      <w:r w:rsidRPr="00D97D67">
        <w:rPr>
          <w:rFonts w:asciiTheme="majorHAnsi" w:hAnsiTheme="majorHAnsi" w:cstheme="majorHAnsi"/>
          <w:sz w:val="16"/>
          <w:szCs w:val="16"/>
        </w:rPr>
        <w:t xml:space="preserve">. </w:t>
      </w:r>
      <w:proofErr w:type="spellStart"/>
      <w:r w:rsidRPr="00D97D67">
        <w:rPr>
          <w:rFonts w:asciiTheme="majorHAnsi" w:hAnsiTheme="majorHAnsi" w:cstheme="majorHAnsi"/>
          <w:sz w:val="16"/>
          <w:szCs w:val="16"/>
        </w:rPr>
        <w:t>Transparency</w:t>
      </w:r>
      <w:proofErr w:type="spellEnd"/>
      <w:r w:rsidRPr="00D97D67">
        <w:rPr>
          <w:rFonts w:asciiTheme="majorHAnsi" w:hAnsiTheme="majorHAnsi" w:cstheme="majorHAnsi"/>
          <w:sz w:val="16"/>
          <w:szCs w:val="16"/>
        </w:rPr>
        <w:t xml:space="preserve"> </w:t>
      </w:r>
      <w:proofErr w:type="spellStart"/>
      <w:r w:rsidRPr="00D97D67">
        <w:rPr>
          <w:rFonts w:asciiTheme="majorHAnsi" w:hAnsiTheme="majorHAnsi" w:cstheme="majorHAnsi"/>
          <w:sz w:val="16"/>
          <w:szCs w:val="16"/>
        </w:rPr>
        <w:t>Reporting</w:t>
      </w:r>
      <w:proofErr w:type="spellEnd"/>
      <w:r w:rsidRPr="00D97D67">
        <w:rPr>
          <w:rFonts w:asciiTheme="majorHAnsi" w:hAnsiTheme="majorHAnsi" w:cstheme="majorHAnsi"/>
          <w:sz w:val="16"/>
          <w:szCs w:val="16"/>
        </w:rPr>
        <w:t xml:space="preserve"> </w:t>
      </w:r>
      <w:proofErr w:type="spellStart"/>
      <w:r w:rsidRPr="00D97D67">
        <w:rPr>
          <w:rFonts w:asciiTheme="majorHAnsi" w:hAnsiTheme="majorHAnsi" w:cstheme="majorHAnsi"/>
          <w:sz w:val="16"/>
          <w:szCs w:val="16"/>
        </w:rPr>
        <w:t>Index</w:t>
      </w:r>
      <w:proofErr w:type="spellEnd"/>
      <w:r w:rsidRPr="00D97D67">
        <w:rPr>
          <w:rFonts w:asciiTheme="majorHAnsi" w:hAnsiTheme="majorHAnsi" w:cstheme="majorHAnsi"/>
          <w:sz w:val="16"/>
          <w:szCs w:val="16"/>
        </w:rPr>
        <w:t xml:space="preserve">. Disponible en: </w:t>
      </w:r>
      <w:r w:rsidRPr="00D97D67">
        <w:rPr>
          <w:rFonts w:asciiTheme="majorHAnsi" w:hAnsiTheme="majorHAnsi" w:cstheme="majorHAnsi"/>
          <w:color w:val="1155CC"/>
          <w:sz w:val="16"/>
          <w:szCs w:val="16"/>
          <w:u w:val="single"/>
        </w:rPr>
        <w:t>https://www.accessnow.org/transparency-reporting-index/</w:t>
      </w:r>
      <w:r w:rsidRPr="00D97D67">
        <w:rPr>
          <w:rFonts w:asciiTheme="majorHAnsi" w:hAnsiTheme="majorHAnsi" w:cstheme="majorHAnsi"/>
          <w:sz w:val="16"/>
          <w:szCs w:val="16"/>
        </w:rPr>
        <w:t xml:space="preserve"> </w:t>
      </w:r>
    </w:p>
  </w:footnote>
  <w:footnote w:id="8">
    <w:p w14:paraId="67EE671F" w14:textId="20FF7D38" w:rsidR="00D97D67" w:rsidRPr="00D97D67" w:rsidRDefault="00D97D67" w:rsidP="00D97D67">
      <w:pPr>
        <w:rPr>
          <w:rFonts w:asciiTheme="majorHAnsi" w:hAnsiTheme="majorHAnsi" w:cstheme="majorHAnsi"/>
          <w:sz w:val="16"/>
          <w:szCs w:val="16"/>
        </w:rPr>
      </w:pPr>
      <w:r w:rsidRPr="00D97D67">
        <w:rPr>
          <w:rFonts w:asciiTheme="majorHAnsi" w:hAnsiTheme="majorHAnsi" w:cstheme="majorHAnsi"/>
          <w:sz w:val="16"/>
          <w:szCs w:val="16"/>
          <w:vertAlign w:val="superscript"/>
        </w:rPr>
        <w:footnoteRef/>
      </w:r>
      <w:r w:rsidRPr="00D97D67">
        <w:rPr>
          <w:rFonts w:asciiTheme="majorHAnsi" w:hAnsiTheme="majorHAnsi" w:cstheme="majorHAnsi"/>
          <w:sz w:val="16"/>
          <w:szCs w:val="16"/>
        </w:rPr>
        <w:t xml:space="preserve"> </w:t>
      </w:r>
      <w:r w:rsidRPr="00D97D67">
        <w:rPr>
          <w:rFonts w:asciiTheme="majorHAnsi" w:eastAsia="Proxima Nova" w:hAnsiTheme="majorHAnsi" w:cstheme="majorHAnsi"/>
          <w:sz w:val="16"/>
          <w:szCs w:val="16"/>
        </w:rPr>
        <w:t xml:space="preserve"> Lineamientos de Colaboración en Materia de Seguridad y Justicia. 2 de </w:t>
      </w:r>
      <w:r w:rsidR="00E458AD" w:rsidRPr="00D97D67">
        <w:rPr>
          <w:rFonts w:asciiTheme="majorHAnsi" w:eastAsia="Proxima Nova" w:hAnsiTheme="majorHAnsi" w:cstheme="majorHAnsi"/>
          <w:sz w:val="16"/>
          <w:szCs w:val="16"/>
        </w:rPr>
        <w:t>diciembre</w:t>
      </w:r>
      <w:r w:rsidRPr="00D97D67">
        <w:rPr>
          <w:rFonts w:asciiTheme="majorHAnsi" w:eastAsia="Proxima Nova" w:hAnsiTheme="majorHAnsi" w:cstheme="majorHAnsi"/>
          <w:sz w:val="16"/>
          <w:szCs w:val="16"/>
        </w:rPr>
        <w:t xml:space="preserve"> de 2015. Disponible en: </w:t>
      </w:r>
      <w:r w:rsidRPr="00D97D67">
        <w:rPr>
          <w:rFonts w:asciiTheme="majorHAnsi" w:eastAsia="Proxima Nova" w:hAnsiTheme="majorHAnsi" w:cstheme="majorHAnsi"/>
          <w:color w:val="1155CC"/>
          <w:sz w:val="16"/>
          <w:szCs w:val="16"/>
          <w:u w:val="single"/>
        </w:rPr>
        <w:t>http://www.dof.gob.mx/nota_detalle.php?codigo=5418339&amp;fecha=02/12/2015</w:t>
      </w:r>
      <w:r w:rsidRPr="00D97D67">
        <w:rPr>
          <w:rFonts w:asciiTheme="majorHAnsi" w:eastAsia="Proxima Nova" w:hAnsiTheme="majorHAnsi" w:cstheme="majorHAnsi"/>
          <w:sz w:val="16"/>
          <w:szCs w:val="16"/>
        </w:rPr>
        <w:t xml:space="preserve"> </w:t>
      </w:r>
    </w:p>
  </w:footnote>
  <w:footnote w:id="9">
    <w:p w14:paraId="3FF70B4B" w14:textId="10F7C251" w:rsidR="00D97D67" w:rsidRDefault="00D97D67" w:rsidP="00D97D67">
      <w:pPr>
        <w:rPr>
          <w:sz w:val="20"/>
          <w:szCs w:val="20"/>
        </w:rPr>
      </w:pPr>
      <w:r w:rsidRPr="00D97D67">
        <w:rPr>
          <w:rFonts w:asciiTheme="majorHAnsi" w:hAnsiTheme="majorHAnsi" w:cstheme="majorHAnsi"/>
          <w:sz w:val="16"/>
          <w:szCs w:val="16"/>
          <w:vertAlign w:val="superscript"/>
        </w:rPr>
        <w:footnoteRef/>
      </w:r>
      <w:r w:rsidRPr="00D97D67">
        <w:rPr>
          <w:rFonts w:asciiTheme="majorHAnsi" w:hAnsiTheme="majorHAnsi" w:cstheme="majorHAnsi"/>
          <w:sz w:val="16"/>
          <w:szCs w:val="16"/>
        </w:rPr>
        <w:t xml:space="preserve"> R3D. Quién No Defiende Tus Datos. 2018. Disponible en: </w:t>
      </w:r>
      <w:r w:rsidRPr="00D97D67">
        <w:rPr>
          <w:rFonts w:asciiTheme="majorHAnsi" w:hAnsiTheme="majorHAnsi" w:cstheme="majorHAnsi"/>
          <w:color w:val="1155CC"/>
          <w:sz w:val="16"/>
          <w:szCs w:val="16"/>
          <w:u w:val="single"/>
        </w:rPr>
        <w:t>https://r3d.mx/wp-content/uploads/R3D-QNDTD_digital.pdf</w:t>
      </w:r>
      <w:r>
        <w:rPr>
          <w:sz w:val="20"/>
          <w:szCs w:val="20"/>
        </w:rPr>
        <w:t xml:space="preserve">  </w:t>
      </w:r>
    </w:p>
  </w:footnote>
  <w:footnote w:id="10">
    <w:p w14:paraId="03791FD4" w14:textId="41B89B39" w:rsidR="00D97D67" w:rsidRPr="00D97D67" w:rsidRDefault="00D97D67" w:rsidP="00D97D67">
      <w:pPr>
        <w:rPr>
          <w:rFonts w:asciiTheme="majorHAnsi" w:hAnsiTheme="majorHAnsi" w:cstheme="majorHAnsi"/>
          <w:sz w:val="16"/>
          <w:szCs w:val="16"/>
        </w:rPr>
      </w:pPr>
      <w:r w:rsidRPr="00D97D67">
        <w:rPr>
          <w:rFonts w:asciiTheme="majorHAnsi" w:hAnsiTheme="majorHAnsi" w:cstheme="majorHAnsi"/>
          <w:sz w:val="16"/>
          <w:szCs w:val="16"/>
          <w:vertAlign w:val="superscript"/>
        </w:rPr>
        <w:footnoteRef/>
      </w:r>
      <w:r w:rsidRPr="00D97D67">
        <w:rPr>
          <w:rFonts w:asciiTheme="majorHAnsi" w:hAnsiTheme="majorHAnsi" w:cstheme="majorHAnsi"/>
          <w:sz w:val="16"/>
          <w:szCs w:val="16"/>
        </w:rPr>
        <w:t xml:space="preserve"> R3D. Quién No Defiende Tus Datos. 2018. Disponible en: </w:t>
      </w:r>
      <w:r w:rsidRPr="00D97D67">
        <w:rPr>
          <w:rFonts w:asciiTheme="majorHAnsi" w:hAnsiTheme="majorHAnsi" w:cstheme="majorHAnsi"/>
          <w:color w:val="1155CC"/>
          <w:sz w:val="16"/>
          <w:szCs w:val="16"/>
          <w:u w:val="single"/>
        </w:rPr>
        <w:t>https://r3d.mx/wp-content/uploads/R3D-QNDTD_digital.pdf</w:t>
      </w:r>
      <w:r w:rsidRPr="00D97D67">
        <w:rPr>
          <w:rFonts w:asciiTheme="majorHAnsi" w:hAnsiTheme="majorHAnsi" w:cstheme="majorHAnsi"/>
          <w:sz w:val="16"/>
          <w:szCs w:val="16"/>
        </w:rPr>
        <w:t xml:space="preserve"> </w:t>
      </w:r>
    </w:p>
  </w:footnote>
  <w:footnote w:id="11">
    <w:p w14:paraId="58C6CADA" w14:textId="68E7D74F" w:rsidR="00D97D67" w:rsidRPr="00D97D67" w:rsidRDefault="00D97D67" w:rsidP="00D97D67">
      <w:pPr>
        <w:jc w:val="both"/>
        <w:rPr>
          <w:rFonts w:asciiTheme="majorHAnsi" w:eastAsia="Proxima Nova" w:hAnsiTheme="majorHAnsi" w:cstheme="majorHAnsi"/>
          <w:sz w:val="16"/>
          <w:szCs w:val="16"/>
          <w:highlight w:val="yellow"/>
        </w:rPr>
      </w:pPr>
      <w:r w:rsidRPr="00D97D67">
        <w:rPr>
          <w:rFonts w:asciiTheme="majorHAnsi" w:hAnsiTheme="majorHAnsi" w:cstheme="majorHAnsi"/>
          <w:sz w:val="16"/>
          <w:szCs w:val="16"/>
          <w:vertAlign w:val="superscript"/>
        </w:rPr>
        <w:footnoteRef/>
      </w:r>
      <w:r w:rsidRPr="00D97D67">
        <w:rPr>
          <w:rFonts w:asciiTheme="majorHAnsi" w:eastAsia="Proxima Nova" w:hAnsiTheme="majorHAnsi" w:cstheme="majorHAnsi"/>
          <w:sz w:val="16"/>
          <w:szCs w:val="16"/>
        </w:rPr>
        <w:t xml:space="preserve"> Modificación a los Lineamientos de Colaboración en Materia de Seguridad y Justicia. Publicada en el Diario Oficial de la Federación el 2 de abril de 2018.  Disponible en: </w:t>
      </w:r>
      <w:r w:rsidRPr="00D97D67">
        <w:rPr>
          <w:rFonts w:asciiTheme="majorHAnsi" w:eastAsia="Proxima Nova" w:hAnsiTheme="majorHAnsi" w:cstheme="majorHAnsi"/>
          <w:color w:val="1155CC"/>
          <w:sz w:val="16"/>
          <w:szCs w:val="16"/>
          <w:u w:val="single"/>
        </w:rPr>
        <w:t>http://dof.gob.mx/nota_detalle.php?codigo=5517853&amp;fecha=02/04/2018</w:t>
      </w:r>
      <w:r w:rsidRPr="00D97D67">
        <w:rPr>
          <w:rFonts w:asciiTheme="majorHAnsi" w:eastAsia="Proxima Nova" w:hAnsiTheme="majorHAnsi" w:cstheme="maj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86F3" w14:textId="77777777" w:rsidR="004A36EB" w:rsidRDefault="008B67C5">
    <w:pPr>
      <w:pStyle w:val="Encabezado"/>
    </w:pPr>
    <w:r>
      <w:rPr>
        <w:noProof/>
        <w:lang w:eastAsia="es-MX"/>
      </w:rPr>
      <w:pict w14:anchorId="47692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7" o:spid="_x0000_s2051" type="#_x0000_t75" alt="4 CC logo-01" style="position:absolute;margin-left:0;margin-top:0;width:609.6pt;height:793.9pt;z-index:-251656192;mso-wrap-edited:f;mso-width-percent:0;mso-height-percent:0;mso-position-horizontal:center;mso-position-horizontal-relative:margin;mso-position-vertical:center;mso-position-vertical-relative:margin;mso-width-percent:0;mso-height-percent:0" o:allowincell="f">
          <v:imagedata r:id="rId1" o:title="4 CC log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CEA2" w14:textId="77777777" w:rsidR="004A36EB" w:rsidRDefault="008B67C5" w:rsidP="005453F9">
    <w:pPr>
      <w:pStyle w:val="Encabezado"/>
      <w:tabs>
        <w:tab w:val="clear" w:pos="4680"/>
        <w:tab w:val="clear" w:pos="9360"/>
        <w:tab w:val="left" w:pos="1290"/>
      </w:tabs>
    </w:pPr>
    <w:r>
      <w:rPr>
        <w:noProof/>
        <w:lang w:eastAsia="es-MX"/>
      </w:rPr>
      <w:pict w14:anchorId="75606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8" o:spid="_x0000_s2050" type="#_x0000_t75" alt="4 CC logo-01" style="position:absolute;margin-left:-57.15pt;margin-top:-87.95pt;width:609.6pt;height:793.9pt;z-index:-251655168;mso-wrap-edited:f;mso-width-percent:0;mso-height-percent:0;mso-position-horizontal-relative:margin;mso-position-vertical-relative:margin;mso-width-percent:0;mso-height-percent:0" o:allowincell="f">
          <v:imagedata r:id="rId1" o:title="4 CC logo-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4FC90" w14:textId="77777777" w:rsidR="004A36EB" w:rsidRDefault="008B67C5">
    <w:pPr>
      <w:pStyle w:val="Encabezado"/>
    </w:pPr>
    <w:r>
      <w:rPr>
        <w:noProof/>
        <w:lang w:eastAsia="es-MX"/>
      </w:rPr>
      <w:pict w14:anchorId="2A7C6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6" o:spid="_x0000_s2049" type="#_x0000_t75" alt="4 CC logo-01" style="position:absolute;margin-left:0;margin-top:0;width:609.6pt;height:793.9pt;z-index:-251657216;mso-wrap-edited:f;mso-width-percent:0;mso-height-percent:0;mso-position-horizontal:center;mso-position-horizontal-relative:margin;mso-position-vertical:center;mso-position-vertical-relative:margin;mso-width-percent:0;mso-height-percent:0" o:allowincell="f">
          <v:imagedata r:id="rId1" o:title="4 CC log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353"/>
    <w:multiLevelType w:val="hybridMultilevel"/>
    <w:tmpl w:val="0DE8D95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67741"/>
    <w:multiLevelType w:val="hybridMultilevel"/>
    <w:tmpl w:val="0F7C8C5A"/>
    <w:lvl w:ilvl="0" w:tplc="680AD2D6">
      <w:numFmt w:val="bullet"/>
      <w:lvlText w:val="-"/>
      <w:lvlJc w:val="left"/>
      <w:pPr>
        <w:ind w:left="1080" w:hanging="360"/>
      </w:pPr>
      <w:rPr>
        <w:rFonts w:ascii="ITC Avant Garde" w:eastAsiaTheme="minorEastAsia" w:hAnsi="ITC Avant Garde" w:cs="Arial Hebrew Scholar"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B944DE1"/>
    <w:multiLevelType w:val="hybridMultilevel"/>
    <w:tmpl w:val="F9583E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AD07AC"/>
    <w:multiLevelType w:val="hybridMultilevel"/>
    <w:tmpl w:val="5C86D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F2924"/>
    <w:multiLevelType w:val="hybridMultilevel"/>
    <w:tmpl w:val="EB4A2F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FA122B"/>
    <w:multiLevelType w:val="hybridMultilevel"/>
    <w:tmpl w:val="48FC4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72175"/>
    <w:multiLevelType w:val="hybridMultilevel"/>
    <w:tmpl w:val="5CEA188A"/>
    <w:lvl w:ilvl="0" w:tplc="EF6C9EFA">
      <w:start w:val="3"/>
      <w:numFmt w:val="bullet"/>
      <w:lvlText w:val=""/>
      <w:lvlJc w:val="left"/>
      <w:pPr>
        <w:ind w:left="720" w:hanging="360"/>
      </w:pPr>
      <w:rPr>
        <w:rFonts w:ascii="Symbol" w:eastAsiaTheme="minorEastAsia" w:hAnsi="Symbol" w:cs="Arial" w:hint="default"/>
        <w:color w:val="00000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530F33"/>
    <w:multiLevelType w:val="hybridMultilevel"/>
    <w:tmpl w:val="D3982FFA"/>
    <w:lvl w:ilvl="0" w:tplc="62A4B4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B595BEB"/>
    <w:multiLevelType w:val="hybridMultilevel"/>
    <w:tmpl w:val="A82E5924"/>
    <w:lvl w:ilvl="0" w:tplc="3DAC460C">
      <w:start w:val="1"/>
      <w:numFmt w:val="decimal"/>
      <w:lvlText w:val="%1."/>
      <w:lvlJc w:val="left"/>
      <w:pPr>
        <w:ind w:left="1211" w:hanging="360"/>
      </w:pPr>
      <w:rPr>
        <w:rFonts w:ascii="ITC Avant Garde" w:hAnsi="ITC Avant Gar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13B9E"/>
    <w:multiLevelType w:val="hybridMultilevel"/>
    <w:tmpl w:val="988247F6"/>
    <w:lvl w:ilvl="0" w:tplc="F9303864">
      <w:start w:val="1"/>
      <w:numFmt w:val="lowerRoman"/>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CD735C"/>
    <w:multiLevelType w:val="hybridMultilevel"/>
    <w:tmpl w:val="061011D2"/>
    <w:lvl w:ilvl="0" w:tplc="8550D46E">
      <w:start w:val="2"/>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0A4AF5"/>
    <w:multiLevelType w:val="hybridMultilevel"/>
    <w:tmpl w:val="A63CF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D45EC1"/>
    <w:multiLevelType w:val="hybridMultilevel"/>
    <w:tmpl w:val="D7766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F2B4F"/>
    <w:multiLevelType w:val="hybridMultilevel"/>
    <w:tmpl w:val="C856FEF6"/>
    <w:lvl w:ilvl="0" w:tplc="A65E008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6572A"/>
    <w:multiLevelType w:val="hybridMultilevel"/>
    <w:tmpl w:val="38522656"/>
    <w:lvl w:ilvl="0" w:tplc="6554AA6A">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F4D37AB"/>
    <w:multiLevelType w:val="hybridMultilevel"/>
    <w:tmpl w:val="06286BAA"/>
    <w:lvl w:ilvl="0" w:tplc="0790750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FB77F52"/>
    <w:multiLevelType w:val="multilevel"/>
    <w:tmpl w:val="7B42F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0210375"/>
    <w:multiLevelType w:val="hybridMultilevel"/>
    <w:tmpl w:val="2EDC25EE"/>
    <w:lvl w:ilvl="0" w:tplc="A23EC80C">
      <w:start w:val="1"/>
      <w:numFmt w:val="lowerLetter"/>
      <w:lvlText w:val="%1."/>
      <w:lvlJc w:val="left"/>
      <w:pPr>
        <w:ind w:left="1571" w:hanging="360"/>
      </w:pPr>
      <w:rPr>
        <w:rFonts w:ascii="ITC Avant Garde" w:eastAsiaTheme="minorEastAsia" w:hAnsi="ITC Avant Garde" w:cstheme="minorBidi"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4362545C"/>
    <w:multiLevelType w:val="hybridMultilevel"/>
    <w:tmpl w:val="6FD22BD2"/>
    <w:lvl w:ilvl="0" w:tplc="AB567DF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4DA28FD"/>
    <w:multiLevelType w:val="hybridMultilevel"/>
    <w:tmpl w:val="9AAC1E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5036F"/>
    <w:multiLevelType w:val="hybridMultilevel"/>
    <w:tmpl w:val="E0B410FC"/>
    <w:lvl w:ilvl="0" w:tplc="68FE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250BC0"/>
    <w:multiLevelType w:val="hybridMultilevel"/>
    <w:tmpl w:val="46B6164E"/>
    <w:lvl w:ilvl="0" w:tplc="B97C75A8">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42E6"/>
    <w:multiLevelType w:val="hybridMultilevel"/>
    <w:tmpl w:val="4EB873FE"/>
    <w:lvl w:ilvl="0" w:tplc="64C8B39E">
      <w:start w:val="5"/>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3429F4"/>
    <w:multiLevelType w:val="hybridMultilevel"/>
    <w:tmpl w:val="3EEA29CE"/>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8261DC"/>
    <w:multiLevelType w:val="hybridMultilevel"/>
    <w:tmpl w:val="E6D29BD0"/>
    <w:lvl w:ilvl="0" w:tplc="F5B0F8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24C04EA"/>
    <w:multiLevelType w:val="hybridMultilevel"/>
    <w:tmpl w:val="656068E4"/>
    <w:lvl w:ilvl="0" w:tplc="05A27A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542148E1"/>
    <w:multiLevelType w:val="hybridMultilevel"/>
    <w:tmpl w:val="41167080"/>
    <w:lvl w:ilvl="0" w:tplc="040A000F">
      <w:start w:val="1"/>
      <w:numFmt w:val="decimal"/>
      <w:lvlText w:val="%1."/>
      <w:lvlJc w:val="left"/>
      <w:pPr>
        <w:ind w:left="1494" w:hanging="360"/>
      </w:pPr>
    </w:lvl>
    <w:lvl w:ilvl="1" w:tplc="040A0019">
      <w:start w:val="1"/>
      <w:numFmt w:val="lowerLetter"/>
      <w:lvlText w:val="%2."/>
      <w:lvlJc w:val="left"/>
      <w:pPr>
        <w:ind w:left="2214" w:hanging="360"/>
      </w:pPr>
    </w:lvl>
    <w:lvl w:ilvl="2" w:tplc="040A001B">
      <w:start w:val="1"/>
      <w:numFmt w:val="lowerRoman"/>
      <w:lvlText w:val="%3."/>
      <w:lvlJc w:val="right"/>
      <w:pPr>
        <w:ind w:left="2934" w:hanging="180"/>
      </w:pPr>
    </w:lvl>
    <w:lvl w:ilvl="3" w:tplc="040A000F">
      <w:start w:val="1"/>
      <w:numFmt w:val="decimal"/>
      <w:lvlText w:val="%4."/>
      <w:lvlJc w:val="left"/>
      <w:pPr>
        <w:ind w:left="3654" w:hanging="360"/>
      </w:pPr>
    </w:lvl>
    <w:lvl w:ilvl="4" w:tplc="040A0019">
      <w:start w:val="1"/>
      <w:numFmt w:val="lowerLetter"/>
      <w:lvlText w:val="%5."/>
      <w:lvlJc w:val="left"/>
      <w:pPr>
        <w:ind w:left="4374" w:hanging="360"/>
      </w:pPr>
    </w:lvl>
    <w:lvl w:ilvl="5" w:tplc="040A001B">
      <w:start w:val="1"/>
      <w:numFmt w:val="lowerRoman"/>
      <w:lvlText w:val="%6."/>
      <w:lvlJc w:val="right"/>
      <w:pPr>
        <w:ind w:left="5094" w:hanging="180"/>
      </w:pPr>
    </w:lvl>
    <w:lvl w:ilvl="6" w:tplc="040A000F">
      <w:start w:val="1"/>
      <w:numFmt w:val="decimal"/>
      <w:lvlText w:val="%7."/>
      <w:lvlJc w:val="left"/>
      <w:pPr>
        <w:ind w:left="5814" w:hanging="360"/>
      </w:pPr>
    </w:lvl>
    <w:lvl w:ilvl="7" w:tplc="040A0019">
      <w:start w:val="1"/>
      <w:numFmt w:val="lowerLetter"/>
      <w:lvlText w:val="%8."/>
      <w:lvlJc w:val="left"/>
      <w:pPr>
        <w:ind w:left="6534" w:hanging="360"/>
      </w:pPr>
    </w:lvl>
    <w:lvl w:ilvl="8" w:tplc="040A001B">
      <w:start w:val="1"/>
      <w:numFmt w:val="lowerRoman"/>
      <w:lvlText w:val="%9."/>
      <w:lvlJc w:val="right"/>
      <w:pPr>
        <w:ind w:left="7254" w:hanging="180"/>
      </w:pPr>
    </w:lvl>
  </w:abstractNum>
  <w:abstractNum w:abstractNumId="27" w15:restartNumberingAfterBreak="0">
    <w:nsid w:val="560F4D13"/>
    <w:multiLevelType w:val="hybridMultilevel"/>
    <w:tmpl w:val="8F2887D6"/>
    <w:lvl w:ilvl="0" w:tplc="AD063C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7C0717"/>
    <w:multiLevelType w:val="multilevel"/>
    <w:tmpl w:val="56FED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9363594"/>
    <w:multiLevelType w:val="hybridMultilevel"/>
    <w:tmpl w:val="CB4E1E30"/>
    <w:lvl w:ilvl="0" w:tplc="F662989A">
      <w:start w:val="1"/>
      <w:numFmt w:val="decimal"/>
      <w:lvlText w:val="%1."/>
      <w:lvlJc w:val="left"/>
      <w:pPr>
        <w:ind w:left="720" w:hanging="360"/>
      </w:pPr>
      <w:rPr>
        <w:rFonts w:asciiTheme="majorHAnsi" w:eastAsia="Times New Roman" w:hAnsiTheme="majorHAnsi"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7A64D1"/>
    <w:multiLevelType w:val="hybridMultilevel"/>
    <w:tmpl w:val="C0C25C42"/>
    <w:lvl w:ilvl="0" w:tplc="AFDE7A10">
      <w:start w:val="1"/>
      <w:numFmt w:val="lowerLetter"/>
      <w:lvlText w:val="(%1)"/>
      <w:lvlJc w:val="left"/>
      <w:pPr>
        <w:ind w:left="644" w:hanging="360"/>
      </w:pPr>
      <w:rPr>
        <w:rFonts w:hint="default"/>
        <w:i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15:restartNumberingAfterBreak="0">
    <w:nsid w:val="5DD74D74"/>
    <w:multiLevelType w:val="hybridMultilevel"/>
    <w:tmpl w:val="6098451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2" w15:restartNumberingAfterBreak="0">
    <w:nsid w:val="612C2585"/>
    <w:multiLevelType w:val="hybridMultilevel"/>
    <w:tmpl w:val="2D8E17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9219C6"/>
    <w:multiLevelType w:val="hybridMultilevel"/>
    <w:tmpl w:val="DFC4F1CA"/>
    <w:lvl w:ilvl="0" w:tplc="61021CB6">
      <w:start w:val="1"/>
      <w:numFmt w:val="decimal"/>
      <w:lvlText w:val="%1."/>
      <w:lvlJc w:val="left"/>
      <w:pPr>
        <w:ind w:left="720" w:hanging="360"/>
      </w:pPr>
      <w:rPr>
        <w:rFonts w:hint="default"/>
        <w:b w:val="0"/>
      </w:rPr>
    </w:lvl>
    <w:lvl w:ilvl="1" w:tplc="F9303864">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9F7DC5"/>
    <w:multiLevelType w:val="hybridMultilevel"/>
    <w:tmpl w:val="03BA780E"/>
    <w:lvl w:ilvl="0" w:tplc="85242C0A">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76D63CB7"/>
    <w:multiLevelType w:val="hybridMultilevel"/>
    <w:tmpl w:val="FEA469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AE3E03"/>
    <w:multiLevelType w:val="hybridMultilevel"/>
    <w:tmpl w:val="E266FD86"/>
    <w:lvl w:ilvl="0" w:tplc="AD38D4D4">
      <w:start w:val="1"/>
      <w:numFmt w:val="bullet"/>
      <w:lvlText w:val=""/>
      <w:lvlJc w:val="left"/>
      <w:pPr>
        <w:ind w:left="1080" w:hanging="360"/>
      </w:pPr>
      <w:rPr>
        <w:rFonts w:ascii="Symbol" w:hAnsi="Symbol" w:hint="default"/>
        <w:sz w:val="16"/>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7F454328"/>
    <w:multiLevelType w:val="hybridMultilevel"/>
    <w:tmpl w:val="DC1E1838"/>
    <w:lvl w:ilvl="0" w:tplc="D4544296">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1"/>
  </w:num>
  <w:num w:numId="3">
    <w:abstractNumId w:val="34"/>
  </w:num>
  <w:num w:numId="4">
    <w:abstractNumId w:val="20"/>
  </w:num>
  <w:num w:numId="5">
    <w:abstractNumId w:val="0"/>
  </w:num>
  <w:num w:numId="6">
    <w:abstractNumId w:val="19"/>
  </w:num>
  <w:num w:numId="7">
    <w:abstractNumId w:val="12"/>
  </w:num>
  <w:num w:numId="8">
    <w:abstractNumId w:val="29"/>
  </w:num>
  <w:num w:numId="9">
    <w:abstractNumId w:val="4"/>
  </w:num>
  <w:num w:numId="10">
    <w:abstractNumId w:val="31"/>
  </w:num>
  <w:num w:numId="11">
    <w:abstractNumId w:val="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7"/>
  </w:num>
  <w:num w:numId="20">
    <w:abstractNumId w:val="13"/>
  </w:num>
  <w:num w:numId="21">
    <w:abstractNumId w:val="30"/>
  </w:num>
  <w:num w:numId="22">
    <w:abstractNumId w:val="24"/>
  </w:num>
  <w:num w:numId="23">
    <w:abstractNumId w:val="8"/>
  </w:num>
  <w:num w:numId="24">
    <w:abstractNumId w:val="9"/>
  </w:num>
  <w:num w:numId="25">
    <w:abstractNumId w:val="33"/>
  </w:num>
  <w:num w:numId="26">
    <w:abstractNumId w:val="1"/>
  </w:num>
  <w:num w:numId="27">
    <w:abstractNumId w:val="11"/>
  </w:num>
  <w:num w:numId="28">
    <w:abstractNumId w:val="3"/>
  </w:num>
  <w:num w:numId="29">
    <w:abstractNumId w:val="10"/>
  </w:num>
  <w:num w:numId="30">
    <w:abstractNumId w:val="15"/>
  </w:num>
  <w:num w:numId="31">
    <w:abstractNumId w:val="27"/>
  </w:num>
  <w:num w:numId="32">
    <w:abstractNumId w:val="36"/>
  </w:num>
  <w:num w:numId="33">
    <w:abstractNumId w:val="17"/>
  </w:num>
  <w:num w:numId="34">
    <w:abstractNumId w:val="5"/>
  </w:num>
  <w:num w:numId="35">
    <w:abstractNumId w:val="35"/>
  </w:num>
  <w:num w:numId="36">
    <w:abstractNumId w:val="16"/>
  </w:num>
  <w:num w:numId="37">
    <w:abstractNumId w:val="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1A"/>
    <w:rsid w:val="00000D73"/>
    <w:rsid w:val="00012978"/>
    <w:rsid w:val="00016C2E"/>
    <w:rsid w:val="00022B5B"/>
    <w:rsid w:val="00024E56"/>
    <w:rsid w:val="000250D0"/>
    <w:rsid w:val="00026E43"/>
    <w:rsid w:val="00030DBF"/>
    <w:rsid w:val="00032909"/>
    <w:rsid w:val="0003320E"/>
    <w:rsid w:val="000425FF"/>
    <w:rsid w:val="00043328"/>
    <w:rsid w:val="000463CC"/>
    <w:rsid w:val="0004663D"/>
    <w:rsid w:val="00046A83"/>
    <w:rsid w:val="00052359"/>
    <w:rsid w:val="00062C50"/>
    <w:rsid w:val="00071A7D"/>
    <w:rsid w:val="00074047"/>
    <w:rsid w:val="00074747"/>
    <w:rsid w:val="00082085"/>
    <w:rsid w:val="00086A6F"/>
    <w:rsid w:val="00086FD1"/>
    <w:rsid w:val="000B72C9"/>
    <w:rsid w:val="000C621A"/>
    <w:rsid w:val="000C7FD5"/>
    <w:rsid w:val="000D6371"/>
    <w:rsid w:val="000D6709"/>
    <w:rsid w:val="000E1BFE"/>
    <w:rsid w:val="000E6201"/>
    <w:rsid w:val="000F064D"/>
    <w:rsid w:val="00103BA0"/>
    <w:rsid w:val="00103E31"/>
    <w:rsid w:val="00110CAB"/>
    <w:rsid w:val="0011196F"/>
    <w:rsid w:val="00116AFF"/>
    <w:rsid w:val="00121175"/>
    <w:rsid w:val="00121495"/>
    <w:rsid w:val="00121BA3"/>
    <w:rsid w:val="001269F8"/>
    <w:rsid w:val="001337D9"/>
    <w:rsid w:val="00150993"/>
    <w:rsid w:val="00152402"/>
    <w:rsid w:val="00157125"/>
    <w:rsid w:val="001646A2"/>
    <w:rsid w:val="001706CA"/>
    <w:rsid w:val="00171C65"/>
    <w:rsid w:val="001736AA"/>
    <w:rsid w:val="00195ACD"/>
    <w:rsid w:val="001A4482"/>
    <w:rsid w:val="001B4763"/>
    <w:rsid w:val="001B4C2F"/>
    <w:rsid w:val="001B5756"/>
    <w:rsid w:val="001B6951"/>
    <w:rsid w:val="001C3433"/>
    <w:rsid w:val="001D030B"/>
    <w:rsid w:val="001D29E7"/>
    <w:rsid w:val="001E24D2"/>
    <w:rsid w:val="001F08BF"/>
    <w:rsid w:val="001F4604"/>
    <w:rsid w:val="0021412A"/>
    <w:rsid w:val="00214199"/>
    <w:rsid w:val="00215AA0"/>
    <w:rsid w:val="00216556"/>
    <w:rsid w:val="00222CC3"/>
    <w:rsid w:val="00225725"/>
    <w:rsid w:val="00235426"/>
    <w:rsid w:val="00247A37"/>
    <w:rsid w:val="00252B1E"/>
    <w:rsid w:val="00261E71"/>
    <w:rsid w:val="00282C65"/>
    <w:rsid w:val="002A0A78"/>
    <w:rsid w:val="002A7D27"/>
    <w:rsid w:val="002B55F4"/>
    <w:rsid w:val="002C2DF4"/>
    <w:rsid w:val="002D4707"/>
    <w:rsid w:val="002D7040"/>
    <w:rsid w:val="002E0126"/>
    <w:rsid w:val="002F2F10"/>
    <w:rsid w:val="002F613D"/>
    <w:rsid w:val="00314401"/>
    <w:rsid w:val="003167F7"/>
    <w:rsid w:val="0032270D"/>
    <w:rsid w:val="00340E17"/>
    <w:rsid w:val="003432C0"/>
    <w:rsid w:val="00344B65"/>
    <w:rsid w:val="00355C35"/>
    <w:rsid w:val="0035642D"/>
    <w:rsid w:val="0036685B"/>
    <w:rsid w:val="00370A6D"/>
    <w:rsid w:val="0037587A"/>
    <w:rsid w:val="003758C3"/>
    <w:rsid w:val="00376773"/>
    <w:rsid w:val="00382EAE"/>
    <w:rsid w:val="0038316F"/>
    <w:rsid w:val="003838EF"/>
    <w:rsid w:val="003865FE"/>
    <w:rsid w:val="003A36EA"/>
    <w:rsid w:val="003A6A7A"/>
    <w:rsid w:val="003B0EFB"/>
    <w:rsid w:val="003B2AFE"/>
    <w:rsid w:val="003C0137"/>
    <w:rsid w:val="003D0C75"/>
    <w:rsid w:val="003D4160"/>
    <w:rsid w:val="003D6AEE"/>
    <w:rsid w:val="003E0BED"/>
    <w:rsid w:val="004129D0"/>
    <w:rsid w:val="004336E4"/>
    <w:rsid w:val="00434D19"/>
    <w:rsid w:val="004356FD"/>
    <w:rsid w:val="00437003"/>
    <w:rsid w:val="00437ABD"/>
    <w:rsid w:val="00440CA2"/>
    <w:rsid w:val="00474D85"/>
    <w:rsid w:val="00477BF1"/>
    <w:rsid w:val="0048027C"/>
    <w:rsid w:val="00491155"/>
    <w:rsid w:val="004919E7"/>
    <w:rsid w:val="004A36EB"/>
    <w:rsid w:val="004C2A84"/>
    <w:rsid w:val="004C35A3"/>
    <w:rsid w:val="004E034F"/>
    <w:rsid w:val="004E3AD3"/>
    <w:rsid w:val="004E51F8"/>
    <w:rsid w:val="004E632A"/>
    <w:rsid w:val="00500AD1"/>
    <w:rsid w:val="00501EC2"/>
    <w:rsid w:val="0052518A"/>
    <w:rsid w:val="0053569C"/>
    <w:rsid w:val="00540916"/>
    <w:rsid w:val="005453F9"/>
    <w:rsid w:val="005512DF"/>
    <w:rsid w:val="005577DE"/>
    <w:rsid w:val="0056037E"/>
    <w:rsid w:val="0056234D"/>
    <w:rsid w:val="00563DC3"/>
    <w:rsid w:val="00567DCB"/>
    <w:rsid w:val="00573D92"/>
    <w:rsid w:val="00574189"/>
    <w:rsid w:val="00583421"/>
    <w:rsid w:val="00583DEB"/>
    <w:rsid w:val="00585991"/>
    <w:rsid w:val="00585D93"/>
    <w:rsid w:val="00591488"/>
    <w:rsid w:val="00593AAC"/>
    <w:rsid w:val="00594F18"/>
    <w:rsid w:val="00597FC6"/>
    <w:rsid w:val="005A48D5"/>
    <w:rsid w:val="005A4BCA"/>
    <w:rsid w:val="005B1DEB"/>
    <w:rsid w:val="005B2022"/>
    <w:rsid w:val="005B3827"/>
    <w:rsid w:val="005C2198"/>
    <w:rsid w:val="005C7A1B"/>
    <w:rsid w:val="005F2A94"/>
    <w:rsid w:val="005F553D"/>
    <w:rsid w:val="00602863"/>
    <w:rsid w:val="00605E7C"/>
    <w:rsid w:val="00610CCE"/>
    <w:rsid w:val="00613196"/>
    <w:rsid w:val="006165FA"/>
    <w:rsid w:val="00625E2F"/>
    <w:rsid w:val="00631343"/>
    <w:rsid w:val="006325E2"/>
    <w:rsid w:val="006346DF"/>
    <w:rsid w:val="006352AD"/>
    <w:rsid w:val="00637B0A"/>
    <w:rsid w:val="00641590"/>
    <w:rsid w:val="006515D0"/>
    <w:rsid w:val="006573DE"/>
    <w:rsid w:val="00661979"/>
    <w:rsid w:val="00666DA5"/>
    <w:rsid w:val="0067621E"/>
    <w:rsid w:val="00692250"/>
    <w:rsid w:val="006A30D8"/>
    <w:rsid w:val="006A60D6"/>
    <w:rsid w:val="006B03E8"/>
    <w:rsid w:val="006B1983"/>
    <w:rsid w:val="006B7EA7"/>
    <w:rsid w:val="006C0BF1"/>
    <w:rsid w:val="006C10D4"/>
    <w:rsid w:val="006C7117"/>
    <w:rsid w:val="006D0A9B"/>
    <w:rsid w:val="006D2230"/>
    <w:rsid w:val="006D2BF4"/>
    <w:rsid w:val="006D6079"/>
    <w:rsid w:val="006E0250"/>
    <w:rsid w:val="006E0C73"/>
    <w:rsid w:val="006F1682"/>
    <w:rsid w:val="006F3450"/>
    <w:rsid w:val="006F555A"/>
    <w:rsid w:val="00700A1A"/>
    <w:rsid w:val="00702F00"/>
    <w:rsid w:val="00716AA1"/>
    <w:rsid w:val="0072004D"/>
    <w:rsid w:val="00723EEE"/>
    <w:rsid w:val="00727660"/>
    <w:rsid w:val="0073119B"/>
    <w:rsid w:val="007371A6"/>
    <w:rsid w:val="00743CC9"/>
    <w:rsid w:val="00764180"/>
    <w:rsid w:val="007641CE"/>
    <w:rsid w:val="00771285"/>
    <w:rsid w:val="0077675C"/>
    <w:rsid w:val="00777EDB"/>
    <w:rsid w:val="007825DE"/>
    <w:rsid w:val="0078337E"/>
    <w:rsid w:val="007A66FA"/>
    <w:rsid w:val="007B2314"/>
    <w:rsid w:val="007B2414"/>
    <w:rsid w:val="007C4EC0"/>
    <w:rsid w:val="007D04F8"/>
    <w:rsid w:val="007D2863"/>
    <w:rsid w:val="007F4838"/>
    <w:rsid w:val="008006C8"/>
    <w:rsid w:val="0080431A"/>
    <w:rsid w:val="008046C5"/>
    <w:rsid w:val="0081699B"/>
    <w:rsid w:val="00825595"/>
    <w:rsid w:val="00837472"/>
    <w:rsid w:val="00846650"/>
    <w:rsid w:val="00851391"/>
    <w:rsid w:val="00856DFA"/>
    <w:rsid w:val="00857774"/>
    <w:rsid w:val="00862FCC"/>
    <w:rsid w:val="00871D14"/>
    <w:rsid w:val="0087547A"/>
    <w:rsid w:val="00875B83"/>
    <w:rsid w:val="00890570"/>
    <w:rsid w:val="00890A56"/>
    <w:rsid w:val="00892673"/>
    <w:rsid w:val="00895106"/>
    <w:rsid w:val="00895F53"/>
    <w:rsid w:val="00897A03"/>
    <w:rsid w:val="008B5014"/>
    <w:rsid w:val="008B67C5"/>
    <w:rsid w:val="008D09F7"/>
    <w:rsid w:val="008D7C5B"/>
    <w:rsid w:val="008E4779"/>
    <w:rsid w:val="008E4E26"/>
    <w:rsid w:val="008E7BBB"/>
    <w:rsid w:val="008E7F39"/>
    <w:rsid w:val="008F79E2"/>
    <w:rsid w:val="00910240"/>
    <w:rsid w:val="0091053A"/>
    <w:rsid w:val="00917637"/>
    <w:rsid w:val="0092289C"/>
    <w:rsid w:val="009238F6"/>
    <w:rsid w:val="009327BD"/>
    <w:rsid w:val="00941B92"/>
    <w:rsid w:val="0098184D"/>
    <w:rsid w:val="00985B9A"/>
    <w:rsid w:val="009901B1"/>
    <w:rsid w:val="009930D1"/>
    <w:rsid w:val="00993125"/>
    <w:rsid w:val="009A6ED3"/>
    <w:rsid w:val="009B0B9F"/>
    <w:rsid w:val="009B3C8F"/>
    <w:rsid w:val="009B3D45"/>
    <w:rsid w:val="009B6A6B"/>
    <w:rsid w:val="009B70BE"/>
    <w:rsid w:val="009C3DBD"/>
    <w:rsid w:val="009C4812"/>
    <w:rsid w:val="009C780B"/>
    <w:rsid w:val="009E1054"/>
    <w:rsid w:val="009E265A"/>
    <w:rsid w:val="009E5B7B"/>
    <w:rsid w:val="009F5E52"/>
    <w:rsid w:val="009F7657"/>
    <w:rsid w:val="00A013A5"/>
    <w:rsid w:val="00A04EC5"/>
    <w:rsid w:val="00A261E5"/>
    <w:rsid w:val="00A36A56"/>
    <w:rsid w:val="00A377DD"/>
    <w:rsid w:val="00A404F6"/>
    <w:rsid w:val="00A41807"/>
    <w:rsid w:val="00A46C19"/>
    <w:rsid w:val="00A7013B"/>
    <w:rsid w:val="00A7162A"/>
    <w:rsid w:val="00A744F1"/>
    <w:rsid w:val="00A75B17"/>
    <w:rsid w:val="00A76693"/>
    <w:rsid w:val="00A81B56"/>
    <w:rsid w:val="00A87D55"/>
    <w:rsid w:val="00A91354"/>
    <w:rsid w:val="00A96CEF"/>
    <w:rsid w:val="00AB06A2"/>
    <w:rsid w:val="00AB16FD"/>
    <w:rsid w:val="00AB2642"/>
    <w:rsid w:val="00AB5134"/>
    <w:rsid w:val="00AC1538"/>
    <w:rsid w:val="00AC5FAC"/>
    <w:rsid w:val="00AD0273"/>
    <w:rsid w:val="00AE1DCB"/>
    <w:rsid w:val="00AE3185"/>
    <w:rsid w:val="00AE6F95"/>
    <w:rsid w:val="00AF16A6"/>
    <w:rsid w:val="00B01E28"/>
    <w:rsid w:val="00B040CE"/>
    <w:rsid w:val="00B0435D"/>
    <w:rsid w:val="00B04B2B"/>
    <w:rsid w:val="00B07471"/>
    <w:rsid w:val="00B12ED5"/>
    <w:rsid w:val="00B30B73"/>
    <w:rsid w:val="00B33292"/>
    <w:rsid w:val="00B41B05"/>
    <w:rsid w:val="00B41B4B"/>
    <w:rsid w:val="00B4595E"/>
    <w:rsid w:val="00B54274"/>
    <w:rsid w:val="00B556BB"/>
    <w:rsid w:val="00B616E0"/>
    <w:rsid w:val="00B76B25"/>
    <w:rsid w:val="00B8279E"/>
    <w:rsid w:val="00B8646D"/>
    <w:rsid w:val="00B8742B"/>
    <w:rsid w:val="00B9314A"/>
    <w:rsid w:val="00B93BF9"/>
    <w:rsid w:val="00B94FE8"/>
    <w:rsid w:val="00B95DB3"/>
    <w:rsid w:val="00BA1687"/>
    <w:rsid w:val="00BA7FF1"/>
    <w:rsid w:val="00BB2B48"/>
    <w:rsid w:val="00BC0F76"/>
    <w:rsid w:val="00BC3D80"/>
    <w:rsid w:val="00BC63F5"/>
    <w:rsid w:val="00BD0D3A"/>
    <w:rsid w:val="00BD7B2E"/>
    <w:rsid w:val="00BE0B62"/>
    <w:rsid w:val="00BE49D4"/>
    <w:rsid w:val="00BE71C1"/>
    <w:rsid w:val="00BF69FD"/>
    <w:rsid w:val="00C028EB"/>
    <w:rsid w:val="00C04C5F"/>
    <w:rsid w:val="00C06FBF"/>
    <w:rsid w:val="00C1561B"/>
    <w:rsid w:val="00C23AC2"/>
    <w:rsid w:val="00C24513"/>
    <w:rsid w:val="00C24C03"/>
    <w:rsid w:val="00C314F4"/>
    <w:rsid w:val="00C31D0B"/>
    <w:rsid w:val="00C33666"/>
    <w:rsid w:val="00C47843"/>
    <w:rsid w:val="00C54B6A"/>
    <w:rsid w:val="00C5549A"/>
    <w:rsid w:val="00C6205D"/>
    <w:rsid w:val="00C74842"/>
    <w:rsid w:val="00C77305"/>
    <w:rsid w:val="00C83ECA"/>
    <w:rsid w:val="00C84B97"/>
    <w:rsid w:val="00C939B2"/>
    <w:rsid w:val="00C95D56"/>
    <w:rsid w:val="00C95FAF"/>
    <w:rsid w:val="00CA03AF"/>
    <w:rsid w:val="00CA57EC"/>
    <w:rsid w:val="00CA766F"/>
    <w:rsid w:val="00CA7D33"/>
    <w:rsid w:val="00CB08C7"/>
    <w:rsid w:val="00CB53D2"/>
    <w:rsid w:val="00CB64DE"/>
    <w:rsid w:val="00CB74B3"/>
    <w:rsid w:val="00CC3ED3"/>
    <w:rsid w:val="00CC4DA7"/>
    <w:rsid w:val="00CC6499"/>
    <w:rsid w:val="00CD3F62"/>
    <w:rsid w:val="00CE03F7"/>
    <w:rsid w:val="00CE7C9A"/>
    <w:rsid w:val="00CE7DCD"/>
    <w:rsid w:val="00CF3082"/>
    <w:rsid w:val="00CF388E"/>
    <w:rsid w:val="00D028F1"/>
    <w:rsid w:val="00D033DD"/>
    <w:rsid w:val="00D1352F"/>
    <w:rsid w:val="00D13C32"/>
    <w:rsid w:val="00D1421C"/>
    <w:rsid w:val="00D2648D"/>
    <w:rsid w:val="00D34B4D"/>
    <w:rsid w:val="00D51808"/>
    <w:rsid w:val="00D5260F"/>
    <w:rsid w:val="00D552EB"/>
    <w:rsid w:val="00D71266"/>
    <w:rsid w:val="00D95E2A"/>
    <w:rsid w:val="00D974D5"/>
    <w:rsid w:val="00D97D67"/>
    <w:rsid w:val="00DA1129"/>
    <w:rsid w:val="00DB05AE"/>
    <w:rsid w:val="00DC6618"/>
    <w:rsid w:val="00DD0D26"/>
    <w:rsid w:val="00DE72B4"/>
    <w:rsid w:val="00E0073D"/>
    <w:rsid w:val="00E0526B"/>
    <w:rsid w:val="00E06E5C"/>
    <w:rsid w:val="00E07F1E"/>
    <w:rsid w:val="00E21B5B"/>
    <w:rsid w:val="00E22190"/>
    <w:rsid w:val="00E232FD"/>
    <w:rsid w:val="00E306AA"/>
    <w:rsid w:val="00E44017"/>
    <w:rsid w:val="00E458AD"/>
    <w:rsid w:val="00E53EF4"/>
    <w:rsid w:val="00E64E77"/>
    <w:rsid w:val="00E66C82"/>
    <w:rsid w:val="00E72613"/>
    <w:rsid w:val="00E80255"/>
    <w:rsid w:val="00E81324"/>
    <w:rsid w:val="00E94019"/>
    <w:rsid w:val="00EA7769"/>
    <w:rsid w:val="00EB0F42"/>
    <w:rsid w:val="00EB18FE"/>
    <w:rsid w:val="00EB4978"/>
    <w:rsid w:val="00ED4752"/>
    <w:rsid w:val="00ED763C"/>
    <w:rsid w:val="00EE2945"/>
    <w:rsid w:val="00F01D09"/>
    <w:rsid w:val="00F150D3"/>
    <w:rsid w:val="00F20A68"/>
    <w:rsid w:val="00F3048C"/>
    <w:rsid w:val="00F341F7"/>
    <w:rsid w:val="00F34220"/>
    <w:rsid w:val="00F35694"/>
    <w:rsid w:val="00F55092"/>
    <w:rsid w:val="00F560A9"/>
    <w:rsid w:val="00F60C09"/>
    <w:rsid w:val="00F6213D"/>
    <w:rsid w:val="00F65869"/>
    <w:rsid w:val="00F747BB"/>
    <w:rsid w:val="00F903E5"/>
    <w:rsid w:val="00F95E4C"/>
    <w:rsid w:val="00F96DA1"/>
    <w:rsid w:val="00FB02DD"/>
    <w:rsid w:val="00FB4576"/>
    <w:rsid w:val="00FC3EDF"/>
    <w:rsid w:val="00FC5B87"/>
    <w:rsid w:val="00FC681A"/>
    <w:rsid w:val="00FE0217"/>
    <w:rsid w:val="00FE0E8F"/>
    <w:rsid w:val="00FE52B1"/>
    <w:rsid w:val="00FE6CA0"/>
    <w:rsid w:val="00FE6DE5"/>
    <w:rsid w:val="00FF06D7"/>
    <w:rsid w:val="00FF2E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E9BC81"/>
  <w15:docId w15:val="{804422CD-02F9-4C5D-A5C3-C1CEED6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75C"/>
    <w:rPr>
      <w:lang w:val="es-MX"/>
    </w:rPr>
  </w:style>
  <w:style w:type="paragraph" w:styleId="Ttulo1">
    <w:name w:val="heading 1"/>
    <w:basedOn w:val="Normal"/>
    <w:next w:val="Normal"/>
    <w:link w:val="Ttulo1Car"/>
    <w:uiPriority w:val="9"/>
    <w:qFormat/>
    <w:rsid w:val="008466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466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51391"/>
    <w:pPr>
      <w:spacing w:before="100" w:beforeAutospacing="1" w:after="100" w:afterAutospacing="1"/>
    </w:pPr>
    <w:rPr>
      <w:rFonts w:ascii="Tahoma" w:eastAsia="Times New Roman" w:hAnsi="Tahoma" w:cs="Tahoma"/>
      <w:color w:val="000000"/>
    </w:rPr>
  </w:style>
  <w:style w:type="paragraph" w:styleId="Prrafodelista">
    <w:name w:val="List Paragraph"/>
    <w:basedOn w:val="Normal"/>
    <w:link w:val="PrrafodelistaCar"/>
    <w:uiPriority w:val="34"/>
    <w:qFormat/>
    <w:rsid w:val="001646A2"/>
    <w:pPr>
      <w:ind w:left="720"/>
      <w:contextualSpacing/>
    </w:pPr>
  </w:style>
  <w:style w:type="paragraph" w:styleId="Encabezado">
    <w:name w:val="header"/>
    <w:basedOn w:val="Normal"/>
    <w:link w:val="EncabezadoCar"/>
    <w:uiPriority w:val="99"/>
    <w:unhideWhenUsed/>
    <w:rsid w:val="00F60C09"/>
    <w:pPr>
      <w:tabs>
        <w:tab w:val="center" w:pos="4680"/>
        <w:tab w:val="right" w:pos="9360"/>
      </w:tabs>
      <w:spacing w:after="0"/>
    </w:pPr>
  </w:style>
  <w:style w:type="character" w:customStyle="1" w:styleId="EncabezadoCar">
    <w:name w:val="Encabezado Car"/>
    <w:basedOn w:val="Fuentedeprrafopredeter"/>
    <w:link w:val="Encabezado"/>
    <w:uiPriority w:val="99"/>
    <w:rsid w:val="00F60C09"/>
  </w:style>
  <w:style w:type="paragraph" w:styleId="Piedepgina">
    <w:name w:val="footer"/>
    <w:basedOn w:val="Normal"/>
    <w:link w:val="PiedepginaCar"/>
    <w:uiPriority w:val="99"/>
    <w:unhideWhenUsed/>
    <w:rsid w:val="00F60C09"/>
    <w:pPr>
      <w:tabs>
        <w:tab w:val="center" w:pos="4680"/>
        <w:tab w:val="right" w:pos="9360"/>
      </w:tabs>
      <w:spacing w:after="0"/>
    </w:pPr>
  </w:style>
  <w:style w:type="character" w:customStyle="1" w:styleId="PiedepginaCar">
    <w:name w:val="Pie de página Car"/>
    <w:basedOn w:val="Fuentedeprrafopredeter"/>
    <w:link w:val="Piedepgina"/>
    <w:uiPriority w:val="99"/>
    <w:rsid w:val="00F60C09"/>
  </w:style>
  <w:style w:type="paragraph" w:styleId="Textodeglobo">
    <w:name w:val="Balloon Text"/>
    <w:basedOn w:val="Normal"/>
    <w:link w:val="TextodegloboCar"/>
    <w:uiPriority w:val="99"/>
    <w:semiHidden/>
    <w:unhideWhenUsed/>
    <w:rsid w:val="00C7484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842"/>
    <w:rPr>
      <w:rFonts w:ascii="Segoe UI" w:hAnsi="Segoe UI" w:cs="Segoe UI"/>
      <w:sz w:val="18"/>
      <w:szCs w:val="18"/>
    </w:rPr>
  </w:style>
  <w:style w:type="character" w:customStyle="1" w:styleId="Ttulo1Car">
    <w:name w:val="Título 1 Car"/>
    <w:basedOn w:val="Fuentedeprrafopredeter"/>
    <w:link w:val="Ttulo1"/>
    <w:uiPriority w:val="9"/>
    <w:rsid w:val="0084665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846650"/>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59"/>
    <w:rsid w:val="005C7A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28EB"/>
    <w:rPr>
      <w:sz w:val="16"/>
      <w:szCs w:val="16"/>
    </w:rPr>
  </w:style>
  <w:style w:type="paragraph" w:styleId="Textocomentario">
    <w:name w:val="annotation text"/>
    <w:basedOn w:val="Normal"/>
    <w:link w:val="TextocomentarioCar"/>
    <w:uiPriority w:val="99"/>
    <w:unhideWhenUsed/>
    <w:rsid w:val="00C028EB"/>
    <w:rPr>
      <w:sz w:val="20"/>
      <w:szCs w:val="20"/>
    </w:rPr>
  </w:style>
  <w:style w:type="character" w:customStyle="1" w:styleId="TextocomentarioCar">
    <w:name w:val="Texto comentario Car"/>
    <w:basedOn w:val="Fuentedeprrafopredeter"/>
    <w:link w:val="Textocomentario"/>
    <w:uiPriority w:val="99"/>
    <w:rsid w:val="00C028EB"/>
    <w:rPr>
      <w:sz w:val="20"/>
      <w:szCs w:val="20"/>
    </w:rPr>
  </w:style>
  <w:style w:type="paragraph" w:styleId="Asuntodelcomentario">
    <w:name w:val="annotation subject"/>
    <w:basedOn w:val="Textocomentario"/>
    <w:next w:val="Textocomentario"/>
    <w:link w:val="AsuntodelcomentarioCar"/>
    <w:uiPriority w:val="99"/>
    <w:semiHidden/>
    <w:unhideWhenUsed/>
    <w:rsid w:val="00C028EB"/>
    <w:rPr>
      <w:b/>
      <w:bCs/>
    </w:rPr>
  </w:style>
  <w:style w:type="character" w:customStyle="1" w:styleId="AsuntodelcomentarioCar">
    <w:name w:val="Asunto del comentario Car"/>
    <w:basedOn w:val="TextocomentarioCar"/>
    <w:link w:val="Asuntodelcomentario"/>
    <w:uiPriority w:val="99"/>
    <w:semiHidden/>
    <w:rsid w:val="00C028EB"/>
    <w:rPr>
      <w:b/>
      <w:bCs/>
      <w:sz w:val="20"/>
      <w:szCs w:val="20"/>
    </w:rPr>
  </w:style>
  <w:style w:type="character" w:styleId="Hipervnculo">
    <w:name w:val="Hyperlink"/>
    <w:basedOn w:val="Fuentedeprrafopredeter"/>
    <w:uiPriority w:val="99"/>
    <w:unhideWhenUsed/>
    <w:rsid w:val="00CF388E"/>
    <w:rPr>
      <w:color w:val="0000FF"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
    <w:uiPriority w:val="99"/>
    <w:unhideWhenUsed/>
    <w:qFormat/>
    <w:rsid w:val="00CF388E"/>
    <w:pPr>
      <w:spacing w:after="0"/>
    </w:pPr>
    <w:rPr>
      <w:rFonts w:eastAsiaTheme="minorHAnsi"/>
      <w:sz w:val="20"/>
      <w:szCs w:val="20"/>
      <w:lang w:val="en-US"/>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F388E"/>
    <w:rPr>
      <w:rFonts w:eastAsiaTheme="minorHAnsi"/>
      <w:sz w:val="20"/>
      <w:szCs w:val="20"/>
    </w:rPr>
  </w:style>
  <w:style w:type="character" w:styleId="Refdenotaalpie">
    <w:name w:val="footnote reference"/>
    <w:aliases w:val="Appel note de bas de p,Footnote symbol,Footnote,fr,o,Appel note de bas de p + 11 pt,Italic,Nota,Voetnootverwijzing,(NECG) Footnote Reference,Style 12,Style 124,Ref,de nota al pie,Style 13,Style 3,Style 17,FR,Footnote Reference/"/>
    <w:basedOn w:val="Fuentedeprrafopredeter"/>
    <w:uiPriority w:val="99"/>
    <w:unhideWhenUsed/>
    <w:qFormat/>
    <w:rsid w:val="00CF388E"/>
    <w:rPr>
      <w:vertAlign w:val="superscript"/>
    </w:rPr>
  </w:style>
  <w:style w:type="paragraph" w:styleId="Textosinformato">
    <w:name w:val="Plain Text"/>
    <w:basedOn w:val="Normal"/>
    <w:link w:val="TextosinformatoCar"/>
    <w:uiPriority w:val="99"/>
    <w:unhideWhenUsed/>
    <w:rsid w:val="00ED4752"/>
    <w:pPr>
      <w:spacing w:after="0"/>
    </w:pPr>
    <w:rPr>
      <w:rFonts w:ascii="Calibri" w:eastAsiaTheme="minorHAnsi" w:hAnsi="Calibri"/>
      <w:sz w:val="22"/>
      <w:szCs w:val="21"/>
    </w:rPr>
  </w:style>
  <w:style w:type="character" w:customStyle="1" w:styleId="TextosinformatoCar">
    <w:name w:val="Texto sin formato Car"/>
    <w:basedOn w:val="Fuentedeprrafopredeter"/>
    <w:link w:val="Textosinformato"/>
    <w:uiPriority w:val="99"/>
    <w:rsid w:val="00ED4752"/>
    <w:rPr>
      <w:rFonts w:ascii="Calibri" w:eastAsiaTheme="minorHAnsi" w:hAnsi="Calibri"/>
      <w:sz w:val="22"/>
      <w:szCs w:val="21"/>
      <w:lang w:val="es-MX"/>
    </w:rPr>
  </w:style>
  <w:style w:type="character" w:customStyle="1" w:styleId="page-title-inner1">
    <w:name w:val="page-title-inner1"/>
    <w:basedOn w:val="Fuentedeprrafopredeter"/>
    <w:rsid w:val="009F5E52"/>
    <w:rPr>
      <w:vanish w:val="0"/>
      <w:webHidden w:val="0"/>
      <w:specVanish w:val="0"/>
    </w:rPr>
  </w:style>
  <w:style w:type="character" w:styleId="Hipervnculovisitado">
    <w:name w:val="FollowedHyperlink"/>
    <w:basedOn w:val="Fuentedeprrafopredeter"/>
    <w:uiPriority w:val="99"/>
    <w:semiHidden/>
    <w:unhideWhenUsed/>
    <w:rsid w:val="00474D85"/>
    <w:rPr>
      <w:color w:val="800080" w:themeColor="followedHyperlink"/>
      <w:u w:val="single"/>
    </w:rPr>
  </w:style>
  <w:style w:type="character" w:customStyle="1" w:styleId="Mencinsinresolver1">
    <w:name w:val="Mención sin resolver1"/>
    <w:basedOn w:val="Fuentedeprrafopredeter"/>
    <w:uiPriority w:val="99"/>
    <w:semiHidden/>
    <w:unhideWhenUsed/>
    <w:rsid w:val="00C5549A"/>
    <w:rPr>
      <w:color w:val="605E5C"/>
      <w:shd w:val="clear" w:color="auto" w:fill="E1DFDD"/>
    </w:rPr>
  </w:style>
  <w:style w:type="paragraph" w:customStyle="1" w:styleId="Texto">
    <w:name w:val="Texto"/>
    <w:basedOn w:val="Normal"/>
    <w:rsid w:val="008006C8"/>
    <w:pPr>
      <w:spacing w:after="101" w:line="216" w:lineRule="exact"/>
      <w:ind w:firstLine="288"/>
      <w:jc w:val="both"/>
    </w:pPr>
    <w:rPr>
      <w:rFonts w:ascii="Arial" w:eastAsia="Times New Roman" w:hAnsi="Arial" w:cs="Arial"/>
      <w:sz w:val="18"/>
      <w:szCs w:val="18"/>
      <w:lang w:eastAsia="es-ES"/>
    </w:rPr>
  </w:style>
  <w:style w:type="character" w:customStyle="1" w:styleId="PrrafodelistaCar">
    <w:name w:val="Párrafo de lista Car"/>
    <w:link w:val="Prrafodelista"/>
    <w:uiPriority w:val="34"/>
    <w:locked/>
    <w:rsid w:val="00D1421C"/>
    <w:rPr>
      <w:lang w:val="es-MX"/>
    </w:rPr>
  </w:style>
  <w:style w:type="paragraph" w:styleId="Revisin">
    <w:name w:val="Revision"/>
    <w:hidden/>
    <w:uiPriority w:val="99"/>
    <w:semiHidden/>
    <w:rsid w:val="006D2230"/>
    <w:pPr>
      <w:spacing w:after="0"/>
    </w:pPr>
    <w:rPr>
      <w:lang w:val="es-MX"/>
    </w:rPr>
  </w:style>
  <w:style w:type="paragraph" w:styleId="TtuloTDC">
    <w:name w:val="TOC Heading"/>
    <w:basedOn w:val="Ttulo1"/>
    <w:next w:val="Normal"/>
    <w:uiPriority w:val="39"/>
    <w:unhideWhenUsed/>
    <w:qFormat/>
    <w:rsid w:val="00871D14"/>
    <w:pPr>
      <w:spacing w:line="259" w:lineRule="auto"/>
      <w:outlineLvl w:val="9"/>
    </w:pPr>
    <w:rPr>
      <w:lang w:eastAsia="es-MX"/>
    </w:rPr>
  </w:style>
  <w:style w:type="paragraph" w:styleId="TDC1">
    <w:name w:val="toc 1"/>
    <w:basedOn w:val="Normal"/>
    <w:next w:val="Normal"/>
    <w:autoRedefine/>
    <w:uiPriority w:val="39"/>
    <w:unhideWhenUsed/>
    <w:rsid w:val="00871D14"/>
    <w:pPr>
      <w:tabs>
        <w:tab w:val="left" w:pos="660"/>
        <w:tab w:val="right" w:leader="dot" w:pos="9912"/>
      </w:tabs>
      <w:spacing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5520">
      <w:bodyDiv w:val="1"/>
      <w:marLeft w:val="0"/>
      <w:marRight w:val="0"/>
      <w:marTop w:val="0"/>
      <w:marBottom w:val="0"/>
      <w:divBdr>
        <w:top w:val="none" w:sz="0" w:space="0" w:color="auto"/>
        <w:left w:val="none" w:sz="0" w:space="0" w:color="auto"/>
        <w:bottom w:val="none" w:sz="0" w:space="0" w:color="auto"/>
        <w:right w:val="none" w:sz="0" w:space="0" w:color="auto"/>
      </w:divBdr>
    </w:div>
    <w:div w:id="195509090">
      <w:bodyDiv w:val="1"/>
      <w:marLeft w:val="0"/>
      <w:marRight w:val="0"/>
      <w:marTop w:val="0"/>
      <w:marBottom w:val="0"/>
      <w:divBdr>
        <w:top w:val="none" w:sz="0" w:space="0" w:color="auto"/>
        <w:left w:val="none" w:sz="0" w:space="0" w:color="auto"/>
        <w:bottom w:val="none" w:sz="0" w:space="0" w:color="auto"/>
        <w:right w:val="none" w:sz="0" w:space="0" w:color="auto"/>
      </w:divBdr>
    </w:div>
    <w:div w:id="214850298">
      <w:bodyDiv w:val="1"/>
      <w:marLeft w:val="0"/>
      <w:marRight w:val="0"/>
      <w:marTop w:val="0"/>
      <w:marBottom w:val="0"/>
      <w:divBdr>
        <w:top w:val="none" w:sz="0" w:space="0" w:color="auto"/>
        <w:left w:val="none" w:sz="0" w:space="0" w:color="auto"/>
        <w:bottom w:val="none" w:sz="0" w:space="0" w:color="auto"/>
        <w:right w:val="none" w:sz="0" w:space="0" w:color="auto"/>
      </w:divBdr>
    </w:div>
    <w:div w:id="292490994">
      <w:bodyDiv w:val="1"/>
      <w:marLeft w:val="0"/>
      <w:marRight w:val="0"/>
      <w:marTop w:val="0"/>
      <w:marBottom w:val="0"/>
      <w:divBdr>
        <w:top w:val="none" w:sz="0" w:space="0" w:color="auto"/>
        <w:left w:val="none" w:sz="0" w:space="0" w:color="auto"/>
        <w:bottom w:val="none" w:sz="0" w:space="0" w:color="auto"/>
        <w:right w:val="none" w:sz="0" w:space="0" w:color="auto"/>
      </w:divBdr>
    </w:div>
    <w:div w:id="336352653">
      <w:bodyDiv w:val="1"/>
      <w:marLeft w:val="0"/>
      <w:marRight w:val="0"/>
      <w:marTop w:val="0"/>
      <w:marBottom w:val="0"/>
      <w:divBdr>
        <w:top w:val="none" w:sz="0" w:space="0" w:color="auto"/>
        <w:left w:val="none" w:sz="0" w:space="0" w:color="auto"/>
        <w:bottom w:val="none" w:sz="0" w:space="0" w:color="auto"/>
        <w:right w:val="none" w:sz="0" w:space="0" w:color="auto"/>
      </w:divBdr>
    </w:div>
    <w:div w:id="373118148">
      <w:bodyDiv w:val="1"/>
      <w:marLeft w:val="0"/>
      <w:marRight w:val="0"/>
      <w:marTop w:val="0"/>
      <w:marBottom w:val="0"/>
      <w:divBdr>
        <w:top w:val="none" w:sz="0" w:space="0" w:color="auto"/>
        <w:left w:val="none" w:sz="0" w:space="0" w:color="auto"/>
        <w:bottom w:val="none" w:sz="0" w:space="0" w:color="auto"/>
        <w:right w:val="none" w:sz="0" w:space="0" w:color="auto"/>
      </w:divBdr>
    </w:div>
    <w:div w:id="378238490">
      <w:bodyDiv w:val="1"/>
      <w:marLeft w:val="0"/>
      <w:marRight w:val="0"/>
      <w:marTop w:val="0"/>
      <w:marBottom w:val="0"/>
      <w:divBdr>
        <w:top w:val="none" w:sz="0" w:space="0" w:color="auto"/>
        <w:left w:val="none" w:sz="0" w:space="0" w:color="auto"/>
        <w:bottom w:val="none" w:sz="0" w:space="0" w:color="auto"/>
        <w:right w:val="none" w:sz="0" w:space="0" w:color="auto"/>
      </w:divBdr>
    </w:div>
    <w:div w:id="380710296">
      <w:bodyDiv w:val="1"/>
      <w:marLeft w:val="0"/>
      <w:marRight w:val="0"/>
      <w:marTop w:val="0"/>
      <w:marBottom w:val="0"/>
      <w:divBdr>
        <w:top w:val="none" w:sz="0" w:space="0" w:color="auto"/>
        <w:left w:val="none" w:sz="0" w:space="0" w:color="auto"/>
        <w:bottom w:val="none" w:sz="0" w:space="0" w:color="auto"/>
        <w:right w:val="none" w:sz="0" w:space="0" w:color="auto"/>
      </w:divBdr>
    </w:div>
    <w:div w:id="504057349">
      <w:bodyDiv w:val="1"/>
      <w:marLeft w:val="0"/>
      <w:marRight w:val="0"/>
      <w:marTop w:val="0"/>
      <w:marBottom w:val="0"/>
      <w:divBdr>
        <w:top w:val="none" w:sz="0" w:space="0" w:color="auto"/>
        <w:left w:val="none" w:sz="0" w:space="0" w:color="auto"/>
        <w:bottom w:val="none" w:sz="0" w:space="0" w:color="auto"/>
        <w:right w:val="none" w:sz="0" w:space="0" w:color="auto"/>
      </w:divBdr>
      <w:divsChild>
        <w:div w:id="846165998">
          <w:marLeft w:val="0"/>
          <w:marRight w:val="0"/>
          <w:marTop w:val="240"/>
          <w:marBottom w:val="0"/>
          <w:divBdr>
            <w:top w:val="none" w:sz="0" w:space="0" w:color="auto"/>
            <w:left w:val="none" w:sz="0" w:space="0" w:color="auto"/>
            <w:bottom w:val="none" w:sz="0" w:space="0" w:color="auto"/>
            <w:right w:val="none" w:sz="0" w:space="0" w:color="auto"/>
          </w:divBdr>
          <w:divsChild>
            <w:div w:id="427695748">
              <w:marLeft w:val="0"/>
              <w:marRight w:val="0"/>
              <w:marTop w:val="0"/>
              <w:marBottom w:val="0"/>
              <w:divBdr>
                <w:top w:val="none" w:sz="0" w:space="0" w:color="auto"/>
                <w:left w:val="none" w:sz="0" w:space="0" w:color="auto"/>
                <w:bottom w:val="none" w:sz="0" w:space="0" w:color="auto"/>
                <w:right w:val="none" w:sz="0" w:space="0" w:color="auto"/>
              </w:divBdr>
              <w:divsChild>
                <w:div w:id="1585339509">
                  <w:marLeft w:val="0"/>
                  <w:marRight w:val="0"/>
                  <w:marTop w:val="0"/>
                  <w:marBottom w:val="0"/>
                  <w:divBdr>
                    <w:top w:val="none" w:sz="0" w:space="0" w:color="auto"/>
                    <w:left w:val="none" w:sz="0" w:space="0" w:color="auto"/>
                    <w:bottom w:val="none" w:sz="0" w:space="0" w:color="auto"/>
                    <w:right w:val="none" w:sz="0" w:space="0" w:color="auto"/>
                  </w:divBdr>
                  <w:divsChild>
                    <w:div w:id="595285779">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50183706">
      <w:bodyDiv w:val="1"/>
      <w:marLeft w:val="0"/>
      <w:marRight w:val="0"/>
      <w:marTop w:val="0"/>
      <w:marBottom w:val="0"/>
      <w:divBdr>
        <w:top w:val="none" w:sz="0" w:space="0" w:color="auto"/>
        <w:left w:val="none" w:sz="0" w:space="0" w:color="auto"/>
        <w:bottom w:val="none" w:sz="0" w:space="0" w:color="auto"/>
        <w:right w:val="none" w:sz="0" w:space="0" w:color="auto"/>
      </w:divBdr>
      <w:divsChild>
        <w:div w:id="1940721154">
          <w:marLeft w:val="0"/>
          <w:marRight w:val="0"/>
          <w:marTop w:val="0"/>
          <w:marBottom w:val="0"/>
          <w:divBdr>
            <w:top w:val="none" w:sz="0" w:space="0" w:color="auto"/>
            <w:left w:val="none" w:sz="0" w:space="0" w:color="auto"/>
            <w:bottom w:val="none" w:sz="0" w:space="0" w:color="auto"/>
            <w:right w:val="none" w:sz="0" w:space="0" w:color="auto"/>
          </w:divBdr>
          <w:divsChild>
            <w:div w:id="2033535691">
              <w:marLeft w:val="0"/>
              <w:marRight w:val="0"/>
              <w:marTop w:val="0"/>
              <w:marBottom w:val="0"/>
              <w:divBdr>
                <w:top w:val="none" w:sz="0" w:space="0" w:color="auto"/>
                <w:left w:val="none" w:sz="0" w:space="0" w:color="auto"/>
                <w:bottom w:val="none" w:sz="0" w:space="0" w:color="auto"/>
                <w:right w:val="none" w:sz="0" w:space="0" w:color="auto"/>
              </w:divBdr>
              <w:divsChild>
                <w:div w:id="861013663">
                  <w:marLeft w:val="0"/>
                  <w:marRight w:val="0"/>
                  <w:marTop w:val="0"/>
                  <w:marBottom w:val="0"/>
                  <w:divBdr>
                    <w:top w:val="none" w:sz="0" w:space="0" w:color="auto"/>
                    <w:left w:val="none" w:sz="0" w:space="0" w:color="auto"/>
                    <w:bottom w:val="none" w:sz="0" w:space="0" w:color="auto"/>
                    <w:right w:val="none" w:sz="0" w:space="0" w:color="auto"/>
                  </w:divBdr>
                  <w:divsChild>
                    <w:div w:id="556205234">
                      <w:marLeft w:val="0"/>
                      <w:marRight w:val="0"/>
                      <w:marTop w:val="0"/>
                      <w:marBottom w:val="0"/>
                      <w:divBdr>
                        <w:top w:val="none" w:sz="0" w:space="0" w:color="auto"/>
                        <w:left w:val="none" w:sz="0" w:space="0" w:color="auto"/>
                        <w:bottom w:val="none" w:sz="0" w:space="0" w:color="auto"/>
                        <w:right w:val="none" w:sz="0" w:space="0" w:color="auto"/>
                      </w:divBdr>
                      <w:divsChild>
                        <w:div w:id="328752165">
                          <w:marLeft w:val="0"/>
                          <w:marRight w:val="0"/>
                          <w:marTop w:val="0"/>
                          <w:marBottom w:val="0"/>
                          <w:divBdr>
                            <w:top w:val="none" w:sz="0" w:space="0" w:color="auto"/>
                            <w:left w:val="none" w:sz="0" w:space="0" w:color="auto"/>
                            <w:bottom w:val="none" w:sz="0" w:space="0" w:color="auto"/>
                            <w:right w:val="none" w:sz="0" w:space="0" w:color="auto"/>
                          </w:divBdr>
                          <w:divsChild>
                            <w:div w:id="5876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637869">
              <w:marLeft w:val="0"/>
              <w:marRight w:val="0"/>
              <w:marTop w:val="0"/>
              <w:marBottom w:val="0"/>
              <w:divBdr>
                <w:top w:val="none" w:sz="0" w:space="0" w:color="auto"/>
                <w:left w:val="none" w:sz="0" w:space="0" w:color="auto"/>
                <w:bottom w:val="none" w:sz="0" w:space="0" w:color="auto"/>
                <w:right w:val="none" w:sz="0" w:space="0" w:color="auto"/>
              </w:divBdr>
            </w:div>
            <w:div w:id="1512527801">
              <w:marLeft w:val="0"/>
              <w:marRight w:val="0"/>
              <w:marTop w:val="0"/>
              <w:marBottom w:val="0"/>
              <w:divBdr>
                <w:top w:val="none" w:sz="0" w:space="0" w:color="auto"/>
                <w:left w:val="none" w:sz="0" w:space="0" w:color="auto"/>
                <w:bottom w:val="none" w:sz="0" w:space="0" w:color="auto"/>
                <w:right w:val="none" w:sz="0" w:space="0" w:color="auto"/>
              </w:divBdr>
              <w:divsChild>
                <w:div w:id="2045447219">
                  <w:marLeft w:val="0"/>
                  <w:marRight w:val="0"/>
                  <w:marTop w:val="0"/>
                  <w:marBottom w:val="0"/>
                  <w:divBdr>
                    <w:top w:val="none" w:sz="0" w:space="0" w:color="auto"/>
                    <w:left w:val="none" w:sz="0" w:space="0" w:color="auto"/>
                    <w:bottom w:val="none" w:sz="0" w:space="0" w:color="auto"/>
                    <w:right w:val="none" w:sz="0" w:space="0" w:color="auto"/>
                  </w:divBdr>
                </w:div>
                <w:div w:id="198468297">
                  <w:marLeft w:val="0"/>
                  <w:marRight w:val="0"/>
                  <w:marTop w:val="0"/>
                  <w:marBottom w:val="0"/>
                  <w:divBdr>
                    <w:top w:val="none" w:sz="0" w:space="0" w:color="auto"/>
                    <w:left w:val="none" w:sz="0" w:space="0" w:color="auto"/>
                    <w:bottom w:val="none" w:sz="0" w:space="0" w:color="auto"/>
                    <w:right w:val="none" w:sz="0" w:space="0" w:color="auto"/>
                  </w:divBdr>
                </w:div>
              </w:divsChild>
            </w:div>
            <w:div w:id="2005475296">
              <w:marLeft w:val="0"/>
              <w:marRight w:val="0"/>
              <w:marTop w:val="0"/>
              <w:marBottom w:val="0"/>
              <w:divBdr>
                <w:top w:val="none" w:sz="0" w:space="0" w:color="auto"/>
                <w:left w:val="none" w:sz="0" w:space="0" w:color="auto"/>
                <w:bottom w:val="none" w:sz="0" w:space="0" w:color="auto"/>
                <w:right w:val="none" w:sz="0" w:space="0" w:color="auto"/>
              </w:divBdr>
            </w:div>
            <w:div w:id="1391224536">
              <w:marLeft w:val="0"/>
              <w:marRight w:val="0"/>
              <w:marTop w:val="0"/>
              <w:marBottom w:val="0"/>
              <w:divBdr>
                <w:top w:val="none" w:sz="0" w:space="0" w:color="auto"/>
                <w:left w:val="none" w:sz="0" w:space="0" w:color="auto"/>
                <w:bottom w:val="none" w:sz="0" w:space="0" w:color="auto"/>
                <w:right w:val="none" w:sz="0" w:space="0" w:color="auto"/>
              </w:divBdr>
            </w:div>
            <w:div w:id="176584137">
              <w:marLeft w:val="0"/>
              <w:marRight w:val="0"/>
              <w:marTop w:val="0"/>
              <w:marBottom w:val="0"/>
              <w:divBdr>
                <w:top w:val="none" w:sz="0" w:space="0" w:color="auto"/>
                <w:left w:val="none" w:sz="0" w:space="0" w:color="auto"/>
                <w:bottom w:val="none" w:sz="0" w:space="0" w:color="auto"/>
                <w:right w:val="none" w:sz="0" w:space="0" w:color="auto"/>
              </w:divBdr>
            </w:div>
            <w:div w:id="959067069">
              <w:marLeft w:val="0"/>
              <w:marRight w:val="0"/>
              <w:marTop w:val="0"/>
              <w:marBottom w:val="0"/>
              <w:divBdr>
                <w:top w:val="none" w:sz="0" w:space="0" w:color="auto"/>
                <w:left w:val="none" w:sz="0" w:space="0" w:color="auto"/>
                <w:bottom w:val="none" w:sz="0" w:space="0" w:color="auto"/>
                <w:right w:val="none" w:sz="0" w:space="0" w:color="auto"/>
              </w:divBdr>
            </w:div>
            <w:div w:id="18292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8972">
      <w:bodyDiv w:val="1"/>
      <w:marLeft w:val="0"/>
      <w:marRight w:val="0"/>
      <w:marTop w:val="0"/>
      <w:marBottom w:val="0"/>
      <w:divBdr>
        <w:top w:val="none" w:sz="0" w:space="0" w:color="auto"/>
        <w:left w:val="none" w:sz="0" w:space="0" w:color="auto"/>
        <w:bottom w:val="none" w:sz="0" w:space="0" w:color="auto"/>
        <w:right w:val="none" w:sz="0" w:space="0" w:color="auto"/>
      </w:divBdr>
      <w:divsChild>
        <w:div w:id="302196299">
          <w:marLeft w:val="0"/>
          <w:marRight w:val="0"/>
          <w:marTop w:val="240"/>
          <w:marBottom w:val="0"/>
          <w:divBdr>
            <w:top w:val="none" w:sz="0" w:space="0" w:color="auto"/>
            <w:left w:val="none" w:sz="0" w:space="0" w:color="auto"/>
            <w:bottom w:val="none" w:sz="0" w:space="0" w:color="auto"/>
            <w:right w:val="none" w:sz="0" w:space="0" w:color="auto"/>
          </w:divBdr>
          <w:divsChild>
            <w:div w:id="1455369356">
              <w:marLeft w:val="0"/>
              <w:marRight w:val="0"/>
              <w:marTop w:val="0"/>
              <w:marBottom w:val="0"/>
              <w:divBdr>
                <w:top w:val="none" w:sz="0" w:space="0" w:color="auto"/>
                <w:left w:val="none" w:sz="0" w:space="0" w:color="auto"/>
                <w:bottom w:val="none" w:sz="0" w:space="0" w:color="auto"/>
                <w:right w:val="none" w:sz="0" w:space="0" w:color="auto"/>
              </w:divBdr>
              <w:divsChild>
                <w:div w:id="1010713747">
                  <w:marLeft w:val="0"/>
                  <w:marRight w:val="0"/>
                  <w:marTop w:val="0"/>
                  <w:marBottom w:val="0"/>
                  <w:divBdr>
                    <w:top w:val="none" w:sz="0" w:space="0" w:color="auto"/>
                    <w:left w:val="none" w:sz="0" w:space="0" w:color="auto"/>
                    <w:bottom w:val="none" w:sz="0" w:space="0" w:color="auto"/>
                    <w:right w:val="none" w:sz="0" w:space="0" w:color="auto"/>
                  </w:divBdr>
                  <w:divsChild>
                    <w:div w:id="6970079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97047627">
      <w:bodyDiv w:val="1"/>
      <w:marLeft w:val="0"/>
      <w:marRight w:val="0"/>
      <w:marTop w:val="0"/>
      <w:marBottom w:val="0"/>
      <w:divBdr>
        <w:top w:val="none" w:sz="0" w:space="0" w:color="auto"/>
        <w:left w:val="none" w:sz="0" w:space="0" w:color="auto"/>
        <w:bottom w:val="none" w:sz="0" w:space="0" w:color="auto"/>
        <w:right w:val="none" w:sz="0" w:space="0" w:color="auto"/>
      </w:divBdr>
    </w:div>
    <w:div w:id="905411655">
      <w:bodyDiv w:val="1"/>
      <w:marLeft w:val="0"/>
      <w:marRight w:val="0"/>
      <w:marTop w:val="0"/>
      <w:marBottom w:val="0"/>
      <w:divBdr>
        <w:top w:val="none" w:sz="0" w:space="0" w:color="auto"/>
        <w:left w:val="none" w:sz="0" w:space="0" w:color="auto"/>
        <w:bottom w:val="none" w:sz="0" w:space="0" w:color="auto"/>
        <w:right w:val="none" w:sz="0" w:space="0" w:color="auto"/>
      </w:divBdr>
      <w:divsChild>
        <w:div w:id="1886676013">
          <w:marLeft w:val="0"/>
          <w:marRight w:val="0"/>
          <w:marTop w:val="240"/>
          <w:marBottom w:val="0"/>
          <w:divBdr>
            <w:top w:val="none" w:sz="0" w:space="0" w:color="auto"/>
            <w:left w:val="none" w:sz="0" w:space="0" w:color="auto"/>
            <w:bottom w:val="none" w:sz="0" w:space="0" w:color="auto"/>
            <w:right w:val="none" w:sz="0" w:space="0" w:color="auto"/>
          </w:divBdr>
          <w:divsChild>
            <w:div w:id="31539568">
              <w:marLeft w:val="0"/>
              <w:marRight w:val="0"/>
              <w:marTop w:val="0"/>
              <w:marBottom w:val="0"/>
              <w:divBdr>
                <w:top w:val="none" w:sz="0" w:space="0" w:color="auto"/>
                <w:left w:val="none" w:sz="0" w:space="0" w:color="auto"/>
                <w:bottom w:val="none" w:sz="0" w:space="0" w:color="auto"/>
                <w:right w:val="none" w:sz="0" w:space="0" w:color="auto"/>
              </w:divBdr>
              <w:divsChild>
                <w:div w:id="1950575724">
                  <w:marLeft w:val="0"/>
                  <w:marRight w:val="0"/>
                  <w:marTop w:val="0"/>
                  <w:marBottom w:val="0"/>
                  <w:divBdr>
                    <w:top w:val="none" w:sz="0" w:space="0" w:color="auto"/>
                    <w:left w:val="none" w:sz="0" w:space="0" w:color="auto"/>
                    <w:bottom w:val="none" w:sz="0" w:space="0" w:color="auto"/>
                    <w:right w:val="none" w:sz="0" w:space="0" w:color="auto"/>
                  </w:divBdr>
                  <w:divsChild>
                    <w:div w:id="11090401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262492309">
      <w:bodyDiv w:val="1"/>
      <w:marLeft w:val="0"/>
      <w:marRight w:val="0"/>
      <w:marTop w:val="0"/>
      <w:marBottom w:val="0"/>
      <w:divBdr>
        <w:top w:val="none" w:sz="0" w:space="0" w:color="auto"/>
        <w:left w:val="none" w:sz="0" w:space="0" w:color="auto"/>
        <w:bottom w:val="none" w:sz="0" w:space="0" w:color="auto"/>
        <w:right w:val="none" w:sz="0" w:space="0" w:color="auto"/>
      </w:divBdr>
    </w:div>
    <w:div w:id="1399326552">
      <w:bodyDiv w:val="1"/>
      <w:marLeft w:val="0"/>
      <w:marRight w:val="0"/>
      <w:marTop w:val="0"/>
      <w:marBottom w:val="0"/>
      <w:divBdr>
        <w:top w:val="none" w:sz="0" w:space="0" w:color="auto"/>
        <w:left w:val="none" w:sz="0" w:space="0" w:color="auto"/>
        <w:bottom w:val="none" w:sz="0" w:space="0" w:color="auto"/>
        <w:right w:val="none" w:sz="0" w:space="0" w:color="auto"/>
      </w:divBdr>
    </w:div>
    <w:div w:id="1612740945">
      <w:bodyDiv w:val="1"/>
      <w:marLeft w:val="0"/>
      <w:marRight w:val="0"/>
      <w:marTop w:val="0"/>
      <w:marBottom w:val="0"/>
      <w:divBdr>
        <w:top w:val="none" w:sz="0" w:space="0" w:color="auto"/>
        <w:left w:val="none" w:sz="0" w:space="0" w:color="auto"/>
        <w:bottom w:val="none" w:sz="0" w:space="0" w:color="auto"/>
        <w:right w:val="none" w:sz="0" w:space="0" w:color="auto"/>
      </w:divBdr>
    </w:div>
    <w:div w:id="1847163491">
      <w:bodyDiv w:val="1"/>
      <w:marLeft w:val="0"/>
      <w:marRight w:val="0"/>
      <w:marTop w:val="0"/>
      <w:marBottom w:val="0"/>
      <w:divBdr>
        <w:top w:val="none" w:sz="0" w:space="0" w:color="auto"/>
        <w:left w:val="none" w:sz="0" w:space="0" w:color="auto"/>
        <w:bottom w:val="none" w:sz="0" w:space="0" w:color="auto"/>
        <w:right w:val="none" w:sz="0" w:space="0" w:color="auto"/>
      </w:divBdr>
    </w:div>
    <w:div w:id="2086950985">
      <w:bodyDiv w:val="1"/>
      <w:marLeft w:val="0"/>
      <w:marRight w:val="0"/>
      <w:marTop w:val="0"/>
      <w:marBottom w:val="0"/>
      <w:divBdr>
        <w:top w:val="none" w:sz="0" w:space="0" w:color="auto"/>
        <w:left w:val="none" w:sz="0" w:space="0" w:color="auto"/>
        <w:bottom w:val="none" w:sz="0" w:space="0" w:color="auto"/>
        <w:right w:val="none" w:sz="0" w:space="0" w:color="auto"/>
      </w:divBdr>
      <w:divsChild>
        <w:div w:id="1227761907">
          <w:marLeft w:val="0"/>
          <w:marRight w:val="0"/>
          <w:marTop w:val="240"/>
          <w:marBottom w:val="0"/>
          <w:divBdr>
            <w:top w:val="none" w:sz="0" w:space="0" w:color="auto"/>
            <w:left w:val="none" w:sz="0" w:space="0" w:color="auto"/>
            <w:bottom w:val="none" w:sz="0" w:space="0" w:color="auto"/>
            <w:right w:val="none" w:sz="0" w:space="0" w:color="auto"/>
          </w:divBdr>
          <w:divsChild>
            <w:div w:id="1646008740">
              <w:marLeft w:val="0"/>
              <w:marRight w:val="0"/>
              <w:marTop w:val="0"/>
              <w:marBottom w:val="0"/>
              <w:divBdr>
                <w:top w:val="none" w:sz="0" w:space="0" w:color="auto"/>
                <w:left w:val="none" w:sz="0" w:space="0" w:color="auto"/>
                <w:bottom w:val="none" w:sz="0" w:space="0" w:color="auto"/>
                <w:right w:val="none" w:sz="0" w:space="0" w:color="auto"/>
              </w:divBdr>
              <w:divsChild>
                <w:div w:id="1367413307">
                  <w:marLeft w:val="0"/>
                  <w:marRight w:val="0"/>
                  <w:marTop w:val="0"/>
                  <w:marBottom w:val="0"/>
                  <w:divBdr>
                    <w:top w:val="none" w:sz="0" w:space="0" w:color="auto"/>
                    <w:left w:val="none" w:sz="0" w:space="0" w:color="auto"/>
                    <w:bottom w:val="none" w:sz="0" w:space="0" w:color="auto"/>
                    <w:right w:val="none" w:sz="0" w:space="0" w:color="auto"/>
                  </w:divBdr>
                  <w:divsChild>
                    <w:div w:id="187407331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103183533">
      <w:bodyDiv w:val="1"/>
      <w:marLeft w:val="0"/>
      <w:marRight w:val="0"/>
      <w:marTop w:val="0"/>
      <w:marBottom w:val="0"/>
      <w:divBdr>
        <w:top w:val="none" w:sz="0" w:space="0" w:color="auto"/>
        <w:left w:val="none" w:sz="0" w:space="0" w:color="auto"/>
        <w:bottom w:val="none" w:sz="0" w:space="0" w:color="auto"/>
        <w:right w:val="none" w:sz="0" w:space="0" w:color="auto"/>
      </w:divBdr>
      <w:divsChild>
        <w:div w:id="1211916251">
          <w:marLeft w:val="0"/>
          <w:marRight w:val="0"/>
          <w:marTop w:val="0"/>
          <w:marBottom w:val="0"/>
          <w:divBdr>
            <w:top w:val="none" w:sz="0" w:space="0" w:color="auto"/>
            <w:left w:val="none" w:sz="0" w:space="0" w:color="auto"/>
            <w:bottom w:val="none" w:sz="0" w:space="0" w:color="auto"/>
            <w:right w:val="none" w:sz="0" w:space="0" w:color="auto"/>
          </w:divBdr>
          <w:divsChild>
            <w:div w:id="1121875328">
              <w:marLeft w:val="0"/>
              <w:marRight w:val="0"/>
              <w:marTop w:val="0"/>
              <w:marBottom w:val="0"/>
              <w:divBdr>
                <w:top w:val="none" w:sz="0" w:space="0" w:color="auto"/>
                <w:left w:val="none" w:sz="0" w:space="0" w:color="auto"/>
                <w:bottom w:val="none" w:sz="0" w:space="0" w:color="auto"/>
                <w:right w:val="none" w:sz="0" w:space="0" w:color="auto"/>
              </w:divBdr>
              <w:divsChild>
                <w:div w:id="1222863588">
                  <w:marLeft w:val="0"/>
                  <w:marRight w:val="0"/>
                  <w:marTop w:val="0"/>
                  <w:marBottom w:val="0"/>
                  <w:divBdr>
                    <w:top w:val="none" w:sz="0" w:space="0" w:color="auto"/>
                    <w:left w:val="none" w:sz="0" w:space="0" w:color="auto"/>
                    <w:bottom w:val="none" w:sz="0" w:space="0" w:color="auto"/>
                    <w:right w:val="none" w:sz="0" w:space="0" w:color="auto"/>
                  </w:divBdr>
                  <w:divsChild>
                    <w:div w:id="1447507443">
                      <w:marLeft w:val="0"/>
                      <w:marRight w:val="0"/>
                      <w:marTop w:val="0"/>
                      <w:marBottom w:val="0"/>
                      <w:divBdr>
                        <w:top w:val="none" w:sz="0" w:space="0" w:color="auto"/>
                        <w:left w:val="none" w:sz="0" w:space="0" w:color="auto"/>
                        <w:bottom w:val="none" w:sz="0" w:space="0" w:color="auto"/>
                        <w:right w:val="none" w:sz="0" w:space="0" w:color="auto"/>
                      </w:divBdr>
                      <w:divsChild>
                        <w:div w:id="16015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rivacyinternational.org/sites/default/files/2019-09/Judgment%20AMABHUNGANE%20v%20MIN%20JUSTICE%20%26%20OT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A5021-3428-4027-A9C4-AF8D0481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1797</Words>
  <Characters>9887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ecos</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Federico.Kuhlmann</dc:creator>
  <cp:lastModifiedBy>Arlene Ameneyro Tapia</cp:lastModifiedBy>
  <cp:revision>6</cp:revision>
  <cp:lastPrinted>2019-12-09T18:38:00Z</cp:lastPrinted>
  <dcterms:created xsi:type="dcterms:W3CDTF">2019-12-05T17:05:00Z</dcterms:created>
  <dcterms:modified xsi:type="dcterms:W3CDTF">2019-12-16T16:47:00Z</dcterms:modified>
</cp:coreProperties>
</file>