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p>
    <w:p w:rsidR="000267D9" w:rsidRPr="008D3B24" w:rsidRDefault="000267D9" w:rsidP="00E546DB">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center"/>
        <w:rPr>
          <w:rFonts w:ascii="Calibri" w:eastAsia="Calibri" w:hAnsi="Calibri"/>
          <w:b/>
          <w:sz w:val="28"/>
          <w:szCs w:val="28"/>
          <w:bdr w:val="none" w:sz="0" w:space="0" w:color="auto"/>
          <w:lang w:val="es-MX"/>
        </w:rPr>
      </w:pPr>
      <w:r w:rsidRPr="000267D9">
        <w:rPr>
          <w:rFonts w:ascii="Calibri" w:eastAsia="Calibri" w:hAnsi="Calibri"/>
          <w:b/>
          <w:sz w:val="28"/>
          <w:szCs w:val="28"/>
          <w:bdr w:val="none" w:sz="0" w:space="0" w:color="auto"/>
          <w:lang w:val="es-MX"/>
        </w:rPr>
        <w:t>RECOMENDACIÓN QUE EMITE EL CONSEJO CONSULTIVO DEL INSTITUTO FEDERAL DE TELECOMUNICACIONES SOBRE EL DESPLIEGUE IPv6</w:t>
      </w:r>
    </w:p>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p>
    <w:p w:rsidR="000267D9" w:rsidRPr="000267D9" w:rsidRDefault="001B53D7"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
          <w:bdr w:val="none" w:sz="0" w:space="0" w:color="auto"/>
          <w:lang w:val="es-MX"/>
        </w:rPr>
      </w:pPr>
      <w:r>
        <w:rPr>
          <w:rFonts w:ascii="Calibri" w:eastAsia="Calibri" w:hAnsi="Calibri"/>
          <w:b/>
          <w:bdr w:val="none" w:sz="0" w:space="0" w:color="auto"/>
          <w:lang w:val="es-MX"/>
        </w:rPr>
        <w:t>RESUMEN EJECUTIVO</w:t>
      </w:r>
      <w:r w:rsidR="000267D9" w:rsidRPr="000267D9">
        <w:rPr>
          <w:rFonts w:ascii="Calibri" w:eastAsia="Calibri" w:hAnsi="Calibri"/>
          <w:b/>
          <w:bdr w:val="none" w:sz="0" w:space="0" w:color="auto"/>
          <w:lang w:val="es-MX"/>
        </w:rPr>
        <w:t>:</w:t>
      </w:r>
    </w:p>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Este Consejo Consultivo recomienda que se implementen algunas acciones a su alcance para promover un despliegue oportuno del protocolo IPv6, incluyendo la participación de los sectores interesados en la administración nacional de los llamados recursos críticos de Internet.</w:t>
      </w:r>
    </w:p>
    <w:p w:rsidR="00B83A00" w:rsidRPr="00265683"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Este Consejo reconoce el trabajo del Instituto</w:t>
      </w:r>
      <w:r w:rsidR="00BE45A8">
        <w:rPr>
          <w:rFonts w:ascii="Calibri" w:eastAsia="Calibri" w:hAnsi="Calibri"/>
          <w:bdr w:val="none" w:sz="0" w:space="0" w:color="auto"/>
          <w:lang w:val="es-MX"/>
        </w:rPr>
        <w:t xml:space="preserve"> Federal de Telecomunicaciones (IFT </w:t>
      </w:r>
      <w:proofErr w:type="spellStart"/>
      <w:r w:rsidR="00BE45A8">
        <w:rPr>
          <w:rFonts w:ascii="Calibri" w:eastAsia="Calibri" w:hAnsi="Calibri"/>
          <w:bdr w:val="none" w:sz="0" w:space="0" w:color="auto"/>
          <w:lang w:val="es-MX"/>
        </w:rPr>
        <w:t>ó</w:t>
      </w:r>
      <w:proofErr w:type="spellEnd"/>
      <w:r w:rsidR="00BE45A8">
        <w:rPr>
          <w:rFonts w:ascii="Calibri" w:eastAsia="Calibri" w:hAnsi="Calibri"/>
          <w:bdr w:val="none" w:sz="0" w:space="0" w:color="auto"/>
          <w:lang w:val="es-MX"/>
        </w:rPr>
        <w:t xml:space="preserve"> Instituto)</w:t>
      </w:r>
      <w:r w:rsidRPr="000267D9">
        <w:rPr>
          <w:rFonts w:ascii="Calibri" w:eastAsia="Calibri" w:hAnsi="Calibri"/>
          <w:bdr w:val="none" w:sz="0" w:space="0" w:color="auto"/>
          <w:lang w:val="es-MX"/>
        </w:rPr>
        <w:t xml:space="preserve"> en la materia – mucho de ello contenido en el </w:t>
      </w:r>
      <w:proofErr w:type="spellStart"/>
      <w:r w:rsidRPr="000267D9">
        <w:rPr>
          <w:rFonts w:ascii="Calibri" w:eastAsia="Calibri" w:hAnsi="Calibri"/>
          <w:bdr w:val="none" w:sz="0" w:space="0" w:color="auto"/>
          <w:lang w:val="es-MX"/>
        </w:rPr>
        <w:t>micrositio</w:t>
      </w:r>
      <w:proofErr w:type="spellEnd"/>
      <w:r w:rsidRPr="000267D9">
        <w:rPr>
          <w:rFonts w:ascii="Calibri" w:eastAsia="Calibri" w:hAnsi="Calibri"/>
          <w:bdr w:val="none" w:sz="0" w:space="0" w:color="auto"/>
          <w:lang w:val="es-MX"/>
        </w:rPr>
        <w:t xml:space="preserve"> que para estos efectos ha sido creado</w:t>
      </w:r>
      <w:r w:rsidRPr="000267D9">
        <w:rPr>
          <w:rFonts w:ascii="Calibri" w:eastAsia="Calibri" w:hAnsi="Calibri"/>
          <w:bdr w:val="none" w:sz="0" w:space="0" w:color="auto"/>
          <w:vertAlign w:val="superscript"/>
          <w:lang w:val="es-MX"/>
        </w:rPr>
        <w:footnoteReference w:id="1"/>
      </w:r>
      <w:r w:rsidRPr="000267D9">
        <w:rPr>
          <w:rFonts w:ascii="Calibri" w:eastAsia="Calibri" w:hAnsi="Calibri"/>
          <w:bdr w:val="none" w:sz="0" w:space="0" w:color="auto"/>
          <w:lang w:val="es-MX"/>
        </w:rPr>
        <w:t xml:space="preserve"> – y quisiera exhortar a sus miembros a que se intensifiquen las acciones que se están llevando a cabo para lograr la adopción de este protocolo. También se sugiere implementar tácticas adicionales que fomenten el despliegue en todos los sectores.</w:t>
      </w:r>
    </w:p>
    <w:p w:rsidR="006B577A" w:rsidRDefault="001B53D7"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
          <w:bdr w:val="none" w:sz="0" w:space="0" w:color="auto"/>
          <w:lang w:val="es-MX"/>
        </w:rPr>
      </w:pPr>
      <w:r>
        <w:rPr>
          <w:rFonts w:ascii="Calibri" w:eastAsia="Calibri" w:hAnsi="Calibri"/>
          <w:b/>
          <w:bdr w:val="none" w:sz="0" w:space="0" w:color="auto"/>
          <w:lang w:val="es-MX"/>
        </w:rPr>
        <w:t>ÍNDICE:</w:t>
      </w:r>
    </w:p>
    <w:sdt>
      <w:sdtPr>
        <w:rPr>
          <w:rFonts w:ascii="Times New Roman" w:eastAsia="Arial Unicode MS" w:hAnsi="Times New Roman" w:cs="Times New Roman"/>
          <w:b w:val="0"/>
          <w:bCs w:val="0"/>
          <w:color w:val="auto"/>
          <w:sz w:val="24"/>
          <w:szCs w:val="24"/>
          <w:bdr w:val="nil"/>
          <w:lang w:val="es-ES" w:eastAsia="en-US"/>
        </w:rPr>
        <w:id w:val="-425351147"/>
        <w:docPartObj>
          <w:docPartGallery w:val="Table of Contents"/>
          <w:docPartUnique/>
        </w:docPartObj>
      </w:sdtPr>
      <w:sdtEndPr>
        <w:rPr>
          <w:noProof/>
          <w:lang w:val="en-US"/>
        </w:rPr>
      </w:sdtEndPr>
      <w:sdtContent>
        <w:p w:rsidR="004663AC" w:rsidRDefault="004663AC" w:rsidP="001E359E">
          <w:pPr>
            <w:pStyle w:val="TtuloTDC"/>
            <w:spacing w:line="312" w:lineRule="auto"/>
          </w:pPr>
        </w:p>
        <w:p w:rsidR="00803239" w:rsidRDefault="004663AC">
          <w:pPr>
            <w:pStyle w:val="TDC1"/>
            <w:tabs>
              <w:tab w:val="left" w:pos="357"/>
              <w:tab w:val="right" w:leader="dot" w:pos="9490"/>
            </w:tabs>
            <w:rPr>
              <w:rFonts w:eastAsiaTheme="minorEastAsia" w:cstheme="minorBidi"/>
              <w:b w:val="0"/>
              <w:bCs w:val="0"/>
              <w:caps w:val="0"/>
              <w:noProof/>
              <w:sz w:val="24"/>
              <w:szCs w:val="24"/>
              <w:u w:val="none"/>
              <w:bdr w:val="none" w:sz="0" w:space="0" w:color="auto"/>
              <w:lang w:val="es-MX" w:eastAsia="es-ES_tradnl"/>
            </w:rPr>
          </w:pPr>
          <w:r>
            <w:rPr>
              <w:b w:val="0"/>
              <w:bCs w:val="0"/>
            </w:rPr>
            <w:fldChar w:fldCharType="begin"/>
          </w:r>
          <w:r>
            <w:instrText>TOC \o "1-3" \h \z \u</w:instrText>
          </w:r>
          <w:r>
            <w:rPr>
              <w:b w:val="0"/>
              <w:bCs w:val="0"/>
            </w:rPr>
            <w:fldChar w:fldCharType="separate"/>
          </w:r>
          <w:hyperlink w:anchor="_Toc15381564" w:history="1">
            <w:r w:rsidR="00803239" w:rsidRPr="003C10F9">
              <w:rPr>
                <w:rStyle w:val="Hipervnculo"/>
                <w:rFonts w:ascii="Calibri" w:eastAsia="Calibri" w:hAnsi="Calibri"/>
                <w:noProof/>
                <w:lang w:val="es-MX"/>
              </w:rPr>
              <w:t>I.</w:t>
            </w:r>
            <w:r w:rsidR="00803239">
              <w:rPr>
                <w:rFonts w:eastAsiaTheme="minorEastAsia" w:cstheme="minorBidi"/>
                <w:b w:val="0"/>
                <w:bCs w:val="0"/>
                <w:caps w:val="0"/>
                <w:noProof/>
                <w:sz w:val="24"/>
                <w:szCs w:val="24"/>
                <w:u w:val="none"/>
                <w:bdr w:val="none" w:sz="0" w:space="0" w:color="auto"/>
                <w:lang w:val="es-MX" w:eastAsia="es-ES_tradnl"/>
              </w:rPr>
              <w:tab/>
            </w:r>
            <w:r w:rsidR="00803239" w:rsidRPr="003C10F9">
              <w:rPr>
                <w:rStyle w:val="Hipervnculo"/>
                <w:rFonts w:ascii="Calibri" w:eastAsia="Calibri" w:hAnsi="Calibri"/>
                <w:noProof/>
                <w:lang w:val="es-MX"/>
              </w:rPr>
              <w:t>Situación actual.</w:t>
            </w:r>
            <w:r w:rsidR="00803239">
              <w:rPr>
                <w:noProof/>
                <w:webHidden/>
              </w:rPr>
              <w:tab/>
            </w:r>
            <w:r w:rsidR="00803239" w:rsidRPr="00B83A00">
              <w:rPr>
                <w:rFonts w:ascii="Calibri" w:hAnsi="Calibri"/>
                <w:noProof/>
                <w:webHidden/>
              </w:rPr>
              <w:fldChar w:fldCharType="begin"/>
            </w:r>
            <w:r w:rsidR="00803239" w:rsidRPr="00B83A00">
              <w:rPr>
                <w:rFonts w:ascii="Calibri" w:hAnsi="Calibri"/>
                <w:noProof/>
                <w:webHidden/>
              </w:rPr>
              <w:instrText xml:space="preserve"> PAGEREF _Toc15381564 \h </w:instrText>
            </w:r>
            <w:r w:rsidR="00803239" w:rsidRPr="00B83A00">
              <w:rPr>
                <w:rFonts w:ascii="Calibri" w:hAnsi="Calibri"/>
                <w:noProof/>
                <w:webHidden/>
              </w:rPr>
            </w:r>
            <w:r w:rsidR="00803239" w:rsidRPr="00B83A00">
              <w:rPr>
                <w:rFonts w:ascii="Calibri" w:hAnsi="Calibri"/>
                <w:noProof/>
                <w:webHidden/>
              </w:rPr>
              <w:fldChar w:fldCharType="separate"/>
            </w:r>
            <w:r w:rsidR="00447A55">
              <w:rPr>
                <w:rFonts w:ascii="Calibri" w:hAnsi="Calibri"/>
                <w:noProof/>
                <w:webHidden/>
              </w:rPr>
              <w:t>2</w:t>
            </w:r>
            <w:r w:rsidR="00803239" w:rsidRPr="00B83A00">
              <w:rPr>
                <w:rFonts w:ascii="Calibri" w:hAnsi="Calibri"/>
                <w:noProof/>
                <w:webHidden/>
              </w:rPr>
              <w:fldChar w:fldCharType="end"/>
            </w:r>
          </w:hyperlink>
        </w:p>
        <w:p w:rsidR="00265683" w:rsidRDefault="00D5399A" w:rsidP="00265683">
          <w:pPr>
            <w:pStyle w:val="TDC1"/>
            <w:tabs>
              <w:tab w:val="left" w:pos="416"/>
              <w:tab w:val="right" w:leader="dot" w:pos="9490"/>
            </w:tabs>
            <w:rPr>
              <w:b w:val="0"/>
              <w:bCs w:val="0"/>
              <w:noProof/>
            </w:rPr>
          </w:pPr>
          <w:hyperlink w:anchor="_Toc15381565" w:history="1">
            <w:r w:rsidR="00803239" w:rsidRPr="003C10F9">
              <w:rPr>
                <w:rStyle w:val="Hipervnculo"/>
                <w:rFonts w:ascii="Calibri" w:eastAsia="Calibri" w:hAnsi="Calibri"/>
                <w:noProof/>
                <w:lang w:val="es-MX"/>
              </w:rPr>
              <w:t>II.</w:t>
            </w:r>
            <w:r w:rsidR="00803239">
              <w:rPr>
                <w:rFonts w:eastAsiaTheme="minorEastAsia" w:cstheme="minorBidi"/>
                <w:b w:val="0"/>
                <w:bCs w:val="0"/>
                <w:caps w:val="0"/>
                <w:noProof/>
                <w:sz w:val="24"/>
                <w:szCs w:val="24"/>
                <w:u w:val="none"/>
                <w:bdr w:val="none" w:sz="0" w:space="0" w:color="auto"/>
                <w:lang w:val="es-MX" w:eastAsia="es-ES_tradnl"/>
              </w:rPr>
              <w:tab/>
            </w:r>
            <w:r w:rsidR="00803239" w:rsidRPr="003C10F9">
              <w:rPr>
                <w:rStyle w:val="Hipervnculo"/>
                <w:rFonts w:ascii="Calibri" w:eastAsia="Calibri" w:hAnsi="Calibri"/>
                <w:noProof/>
                <w:lang w:val="es-MX"/>
              </w:rPr>
              <w:t>Acciones recomendadas.</w:t>
            </w:r>
            <w:r w:rsidR="00803239">
              <w:rPr>
                <w:noProof/>
                <w:webHidden/>
              </w:rPr>
              <w:tab/>
            </w:r>
            <w:r w:rsidR="00803239" w:rsidRPr="00B83A00">
              <w:rPr>
                <w:rFonts w:ascii="Calibri" w:hAnsi="Calibri"/>
                <w:noProof/>
                <w:webHidden/>
              </w:rPr>
              <w:fldChar w:fldCharType="begin"/>
            </w:r>
            <w:r w:rsidR="00803239" w:rsidRPr="00B83A00">
              <w:rPr>
                <w:rFonts w:ascii="Calibri" w:hAnsi="Calibri"/>
                <w:noProof/>
                <w:webHidden/>
              </w:rPr>
              <w:instrText xml:space="preserve"> PAGEREF _Toc15381565 \h </w:instrText>
            </w:r>
            <w:r w:rsidR="00803239" w:rsidRPr="00B83A00">
              <w:rPr>
                <w:rFonts w:ascii="Calibri" w:hAnsi="Calibri"/>
                <w:noProof/>
                <w:webHidden/>
              </w:rPr>
            </w:r>
            <w:r w:rsidR="00803239" w:rsidRPr="00B83A00">
              <w:rPr>
                <w:rFonts w:ascii="Calibri" w:hAnsi="Calibri"/>
                <w:noProof/>
                <w:webHidden/>
              </w:rPr>
              <w:fldChar w:fldCharType="separate"/>
            </w:r>
            <w:r w:rsidR="00447A55">
              <w:rPr>
                <w:rFonts w:ascii="Calibri" w:hAnsi="Calibri"/>
                <w:noProof/>
                <w:webHidden/>
              </w:rPr>
              <w:t>4</w:t>
            </w:r>
            <w:r w:rsidR="00803239" w:rsidRPr="00B83A00">
              <w:rPr>
                <w:rFonts w:ascii="Calibri" w:hAnsi="Calibri"/>
                <w:noProof/>
                <w:webHidden/>
              </w:rPr>
              <w:fldChar w:fldCharType="end"/>
            </w:r>
          </w:hyperlink>
          <w:r w:rsidR="004663AC">
            <w:rPr>
              <w:b w:val="0"/>
              <w:bCs w:val="0"/>
              <w:noProof/>
            </w:rPr>
            <w:fldChar w:fldCharType="end"/>
          </w:r>
        </w:p>
        <w:p w:rsidR="00265683" w:rsidRPr="00265683" w:rsidRDefault="00D5399A" w:rsidP="00265683">
          <w:pPr>
            <w:rPr>
              <w:lang w:val="es-MX" w:eastAsia="es-ES_tradnl"/>
            </w:rPr>
          </w:pPr>
        </w:p>
      </w:sdtContent>
    </w:sdt>
    <w:p w:rsidR="00265683" w:rsidRDefault="00265683" w:rsidP="00265683">
      <w:pPr>
        <w:pStyle w:val="Ttulo1"/>
        <w:spacing w:line="312" w:lineRule="auto"/>
        <w:ind w:left="1080"/>
        <w:rPr>
          <w:rFonts w:ascii="Calibri" w:eastAsia="Calibri" w:hAnsi="Calibri" w:cs="Times New Roman"/>
          <w:b/>
          <w:color w:val="auto"/>
          <w:sz w:val="28"/>
          <w:szCs w:val="28"/>
          <w:bdr w:val="none" w:sz="0" w:space="0" w:color="auto"/>
          <w:lang w:val="es-MX"/>
        </w:rPr>
      </w:pPr>
      <w:bookmarkStart w:id="0" w:name="_Toc15381564"/>
    </w:p>
    <w:p w:rsidR="00265683" w:rsidRDefault="00265683" w:rsidP="00265683">
      <w:pPr>
        <w:rPr>
          <w:lang w:val="es-MX"/>
        </w:rPr>
      </w:pPr>
    </w:p>
    <w:p w:rsidR="00265683" w:rsidRDefault="00265683" w:rsidP="00265683">
      <w:pPr>
        <w:rPr>
          <w:lang w:val="es-MX"/>
        </w:rPr>
      </w:pPr>
    </w:p>
    <w:p w:rsidR="00265683" w:rsidRDefault="00265683" w:rsidP="00265683">
      <w:pPr>
        <w:rPr>
          <w:lang w:val="es-MX"/>
        </w:rPr>
      </w:pPr>
    </w:p>
    <w:p w:rsidR="00265683" w:rsidRDefault="00265683" w:rsidP="00265683">
      <w:pPr>
        <w:rPr>
          <w:lang w:val="es-MX"/>
        </w:rPr>
      </w:pPr>
    </w:p>
    <w:p w:rsidR="00265683" w:rsidRDefault="00265683" w:rsidP="00265683">
      <w:pPr>
        <w:rPr>
          <w:lang w:val="es-MX"/>
        </w:rPr>
      </w:pPr>
    </w:p>
    <w:p w:rsidR="00265683" w:rsidRDefault="00265683" w:rsidP="00265683">
      <w:pPr>
        <w:rPr>
          <w:lang w:val="es-MX"/>
        </w:rPr>
      </w:pPr>
    </w:p>
    <w:p w:rsidR="00265683" w:rsidRDefault="00265683" w:rsidP="00265683">
      <w:pPr>
        <w:rPr>
          <w:lang w:val="es-MX"/>
        </w:rPr>
      </w:pPr>
    </w:p>
    <w:p w:rsidR="00265683" w:rsidRPr="00265683" w:rsidRDefault="00265683" w:rsidP="00265683">
      <w:pPr>
        <w:rPr>
          <w:lang w:val="es-MX"/>
        </w:rPr>
      </w:pPr>
    </w:p>
    <w:p w:rsidR="000267D9" w:rsidRPr="004663AC" w:rsidRDefault="000267D9" w:rsidP="006E6A6C">
      <w:pPr>
        <w:pStyle w:val="Ttulo1"/>
        <w:numPr>
          <w:ilvl w:val="0"/>
          <w:numId w:val="10"/>
        </w:numPr>
        <w:spacing w:line="312" w:lineRule="auto"/>
        <w:rPr>
          <w:rFonts w:ascii="Calibri" w:eastAsia="Calibri" w:hAnsi="Calibri" w:cs="Times New Roman"/>
          <w:b/>
          <w:color w:val="auto"/>
          <w:sz w:val="28"/>
          <w:szCs w:val="28"/>
          <w:bdr w:val="none" w:sz="0" w:space="0" w:color="auto"/>
          <w:lang w:val="es-MX"/>
        </w:rPr>
      </w:pPr>
      <w:r w:rsidRPr="004663AC">
        <w:rPr>
          <w:rFonts w:ascii="Calibri" w:eastAsia="Calibri" w:hAnsi="Calibri" w:cs="Times New Roman"/>
          <w:b/>
          <w:color w:val="auto"/>
          <w:sz w:val="28"/>
          <w:szCs w:val="28"/>
          <w:bdr w:val="none" w:sz="0" w:space="0" w:color="auto"/>
          <w:lang w:val="es-MX"/>
        </w:rPr>
        <w:lastRenderedPageBreak/>
        <w:t>Situación actual</w:t>
      </w:r>
      <w:r w:rsidR="00803239">
        <w:rPr>
          <w:rFonts w:ascii="Calibri" w:eastAsia="Calibri" w:hAnsi="Calibri" w:cs="Times New Roman"/>
          <w:b/>
          <w:color w:val="auto"/>
          <w:sz w:val="28"/>
          <w:szCs w:val="28"/>
          <w:bdr w:val="none" w:sz="0" w:space="0" w:color="auto"/>
          <w:lang w:val="es-MX"/>
        </w:rPr>
        <w:t>.</w:t>
      </w:r>
      <w:bookmarkEnd w:id="0"/>
    </w:p>
    <w:p w:rsidR="004663AC" w:rsidRPr="004663AC" w:rsidRDefault="004663AC" w:rsidP="001E359E">
      <w:pPr>
        <w:spacing w:line="312" w:lineRule="auto"/>
        <w:rPr>
          <w:lang w:val="es-MX"/>
        </w:rPr>
      </w:pPr>
    </w:p>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 xml:space="preserve">La administración de los números de internet, es decir, las direcciones que permiten organizar las redes para enlazar fuentes y destinos, se realiza en México desde 1989 a través del Network </w:t>
      </w:r>
      <w:proofErr w:type="spellStart"/>
      <w:r w:rsidRPr="000267D9">
        <w:rPr>
          <w:rFonts w:ascii="Calibri" w:eastAsia="Calibri" w:hAnsi="Calibri"/>
          <w:bdr w:val="none" w:sz="0" w:space="0" w:color="auto"/>
          <w:lang w:val="es-MX"/>
        </w:rPr>
        <w:t>Information</w:t>
      </w:r>
      <w:proofErr w:type="spellEnd"/>
      <w:r w:rsidRPr="000267D9">
        <w:rPr>
          <w:rFonts w:ascii="Calibri" w:eastAsia="Calibri" w:hAnsi="Calibri"/>
          <w:bdr w:val="none" w:sz="0" w:space="0" w:color="auto"/>
          <w:lang w:val="es-MX"/>
        </w:rPr>
        <w:t xml:space="preserve"> Center MX (NIC-MX) bajo administración del Instituto Tecnológico y de Estudios Superiores de Monterrey (ITESM). De acuerdo con la información publicada por NIC-MX, “En octubre del mismo año [1995]</w:t>
      </w:r>
      <w:r w:rsidRPr="000267D9">
        <w:rPr>
          <w:rFonts w:ascii="Calibri" w:eastAsia="Calibri" w:hAnsi="Calibri"/>
          <w:bdr w:val="none" w:sz="0" w:space="0" w:color="auto"/>
          <w:vertAlign w:val="superscript"/>
          <w:lang w:val="es-MX"/>
        </w:rPr>
        <w:footnoteReference w:id="2"/>
      </w:r>
      <w:r w:rsidRPr="000267D9">
        <w:rPr>
          <w:rFonts w:ascii="Calibri" w:eastAsia="Calibri" w:hAnsi="Calibri"/>
          <w:bdr w:val="none" w:sz="0" w:space="0" w:color="auto"/>
          <w:lang w:val="es-MX"/>
        </w:rPr>
        <w:t xml:space="preserve">, se hace oficial la designación del ITESM, Campus Monterrey como Network </w:t>
      </w:r>
      <w:proofErr w:type="spellStart"/>
      <w:r w:rsidRPr="000267D9">
        <w:rPr>
          <w:rFonts w:ascii="Calibri" w:eastAsia="Calibri" w:hAnsi="Calibri"/>
          <w:bdr w:val="none" w:sz="0" w:space="0" w:color="auto"/>
          <w:lang w:val="es-MX"/>
        </w:rPr>
        <w:t>Information</w:t>
      </w:r>
      <w:proofErr w:type="spellEnd"/>
      <w:r w:rsidRPr="000267D9">
        <w:rPr>
          <w:rFonts w:ascii="Calibri" w:eastAsia="Calibri" w:hAnsi="Calibri"/>
          <w:bdr w:val="none" w:sz="0" w:space="0" w:color="auto"/>
          <w:lang w:val="es-MX"/>
        </w:rPr>
        <w:t xml:space="preserve"> Center para México, lo que formaliza el trabajo que se había venido desarrollando desde 1989.” Aquellos que utilizan los servicios de NIC-MX deben cubrir una membresía anual que en parte cubre las cuotas que acordaron con el </w:t>
      </w:r>
      <w:proofErr w:type="spellStart"/>
      <w:r w:rsidRPr="000267D9">
        <w:rPr>
          <w:rFonts w:ascii="Calibri" w:eastAsia="Calibri" w:hAnsi="Calibri"/>
          <w:bdr w:val="none" w:sz="0" w:space="0" w:color="auto"/>
          <w:lang w:val="es-MX"/>
        </w:rPr>
        <w:t>Latinamerican</w:t>
      </w:r>
      <w:proofErr w:type="spellEnd"/>
      <w:r w:rsidRPr="000267D9">
        <w:rPr>
          <w:rFonts w:ascii="Calibri" w:eastAsia="Calibri" w:hAnsi="Calibri"/>
          <w:bdr w:val="none" w:sz="0" w:space="0" w:color="auto"/>
          <w:lang w:val="es-MX"/>
        </w:rPr>
        <w:t xml:space="preserve"> &amp; </w:t>
      </w:r>
      <w:proofErr w:type="spellStart"/>
      <w:r w:rsidRPr="000267D9">
        <w:rPr>
          <w:rFonts w:ascii="Calibri" w:eastAsia="Calibri" w:hAnsi="Calibri"/>
          <w:bdr w:val="none" w:sz="0" w:space="0" w:color="auto"/>
          <w:lang w:val="es-MX"/>
        </w:rPr>
        <w:t>Caribbean</w:t>
      </w:r>
      <w:proofErr w:type="spellEnd"/>
      <w:r w:rsidRPr="000267D9">
        <w:rPr>
          <w:rFonts w:ascii="Calibri" w:eastAsia="Calibri" w:hAnsi="Calibri"/>
          <w:bdr w:val="none" w:sz="0" w:space="0" w:color="auto"/>
          <w:lang w:val="es-MX"/>
        </w:rPr>
        <w:t xml:space="preserve"> Network </w:t>
      </w:r>
      <w:proofErr w:type="spellStart"/>
      <w:r w:rsidRPr="000267D9">
        <w:rPr>
          <w:rFonts w:ascii="Calibri" w:eastAsia="Calibri" w:hAnsi="Calibri"/>
          <w:bdr w:val="none" w:sz="0" w:space="0" w:color="auto"/>
          <w:lang w:val="es-MX"/>
        </w:rPr>
        <w:t>Information</w:t>
      </w:r>
      <w:proofErr w:type="spellEnd"/>
      <w:r w:rsidRPr="000267D9">
        <w:rPr>
          <w:rFonts w:ascii="Calibri" w:eastAsia="Calibri" w:hAnsi="Calibri"/>
          <w:bdr w:val="none" w:sz="0" w:space="0" w:color="auto"/>
          <w:lang w:val="es-MX"/>
        </w:rPr>
        <w:t xml:space="preserve"> Center (LACNIC), el cual fue creado en 2002 y administra los recursos numéricos en América Latina, salvo en México y Brasil, quienes cuentan con instituciones que lo preceden; LACNIC a su vez funge como el Registro Regional de Internet. </w:t>
      </w:r>
    </w:p>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 xml:space="preserve">La </w:t>
      </w:r>
      <w:proofErr w:type="spellStart"/>
      <w:r w:rsidRPr="000267D9">
        <w:rPr>
          <w:rFonts w:ascii="Calibri" w:eastAsia="Calibri" w:hAnsi="Calibri"/>
          <w:bdr w:val="none" w:sz="0" w:space="0" w:color="auto"/>
          <w:lang w:val="es-MX"/>
        </w:rPr>
        <w:t>LFTyR</w:t>
      </w:r>
      <w:proofErr w:type="spellEnd"/>
      <w:r w:rsidRPr="000267D9">
        <w:rPr>
          <w:rFonts w:ascii="Calibri" w:eastAsia="Calibri" w:hAnsi="Calibri"/>
          <w:bdr w:val="none" w:sz="0" w:space="0" w:color="auto"/>
          <w:lang w:val="es-MX"/>
        </w:rPr>
        <w:t xml:space="preserve"> de 2013 establece en su artículo 7 que “El Instituto tiene a su cargo la regulación, promoción y supervisión del uso, aprovechamiento y explotación del espectro </w:t>
      </w:r>
      <w:r w:rsidR="008D3B24" w:rsidRPr="000267D9">
        <w:rPr>
          <w:rFonts w:ascii="Calibri" w:eastAsia="Calibri" w:hAnsi="Calibri"/>
          <w:bdr w:val="none" w:sz="0" w:space="0" w:color="auto"/>
          <w:lang w:val="es-MX"/>
        </w:rPr>
        <w:t>radioeléctrico</w:t>
      </w:r>
      <w:r w:rsidRPr="000267D9">
        <w:rPr>
          <w:rFonts w:ascii="Calibri" w:eastAsia="Calibri" w:hAnsi="Calibri"/>
          <w:bdr w:val="none" w:sz="0" w:space="0" w:color="auto"/>
          <w:lang w:val="es-MX"/>
        </w:rPr>
        <w:t xml:space="preserve">,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w:t>
      </w:r>
      <w:r w:rsidR="008D3B24" w:rsidRPr="000267D9">
        <w:rPr>
          <w:rFonts w:ascii="Calibri" w:eastAsia="Calibri" w:hAnsi="Calibri"/>
          <w:bdr w:val="none" w:sz="0" w:space="0" w:color="auto"/>
          <w:lang w:val="es-MX"/>
        </w:rPr>
        <w:t>términos</w:t>
      </w:r>
      <w:r w:rsidRPr="000267D9">
        <w:rPr>
          <w:rFonts w:ascii="Calibri" w:eastAsia="Calibri" w:hAnsi="Calibri"/>
          <w:bdr w:val="none" w:sz="0" w:space="0" w:color="auto"/>
          <w:lang w:val="es-MX"/>
        </w:rPr>
        <w:t xml:space="preserve"> de la </w:t>
      </w:r>
      <w:r w:rsidR="008D3B24" w:rsidRPr="000267D9">
        <w:rPr>
          <w:rFonts w:ascii="Calibri" w:eastAsia="Calibri" w:hAnsi="Calibri"/>
          <w:bdr w:val="none" w:sz="0" w:space="0" w:color="auto"/>
          <w:lang w:val="es-MX"/>
        </w:rPr>
        <w:t>legislación</w:t>
      </w:r>
      <w:r w:rsidRPr="000267D9">
        <w:rPr>
          <w:rFonts w:ascii="Calibri" w:eastAsia="Calibri" w:hAnsi="Calibri"/>
          <w:bdr w:val="none" w:sz="0" w:space="0" w:color="auto"/>
          <w:lang w:val="es-MX"/>
        </w:rPr>
        <w:t xml:space="preserve"> correspondiente”. </w:t>
      </w:r>
    </w:p>
    <w:p w:rsidR="00BE45A8"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 xml:space="preserve">Es evidente que las redes públicas de telecomunicaciones utilizan el recurso numérico para su conexión a internet; asimismo, las redes privadas y recursos privados utilizan las redes públicas para su respectiva conexión. De forma tal que, en perspectiva de este Consejo, la regulación del recurso es competencia del Instituto Federal de Telecomunicaciones. </w:t>
      </w:r>
    </w:p>
    <w:p w:rsidR="001329F2"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Sin embargo, diversas opiniones en el seno de la Unión Internacional de Telecomunicaciones</w:t>
      </w:r>
      <w:r w:rsidR="00BE45A8">
        <w:rPr>
          <w:rFonts w:ascii="Calibri" w:eastAsia="Calibri" w:hAnsi="Calibri"/>
          <w:bdr w:val="none" w:sz="0" w:space="0" w:color="auto"/>
          <w:lang w:val="es-MX"/>
        </w:rPr>
        <w:t xml:space="preserve"> (UIT)</w:t>
      </w:r>
      <w:r w:rsidRPr="000267D9">
        <w:rPr>
          <w:rFonts w:ascii="Calibri" w:eastAsia="Calibri" w:hAnsi="Calibri"/>
          <w:bdr w:val="none" w:sz="0" w:space="0" w:color="auto"/>
          <w:lang w:val="es-MX"/>
        </w:rPr>
        <w:t xml:space="preserve"> muestran que no existe un consenso respecto al alcance y tipo de regulación que los países miembros deberían realizar en este tema. Esto ha resultado en el pasado en una discusión amplia sobre las funciones de IANA</w:t>
      </w:r>
      <w:r w:rsidRPr="000267D9">
        <w:rPr>
          <w:rFonts w:ascii="Calibri" w:eastAsia="Calibri" w:hAnsi="Calibri"/>
          <w:bdr w:val="none" w:sz="0" w:space="0" w:color="auto"/>
          <w:vertAlign w:val="superscript"/>
          <w:lang w:val="es-MX"/>
        </w:rPr>
        <w:footnoteReference w:id="3"/>
      </w:r>
      <w:r w:rsidRPr="000267D9">
        <w:rPr>
          <w:rFonts w:ascii="Calibri" w:eastAsia="Calibri" w:hAnsi="Calibri"/>
          <w:bdr w:val="none" w:sz="0" w:space="0" w:color="auto"/>
          <w:lang w:val="es-MX"/>
        </w:rPr>
        <w:t xml:space="preserve"> (cuyas funciones se transfirieron a la comunidad en 2016), favoreciendo un modelo de “</w:t>
      </w:r>
      <w:proofErr w:type="spellStart"/>
      <w:r w:rsidRPr="000267D9">
        <w:rPr>
          <w:rFonts w:ascii="Calibri" w:eastAsia="Calibri" w:hAnsi="Calibri"/>
          <w:bdr w:val="none" w:sz="0" w:space="0" w:color="auto"/>
          <w:lang w:val="es-MX"/>
        </w:rPr>
        <w:t>multistakeholder</w:t>
      </w:r>
      <w:proofErr w:type="spellEnd"/>
      <w:r w:rsidRPr="000267D9">
        <w:rPr>
          <w:rFonts w:ascii="Calibri" w:eastAsia="Calibri" w:hAnsi="Calibri"/>
          <w:bdr w:val="none" w:sz="0" w:space="0" w:color="auto"/>
          <w:lang w:val="es-MX"/>
        </w:rPr>
        <w:t xml:space="preserve">” o de </w:t>
      </w:r>
      <w:r w:rsidR="008D3B24" w:rsidRPr="000267D9">
        <w:rPr>
          <w:rFonts w:ascii="Calibri" w:eastAsia="Calibri" w:hAnsi="Calibri"/>
          <w:bdr w:val="none" w:sz="0" w:space="0" w:color="auto"/>
          <w:lang w:val="es-MX"/>
        </w:rPr>
        <w:t>múltiples</w:t>
      </w:r>
      <w:r w:rsidRPr="000267D9">
        <w:rPr>
          <w:rFonts w:ascii="Calibri" w:eastAsia="Calibri" w:hAnsi="Calibri"/>
          <w:bdr w:val="none" w:sz="0" w:space="0" w:color="auto"/>
          <w:lang w:val="es-MX"/>
        </w:rPr>
        <w:t xml:space="preserve"> partes interesadas. </w:t>
      </w:r>
    </w:p>
    <w:p w:rsidR="008D3B24"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Es conveniente notar que los recursos críticos</w:t>
      </w:r>
      <w:r w:rsidR="00BE45A8">
        <w:rPr>
          <w:rFonts w:ascii="Calibri" w:eastAsia="Calibri" w:hAnsi="Calibri"/>
          <w:bdr w:val="none" w:sz="0" w:space="0" w:color="auto"/>
          <w:lang w:val="es-MX"/>
        </w:rPr>
        <w:t>,</w:t>
      </w:r>
      <w:r w:rsidRPr="000267D9">
        <w:rPr>
          <w:rFonts w:ascii="Calibri" w:eastAsia="Calibri" w:hAnsi="Calibri"/>
          <w:bdr w:val="none" w:sz="0" w:space="0" w:color="auto"/>
          <w:lang w:val="es-MX"/>
        </w:rPr>
        <w:t xml:space="preserve"> incluyendo los numéricos</w:t>
      </w:r>
      <w:r w:rsidR="00BE45A8">
        <w:rPr>
          <w:rFonts w:ascii="Calibri" w:eastAsia="Calibri" w:hAnsi="Calibri"/>
          <w:bdr w:val="none" w:sz="0" w:space="0" w:color="auto"/>
          <w:lang w:val="es-MX"/>
        </w:rPr>
        <w:t xml:space="preserve">, </w:t>
      </w:r>
      <w:r w:rsidRPr="000267D9">
        <w:rPr>
          <w:rFonts w:ascii="Calibri" w:eastAsia="Calibri" w:hAnsi="Calibri"/>
          <w:bdr w:val="none" w:sz="0" w:space="0" w:color="auto"/>
          <w:lang w:val="es-MX"/>
        </w:rPr>
        <w:t xml:space="preserve">tienen una relación con prácticas sociales incluyendo el </w:t>
      </w:r>
      <w:proofErr w:type="spellStart"/>
      <w:r w:rsidRPr="000267D9">
        <w:rPr>
          <w:rFonts w:ascii="Calibri" w:eastAsia="Calibri" w:hAnsi="Calibri"/>
          <w:bdr w:val="none" w:sz="0" w:space="0" w:color="auto"/>
          <w:lang w:val="es-MX"/>
        </w:rPr>
        <w:t>cibercrimen</w:t>
      </w:r>
      <w:proofErr w:type="spellEnd"/>
      <w:r w:rsidRPr="000267D9">
        <w:rPr>
          <w:rFonts w:ascii="Calibri" w:eastAsia="Calibri" w:hAnsi="Calibri"/>
          <w:bdr w:val="none" w:sz="0" w:space="0" w:color="auto"/>
          <w:lang w:val="es-MX"/>
        </w:rPr>
        <w:t xml:space="preserve"> y la ciberseguridad, por lo que corresponde al Estado y sus instituciones proteger “nuestra seguridad y soberanía” … (artículo 2 de la </w:t>
      </w:r>
      <w:proofErr w:type="spellStart"/>
      <w:r w:rsidRPr="000267D9">
        <w:rPr>
          <w:rFonts w:ascii="Calibri" w:eastAsia="Calibri" w:hAnsi="Calibri"/>
          <w:bdr w:val="none" w:sz="0" w:space="0" w:color="auto"/>
          <w:lang w:val="es-MX"/>
        </w:rPr>
        <w:t>LFTyR</w:t>
      </w:r>
      <w:proofErr w:type="spellEnd"/>
      <w:r w:rsidRPr="000267D9">
        <w:rPr>
          <w:rFonts w:ascii="Calibri" w:eastAsia="Calibri" w:hAnsi="Calibri"/>
          <w:bdr w:val="none" w:sz="0" w:space="0" w:color="auto"/>
          <w:lang w:val="es-MX"/>
        </w:rPr>
        <w:t xml:space="preserve">). A partir </w:t>
      </w:r>
      <w:r w:rsidR="008D3B24" w:rsidRPr="000267D9">
        <w:rPr>
          <w:rFonts w:ascii="Calibri" w:eastAsia="Calibri" w:hAnsi="Calibri"/>
          <w:bdr w:val="none" w:sz="0" w:space="0" w:color="auto"/>
          <w:lang w:val="es-MX"/>
        </w:rPr>
        <w:t>del</w:t>
      </w:r>
      <w:r w:rsidRPr="000267D9">
        <w:rPr>
          <w:rFonts w:ascii="Calibri" w:eastAsia="Calibri" w:hAnsi="Calibri"/>
          <w:bdr w:val="none" w:sz="0" w:space="0" w:color="auto"/>
          <w:lang w:val="es-MX"/>
        </w:rPr>
        <w:t xml:space="preserve"> </w:t>
      </w:r>
      <w:r w:rsidRPr="000267D9">
        <w:rPr>
          <w:rFonts w:ascii="Calibri" w:eastAsia="Calibri" w:hAnsi="Calibri"/>
          <w:bdr w:val="none" w:sz="0" w:space="0" w:color="auto"/>
          <w:lang w:val="es-MX"/>
        </w:rPr>
        <w:lastRenderedPageBreak/>
        <w:t>llamado Compromiso de Túnez de 2006</w:t>
      </w:r>
      <w:r w:rsidRPr="000267D9">
        <w:rPr>
          <w:rFonts w:ascii="Calibri" w:eastAsia="Calibri" w:hAnsi="Calibri"/>
          <w:bdr w:val="none" w:sz="0" w:space="0" w:color="auto"/>
          <w:vertAlign w:val="superscript"/>
          <w:lang w:val="es-MX"/>
        </w:rPr>
        <w:footnoteReference w:id="4"/>
      </w:r>
      <w:r w:rsidRPr="000267D9">
        <w:rPr>
          <w:rFonts w:ascii="Calibri" w:eastAsia="Calibri" w:hAnsi="Calibri"/>
          <w:bdr w:val="none" w:sz="0" w:space="0" w:color="auto"/>
          <w:lang w:val="es-MX"/>
        </w:rPr>
        <w:t xml:space="preserve">, los gobiernos del mundo han tomado un papel guiador, que favorece una regulación en cuanto a las redes y su interconexión. Incluso en la última reunión de Plenipotenciarios de la </w:t>
      </w:r>
      <w:r w:rsidR="00BE45A8">
        <w:rPr>
          <w:rFonts w:ascii="Calibri" w:eastAsia="Calibri" w:hAnsi="Calibri"/>
          <w:bdr w:val="none" w:sz="0" w:space="0" w:color="auto"/>
          <w:lang w:val="es-MX"/>
        </w:rPr>
        <w:t>UIT</w:t>
      </w:r>
      <w:r w:rsidRPr="000267D9">
        <w:rPr>
          <w:rFonts w:ascii="Calibri" w:eastAsia="Calibri" w:hAnsi="Calibri"/>
          <w:bdr w:val="none" w:sz="0" w:space="0" w:color="auto"/>
          <w:lang w:val="es-MX"/>
        </w:rPr>
        <w:t>, se hace ver la importancia de trabajar en conjunto con ICANN</w:t>
      </w:r>
      <w:r w:rsidRPr="000267D9">
        <w:rPr>
          <w:rFonts w:ascii="Calibri" w:eastAsia="Calibri" w:hAnsi="Calibri"/>
          <w:bdr w:val="none" w:sz="0" w:space="0" w:color="auto"/>
          <w:vertAlign w:val="superscript"/>
          <w:lang w:val="es-MX"/>
        </w:rPr>
        <w:footnoteReference w:id="5"/>
      </w:r>
      <w:r w:rsidRPr="000267D9">
        <w:rPr>
          <w:rFonts w:ascii="Calibri" w:eastAsia="Calibri" w:hAnsi="Calibri"/>
          <w:bdr w:val="none" w:sz="0" w:space="0" w:color="auto"/>
          <w:lang w:val="es-MX"/>
        </w:rPr>
        <w:t xml:space="preserve"> para garantizar la seguridad y la eficiencia de internet.</w:t>
      </w:r>
    </w:p>
    <w:p w:rsidR="000267D9"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El espacio de direcciones IPv4, contenido en el Registro Regional de Direcciones IP</w:t>
      </w:r>
      <w:r w:rsidRPr="000267D9">
        <w:rPr>
          <w:rFonts w:ascii="Calibri" w:eastAsia="Calibri" w:hAnsi="Calibri"/>
          <w:bdr w:val="none" w:sz="0" w:space="0" w:color="auto"/>
          <w:vertAlign w:val="superscript"/>
          <w:lang w:val="es-MX"/>
        </w:rPr>
        <w:footnoteReference w:id="6"/>
      </w:r>
      <w:r w:rsidRPr="000267D9">
        <w:rPr>
          <w:rFonts w:ascii="Calibri" w:eastAsia="Calibri" w:hAnsi="Calibri"/>
          <w:bdr w:val="none" w:sz="0" w:space="0" w:color="auto"/>
          <w:lang w:val="es-MX"/>
        </w:rPr>
        <w:t>, ha llegado a su agotamiento</w:t>
      </w:r>
      <w:r w:rsidRPr="000267D9">
        <w:rPr>
          <w:rFonts w:ascii="Calibri" w:eastAsia="Calibri" w:hAnsi="Calibri"/>
          <w:bdr w:val="none" w:sz="0" w:space="0" w:color="auto"/>
          <w:vertAlign w:val="superscript"/>
          <w:lang w:val="es-MX"/>
        </w:rPr>
        <w:footnoteReference w:id="7"/>
      </w:r>
      <w:r w:rsidRPr="000267D9">
        <w:rPr>
          <w:rFonts w:ascii="Calibri" w:eastAsia="Calibri" w:hAnsi="Calibri"/>
          <w:bdr w:val="none" w:sz="0" w:space="0" w:color="auto"/>
          <w:lang w:val="es-MX"/>
        </w:rPr>
        <w:t>. El protocolo IPv6, que cambia la estructura y longitud de las direcciones IP, aumenta en 29 órdenes de magnitud la cantidad de direcciones disponibles para los dispositivos que se conectan a internet usando el protocolo TCP/IP, lo que garantiza que existirán suficientes direcciones para soportar la “internet de las cosas” (</w:t>
      </w:r>
      <w:proofErr w:type="spellStart"/>
      <w:r w:rsidRPr="000267D9">
        <w:rPr>
          <w:rFonts w:ascii="Calibri" w:eastAsia="Calibri" w:hAnsi="Calibri"/>
          <w:bdr w:val="none" w:sz="0" w:space="0" w:color="auto"/>
          <w:lang w:val="es-MX"/>
        </w:rPr>
        <w:t>IoT</w:t>
      </w:r>
      <w:proofErr w:type="spellEnd"/>
      <w:r w:rsidRPr="000267D9">
        <w:rPr>
          <w:rFonts w:ascii="Calibri" w:eastAsia="Calibri" w:hAnsi="Calibri"/>
          <w:bdr w:val="none" w:sz="0" w:space="0" w:color="auto"/>
          <w:lang w:val="es-MX"/>
        </w:rPr>
        <w:t>) y otros usos que aún no vislumbramos. Asimismo, al prescindir de mecanismos de traducción</w:t>
      </w:r>
      <w:r w:rsidRPr="000267D9">
        <w:rPr>
          <w:rFonts w:ascii="Calibri" w:eastAsia="Calibri" w:hAnsi="Calibri"/>
          <w:bdr w:val="none" w:sz="0" w:space="0" w:color="auto"/>
          <w:vertAlign w:val="superscript"/>
          <w:lang w:val="es-MX"/>
        </w:rPr>
        <w:footnoteReference w:id="8"/>
      </w:r>
      <w:r w:rsidRPr="000267D9">
        <w:rPr>
          <w:rFonts w:ascii="Calibri" w:eastAsia="Calibri" w:hAnsi="Calibri"/>
          <w:bdr w:val="none" w:sz="0" w:space="0" w:color="auto"/>
          <w:lang w:val="es-MX"/>
        </w:rPr>
        <w:t>, permite que la red sea más eficiente, ya que requiere menos mecanismos de telecomunicaciones para el ruteo y direccionamiento de datos.</w:t>
      </w:r>
    </w:p>
    <w:p w:rsidR="001329F2"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De acuerdo con las cifras, recomendadas por el propio NIC-MX y que son publicadas por algunas organizaciones (APNIC</w:t>
      </w:r>
      <w:r w:rsidRPr="000267D9">
        <w:rPr>
          <w:rFonts w:ascii="Calibri" w:eastAsia="Calibri" w:hAnsi="Calibri"/>
          <w:bdr w:val="none" w:sz="0" w:space="0" w:color="auto"/>
          <w:vertAlign w:val="superscript"/>
          <w:lang w:val="es-MX"/>
        </w:rPr>
        <w:footnoteReference w:id="9"/>
      </w:r>
      <w:r w:rsidRPr="000267D9">
        <w:rPr>
          <w:rFonts w:ascii="Calibri" w:eastAsia="Calibri" w:hAnsi="Calibri"/>
          <w:bdr w:val="none" w:sz="0" w:space="0" w:color="auto"/>
          <w:lang w:val="es-MX"/>
        </w:rPr>
        <w:t>, Google</w:t>
      </w:r>
      <w:r w:rsidRPr="000267D9">
        <w:rPr>
          <w:rFonts w:ascii="Calibri" w:eastAsia="Calibri" w:hAnsi="Calibri"/>
          <w:bdr w:val="none" w:sz="0" w:space="0" w:color="auto"/>
          <w:vertAlign w:val="superscript"/>
          <w:lang w:val="es-MX"/>
        </w:rPr>
        <w:footnoteReference w:id="10"/>
      </w:r>
      <w:r w:rsidRPr="000267D9">
        <w:rPr>
          <w:rFonts w:ascii="Calibri" w:eastAsia="Calibri" w:hAnsi="Calibri"/>
          <w:bdr w:val="none" w:sz="0" w:space="0" w:color="auto"/>
          <w:lang w:val="es-MX"/>
        </w:rPr>
        <w:t>, Cisco</w:t>
      </w:r>
      <w:r w:rsidRPr="000267D9">
        <w:rPr>
          <w:rFonts w:ascii="Calibri" w:eastAsia="Calibri" w:hAnsi="Calibri"/>
          <w:bdr w:val="none" w:sz="0" w:space="0" w:color="auto"/>
          <w:vertAlign w:val="superscript"/>
          <w:lang w:val="es-MX"/>
        </w:rPr>
        <w:footnoteReference w:id="11"/>
      </w:r>
      <w:r w:rsidRPr="000267D9">
        <w:rPr>
          <w:rFonts w:ascii="Calibri" w:eastAsia="Calibri" w:hAnsi="Calibri"/>
          <w:bdr w:val="none" w:sz="0" w:space="0" w:color="auto"/>
          <w:lang w:val="es-MX"/>
        </w:rPr>
        <w:t xml:space="preserve">), se estima que la adopción del protocolo IPv6 ha alcanzado apenas el 25% de forma global. De acuerdo con las </w:t>
      </w:r>
      <w:r w:rsidR="008D3B24" w:rsidRPr="000267D9">
        <w:rPr>
          <w:rFonts w:ascii="Calibri" w:eastAsia="Calibri" w:hAnsi="Calibri"/>
          <w:bdr w:val="none" w:sz="0" w:space="0" w:color="auto"/>
          <w:lang w:val="es-MX"/>
        </w:rPr>
        <w:t>estadísticas</w:t>
      </w:r>
      <w:r w:rsidRPr="000267D9">
        <w:rPr>
          <w:rFonts w:ascii="Calibri" w:eastAsia="Calibri" w:hAnsi="Calibri"/>
          <w:bdr w:val="none" w:sz="0" w:space="0" w:color="auto"/>
          <w:lang w:val="es-MX"/>
        </w:rPr>
        <w:t xml:space="preserve"> más recientes, México tiene una tasa de adopción del 25.3%, similar a Brasil (26.82%), considerando el número de usuarios con IPv6. Sin embargo, menos del 10% de las redes disponibles en IPv6 en México registran tráfico de datos, lo que invita a reflexionar sobre la relación entre la capacidad instalada, la utilización de este protocolo y aquellos factores que impiden su adopción. </w:t>
      </w:r>
    </w:p>
    <w:p w:rsidR="00B83A00" w:rsidRPr="000267D9" w:rsidRDefault="000267D9" w:rsidP="001E359E">
      <w:p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jc w:val="both"/>
        <w:rPr>
          <w:rFonts w:ascii="Calibri" w:eastAsia="Calibri" w:hAnsi="Calibri"/>
          <w:bdr w:val="none" w:sz="0" w:space="0" w:color="auto"/>
          <w:lang w:val="es-MX"/>
        </w:rPr>
      </w:pPr>
      <w:r w:rsidRPr="000267D9">
        <w:rPr>
          <w:rFonts w:ascii="Calibri" w:eastAsia="Calibri" w:hAnsi="Calibri"/>
          <w:bdr w:val="none" w:sz="0" w:space="0" w:color="auto"/>
          <w:lang w:val="es-MX"/>
        </w:rPr>
        <w:t>Es por esto que este Consejo Consultivo cree pertinente que el IFT continúe trabajando en las acciones para acelerar el despliegue de este protocolo. Para ello, tomando como punto de partida la recomendación elaborada por el Segundo Consejo Consultivo en noviembre de 2016 sobre el tema</w:t>
      </w:r>
      <w:r w:rsidRPr="000267D9">
        <w:rPr>
          <w:rFonts w:ascii="Calibri" w:eastAsia="Calibri" w:hAnsi="Calibri"/>
          <w:bdr w:val="none" w:sz="0" w:space="0" w:color="auto"/>
          <w:vertAlign w:val="superscript"/>
          <w:lang w:val="es-MX"/>
        </w:rPr>
        <w:footnoteReference w:id="12"/>
      </w:r>
      <w:r w:rsidRPr="000267D9">
        <w:rPr>
          <w:rFonts w:ascii="Calibri" w:eastAsia="Calibri" w:hAnsi="Calibri"/>
          <w:bdr w:val="none" w:sz="0" w:space="0" w:color="auto"/>
          <w:lang w:val="es-MX"/>
        </w:rPr>
        <w:t xml:space="preserve"> y</w:t>
      </w:r>
      <w:r w:rsidR="00C60CBA">
        <w:rPr>
          <w:rFonts w:ascii="Calibri" w:eastAsia="Calibri" w:hAnsi="Calibri"/>
          <w:bdr w:val="none" w:sz="0" w:space="0" w:color="auto"/>
          <w:lang w:val="es-MX"/>
        </w:rPr>
        <w:t>,</w:t>
      </w:r>
      <w:r w:rsidRPr="000267D9">
        <w:rPr>
          <w:rFonts w:ascii="Calibri" w:eastAsia="Calibri" w:hAnsi="Calibri"/>
          <w:bdr w:val="none" w:sz="0" w:space="0" w:color="auto"/>
          <w:lang w:val="es-MX"/>
        </w:rPr>
        <w:t xml:space="preserve"> reconociendo la implementación por parte del IFT de varias de las acciones sugeridas en aquel momento, esta recomendación recoge algunas acciones adicionales que creemos podrán implementarse en el corto plazo para acelerar el despliegue del protocolo IPv6.</w:t>
      </w:r>
    </w:p>
    <w:p w:rsidR="004663AC" w:rsidRPr="00265683" w:rsidRDefault="000267D9" w:rsidP="001E359E">
      <w:pPr>
        <w:pStyle w:val="Ttulo1"/>
        <w:numPr>
          <w:ilvl w:val="0"/>
          <w:numId w:val="10"/>
        </w:numPr>
        <w:spacing w:line="312" w:lineRule="auto"/>
        <w:rPr>
          <w:rFonts w:ascii="Calibri" w:eastAsia="Calibri" w:hAnsi="Calibri" w:cs="Times New Roman"/>
          <w:b/>
          <w:color w:val="auto"/>
          <w:sz w:val="28"/>
          <w:szCs w:val="28"/>
          <w:bdr w:val="none" w:sz="0" w:space="0" w:color="auto"/>
          <w:lang w:val="es-MX"/>
        </w:rPr>
      </w:pPr>
      <w:bookmarkStart w:id="1" w:name="_Toc15381565"/>
      <w:r w:rsidRPr="004663AC">
        <w:rPr>
          <w:rFonts w:ascii="Calibri" w:eastAsia="Calibri" w:hAnsi="Calibri" w:cs="Times New Roman"/>
          <w:b/>
          <w:color w:val="auto"/>
          <w:sz w:val="28"/>
          <w:szCs w:val="28"/>
          <w:bdr w:val="none" w:sz="0" w:space="0" w:color="auto"/>
          <w:lang w:val="es-MX"/>
        </w:rPr>
        <w:lastRenderedPageBreak/>
        <w:t>Acciones recomendadas</w:t>
      </w:r>
      <w:r w:rsidR="00803239">
        <w:rPr>
          <w:rFonts w:ascii="Calibri" w:eastAsia="Calibri" w:hAnsi="Calibri" w:cs="Times New Roman"/>
          <w:b/>
          <w:color w:val="auto"/>
          <w:sz w:val="28"/>
          <w:szCs w:val="28"/>
          <w:bdr w:val="none" w:sz="0" w:space="0" w:color="auto"/>
          <w:lang w:val="es-MX"/>
        </w:rPr>
        <w:t>.</w:t>
      </w:r>
      <w:bookmarkEnd w:id="1"/>
    </w:p>
    <w:p w:rsidR="000267D9" w:rsidRPr="006B577A"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Continuar con la concientización de todos los usuarios conectados a internet, entre los que deberán incluirse ciertos consumidores finales que pueden ayudar a la comunicación de las implicaciones, procedimientos y beneficios de la migración del protocolo IPv4 a IPv6. De manera general, el cambio es transparente para los consumidores, pero la comunicación amplia y generalizada cambia la dinámica en las acciones implementadas por los diversos actores del sector.</w:t>
      </w:r>
    </w:p>
    <w:p w:rsidR="000267D9" w:rsidRPr="000267D9"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Intensificar la interacción con instituciones académicas y universidades, especialmente aquellas interesadas en el tema, para promover el despliegue de IPv6 en su papel doble, primero como parte de su función de formación de profesionales y después en asegurar que su infraestructura responde a los requerimientos tecnológicos en su función de generadores de conocimiento.</w:t>
      </w:r>
    </w:p>
    <w:p w:rsidR="001E359E" w:rsidRPr="00265683"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 xml:space="preserve">Coordinar entre las </w:t>
      </w:r>
      <w:r w:rsidR="008D3B24" w:rsidRPr="000267D9">
        <w:rPr>
          <w:rFonts w:ascii="Calibri" w:eastAsia="Calibri" w:hAnsi="Calibri"/>
          <w:bdr w:val="none" w:sz="0" w:space="0" w:color="auto"/>
          <w:lang w:val="es-MX"/>
        </w:rPr>
        <w:t>múltiples</w:t>
      </w:r>
      <w:r w:rsidRPr="000267D9">
        <w:rPr>
          <w:rFonts w:ascii="Calibri" w:eastAsia="Calibri" w:hAnsi="Calibri"/>
          <w:bdr w:val="none" w:sz="0" w:space="0" w:color="auto"/>
          <w:lang w:val="es-MX"/>
        </w:rPr>
        <w:t xml:space="preserve"> partes interesadas la revisión de la administración de los números de internet en México para que este recurso crítico sea coordinado y administrado por un organismo de múltiples partes interesadas con participación abierta de todos los sectores involucrados y cuyo Consejo de Administración incluya al menos un representante de: (a) el Instituto Federal de Telecomunicaciones, (b) la Secretaría de Comunicaciones y Transportes, (c) los operadores de cobertura nacional, (d) los operadores regionales, (e) las instituciones educativas e instituciones de educación superior, (f) la comunidad de ingenieros y tecnólogos mexicanos, (g) los usuarios de internet y (h) las organizaciones globales con presencia local en el ámbito de internet. </w:t>
      </w:r>
    </w:p>
    <w:p w:rsidR="000267D9" w:rsidRPr="000267D9"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Llevar a cabo en el corto plazo una reunión de los representantes del IFT y del Poder Ejecutivo con los representantes de las organizaciones globales y regionales (ICANN, LACNIC, ISOC) para dialogar sobre la administración de los números de internet en México.</w:t>
      </w:r>
    </w:p>
    <w:p w:rsidR="000267D9" w:rsidRPr="000267D9"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A través de información y recomendaciones concretas, continuar incentivado a que el gobierno asuma su función de motor del cambio. Para ello, el IFT podrá emitir directrices en la siguiente línea:</w:t>
      </w:r>
    </w:p>
    <w:p w:rsidR="000267D9" w:rsidRPr="000267D9"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Que se implemente IPv6 en todas las redes gubernamentales de los distintos órdenes (federal, estatal y municipal), así como en los órganos autónomos;</w:t>
      </w:r>
    </w:p>
    <w:p w:rsidR="000267D9" w:rsidRPr="000267D9"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Que todo bien y servicio adquirido por el gobierno debe soportar necesariamente IPv6</w:t>
      </w:r>
      <w:r w:rsidR="00C60CBA">
        <w:rPr>
          <w:rFonts w:ascii="Calibri" w:eastAsia="Calibri" w:hAnsi="Calibri"/>
          <w:bdr w:val="none" w:sz="0" w:space="0" w:color="auto"/>
          <w:lang w:val="es-MX"/>
        </w:rPr>
        <w:t>;</w:t>
      </w:r>
      <w:r w:rsidRPr="000267D9">
        <w:rPr>
          <w:rFonts w:ascii="Calibri" w:eastAsia="Calibri" w:hAnsi="Calibri"/>
          <w:bdr w:val="none" w:sz="0" w:space="0" w:color="auto"/>
          <w:lang w:val="es-MX"/>
        </w:rPr>
        <w:t xml:space="preserve"> debe ser obligatorio, no preferencial. Por lo tanto, el bien o servicio debe ser compatible con ambos protocolos;</w:t>
      </w:r>
    </w:p>
    <w:p w:rsidR="000267D9" w:rsidRPr="000267D9"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Times New Roman" w:hAnsi="Calibri" w:cs="Calibri"/>
          <w:color w:val="000000"/>
          <w:bdr w:val="none" w:sz="0" w:space="0" w:color="auto"/>
          <w:lang w:val="es-ES"/>
        </w:rPr>
        <w:t>Que se asegure que todos los contenidos y portales gubernamentales funcionen normalmente cuando los usuarios acceden través de redes IPv6;</w:t>
      </w:r>
    </w:p>
    <w:p w:rsidR="004663AC" w:rsidRPr="001E359E"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proofErr w:type="gramStart"/>
      <w:r w:rsidRPr="000267D9">
        <w:rPr>
          <w:rFonts w:ascii="Calibri" w:eastAsia="Times New Roman" w:hAnsi="Calibri" w:cs="Calibri"/>
          <w:color w:val="000000"/>
          <w:bdr w:val="none" w:sz="0" w:space="0" w:color="auto"/>
          <w:lang w:val="es-MX"/>
        </w:rPr>
        <w:lastRenderedPageBreak/>
        <w:t>Que</w:t>
      </w:r>
      <w:proofErr w:type="gramEnd"/>
      <w:r w:rsidRPr="000267D9">
        <w:rPr>
          <w:rFonts w:ascii="Calibri" w:eastAsia="Times New Roman" w:hAnsi="Calibri" w:cs="Calibri"/>
          <w:color w:val="000000"/>
          <w:bdr w:val="none" w:sz="0" w:space="0" w:color="auto"/>
          <w:lang w:val="es-MX"/>
        </w:rPr>
        <w:t xml:space="preserve"> </w:t>
      </w:r>
      <w:r w:rsidRPr="000267D9">
        <w:rPr>
          <w:rFonts w:ascii="Calibri" w:eastAsia="Times New Roman" w:hAnsi="Calibri" w:cs="Calibri"/>
          <w:color w:val="000000"/>
          <w:bdr w:val="none" w:sz="0" w:space="0" w:color="auto"/>
          <w:lang w:val="es-ES"/>
        </w:rPr>
        <w:t xml:space="preserve">en menos de dos años, todos los servicios digitales que ofrezcan las entidades de gobierno presten servicio usando IPv6. </w:t>
      </w:r>
    </w:p>
    <w:p w:rsidR="000267D9" w:rsidRPr="000267D9"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Generar directrices específicas para la homologación de equipo utilizado para las redes de los usuarios</w:t>
      </w:r>
      <w:r w:rsidRPr="000267D9">
        <w:rPr>
          <w:rFonts w:ascii="Calibri" w:eastAsia="Calibri" w:hAnsi="Calibri"/>
          <w:bdr w:val="none" w:sz="0" w:space="0" w:color="auto"/>
          <w:vertAlign w:val="superscript"/>
          <w:lang w:val="es-MX"/>
        </w:rPr>
        <w:footnoteReference w:id="13"/>
      </w:r>
      <w:r w:rsidR="00C60CBA">
        <w:rPr>
          <w:rFonts w:ascii="Calibri" w:eastAsia="Calibri" w:hAnsi="Calibri"/>
          <w:bdr w:val="none" w:sz="0" w:space="0" w:color="auto"/>
          <w:lang w:val="es-MX"/>
        </w:rPr>
        <w:t>,</w:t>
      </w:r>
      <w:r w:rsidRPr="000267D9">
        <w:rPr>
          <w:rFonts w:ascii="Calibri" w:eastAsia="Calibri" w:hAnsi="Calibri"/>
          <w:bdr w:val="none" w:sz="0" w:space="0" w:color="auto"/>
          <w:lang w:val="es-MX"/>
        </w:rPr>
        <w:t xml:space="preserve"> evitando que la adopción del nuevo protocolo implique la existencia generalizada de equipo obsoleto.</w:t>
      </w:r>
    </w:p>
    <w:p w:rsidR="000267D9" w:rsidRPr="000267D9" w:rsidRDefault="000267D9" w:rsidP="001E359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Con el fin de contar en el futuro cercano con elementos que permitan generar incentivos adicionales a los existentes y a las fuerzas del mercado para que los operadores implementen IPv6:</w:t>
      </w:r>
    </w:p>
    <w:p w:rsidR="008D3B24" w:rsidRPr="006B577A"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Publicar de manera periódica estadísticas sobre el grado de avance en el despliegue de cada operador, para así hacer disponible información que permita establecer una comparación entre los distintos operadores concesionados;</w:t>
      </w:r>
    </w:p>
    <w:p w:rsidR="00B83A00" w:rsidRPr="00265683"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Exhortar a los operadores a contar con y publicitar una oferta de direcciones fijas en IPv6 para sus usuarios.</w:t>
      </w:r>
    </w:p>
    <w:p w:rsidR="000267D9" w:rsidRDefault="000267D9" w:rsidP="001E359E">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312" w:lineRule="auto"/>
        <w:contextualSpacing/>
        <w:jc w:val="both"/>
        <w:rPr>
          <w:rFonts w:ascii="Calibri" w:eastAsia="Calibri" w:hAnsi="Calibri"/>
          <w:bdr w:val="none" w:sz="0" w:space="0" w:color="auto"/>
          <w:lang w:val="es-MX"/>
        </w:rPr>
      </w:pPr>
      <w:r w:rsidRPr="000267D9">
        <w:rPr>
          <w:rFonts w:ascii="Calibri" w:eastAsia="Calibri" w:hAnsi="Calibri"/>
          <w:bdr w:val="none" w:sz="0" w:space="0" w:color="auto"/>
          <w:lang w:val="es-MX"/>
        </w:rPr>
        <w:t xml:space="preserve">Aumentar la presencia del IFT, tanto en lo relativo a las relaciones internacionales, como en lo técnico y de </w:t>
      </w:r>
      <w:r w:rsidR="008D3B24" w:rsidRPr="000267D9">
        <w:rPr>
          <w:rFonts w:ascii="Calibri" w:eastAsia="Calibri" w:hAnsi="Calibri"/>
          <w:bdr w:val="none" w:sz="0" w:space="0" w:color="auto"/>
          <w:lang w:val="es-MX"/>
        </w:rPr>
        <w:t>ingeniería</w:t>
      </w:r>
      <w:r w:rsidRPr="000267D9">
        <w:rPr>
          <w:rFonts w:ascii="Calibri" w:eastAsia="Calibri" w:hAnsi="Calibri"/>
          <w:bdr w:val="none" w:sz="0" w:space="0" w:color="auto"/>
          <w:lang w:val="es-MX"/>
        </w:rPr>
        <w:t>, en los foros regionales y mundiales y aumentar el diálogo con organizaciones en el ámbito nacional, regional e internacional (UIT, IGF, ICANN, OCED, APEC, IEEE, IETF, LACNIC).</w:t>
      </w:r>
    </w:p>
    <w:p w:rsidR="000267D9" w:rsidRPr="000267D9" w:rsidRDefault="000267D9" w:rsidP="00B83A0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bdr w:val="none" w:sz="0" w:space="0" w:color="auto"/>
          <w:lang w:val="es-MX"/>
        </w:rPr>
      </w:pPr>
    </w:p>
    <w:p w:rsidR="000267D9" w:rsidRPr="00BE45A8" w:rsidRDefault="000267D9" w:rsidP="00B83A00">
      <w:pPr>
        <w:autoSpaceDE w:val="0"/>
        <w:autoSpaceDN w:val="0"/>
        <w:adjustRightInd w:val="0"/>
        <w:spacing w:before="240"/>
        <w:jc w:val="center"/>
        <w:rPr>
          <w:rFonts w:ascii="Calibri" w:eastAsia="Calibri" w:hAnsi="Calibri" w:cs="Calibri"/>
          <w:b/>
          <w:bCs/>
          <w:lang w:val="es-MX"/>
        </w:rPr>
      </w:pPr>
      <w:r w:rsidRPr="00BE45A8">
        <w:rPr>
          <w:rFonts w:ascii="Calibri" w:eastAsia="Calibri" w:hAnsi="Calibri" w:cs="Calibri"/>
          <w:b/>
          <w:bCs/>
          <w:lang w:val="es-MX"/>
        </w:rPr>
        <w:t xml:space="preserve">Dr. Ernesto M. Flores-Roux </w:t>
      </w:r>
    </w:p>
    <w:p w:rsidR="000267D9" w:rsidRDefault="000267D9" w:rsidP="00B83A00">
      <w:pPr>
        <w:autoSpaceDE w:val="0"/>
        <w:autoSpaceDN w:val="0"/>
        <w:adjustRightInd w:val="0"/>
        <w:spacing w:before="240"/>
        <w:jc w:val="center"/>
        <w:rPr>
          <w:rFonts w:ascii="Calibri" w:eastAsia="Calibri" w:hAnsi="Calibri" w:cs="Calibri"/>
          <w:b/>
          <w:bCs/>
          <w:lang w:val="es-MX"/>
        </w:rPr>
      </w:pPr>
      <w:r w:rsidRPr="00BE45A8">
        <w:rPr>
          <w:rFonts w:ascii="Calibri" w:eastAsia="Calibri" w:hAnsi="Calibri" w:cs="Calibri"/>
          <w:b/>
          <w:bCs/>
          <w:lang w:val="es-MX"/>
        </w:rPr>
        <w:t>Presidente</w:t>
      </w:r>
    </w:p>
    <w:p w:rsidR="00B83A00" w:rsidRPr="00BE45A8" w:rsidRDefault="00B83A00" w:rsidP="00265683">
      <w:pPr>
        <w:autoSpaceDE w:val="0"/>
        <w:autoSpaceDN w:val="0"/>
        <w:adjustRightInd w:val="0"/>
        <w:spacing w:before="240"/>
        <w:rPr>
          <w:rFonts w:ascii="Calibri" w:eastAsia="Calibri" w:hAnsi="Calibri" w:cs="Calibri"/>
          <w:b/>
          <w:bCs/>
          <w:lang w:val="es-MX"/>
        </w:rPr>
      </w:pPr>
    </w:p>
    <w:p w:rsidR="000267D9" w:rsidRPr="00BE45A8" w:rsidRDefault="000267D9" w:rsidP="00B83A00">
      <w:pPr>
        <w:autoSpaceDE w:val="0"/>
        <w:autoSpaceDN w:val="0"/>
        <w:adjustRightInd w:val="0"/>
        <w:spacing w:before="240"/>
        <w:jc w:val="center"/>
        <w:rPr>
          <w:rFonts w:ascii="Calibri" w:eastAsia="Calibri" w:hAnsi="Calibri" w:cs="Calibri"/>
          <w:b/>
          <w:bCs/>
          <w:lang w:val="es-MX"/>
        </w:rPr>
      </w:pPr>
      <w:r w:rsidRPr="00BE45A8">
        <w:rPr>
          <w:rFonts w:ascii="Calibri" w:eastAsia="Calibri" w:hAnsi="Calibri" w:cs="Calibri"/>
          <w:b/>
          <w:bCs/>
          <w:lang w:val="es-MX"/>
        </w:rPr>
        <w:t>Lic. Juan José Crispín Borbolla</w:t>
      </w:r>
    </w:p>
    <w:p w:rsidR="000267D9" w:rsidRPr="00BE45A8" w:rsidRDefault="000267D9" w:rsidP="00B83A00">
      <w:pPr>
        <w:autoSpaceDE w:val="0"/>
        <w:autoSpaceDN w:val="0"/>
        <w:adjustRightInd w:val="0"/>
        <w:spacing w:before="240"/>
        <w:jc w:val="center"/>
        <w:rPr>
          <w:rFonts w:ascii="Calibri" w:eastAsia="Calibri" w:hAnsi="Calibri" w:cs="Calibri"/>
          <w:b/>
          <w:bCs/>
          <w:lang w:val="es-MX"/>
        </w:rPr>
      </w:pPr>
      <w:r w:rsidRPr="00BE45A8">
        <w:rPr>
          <w:rFonts w:ascii="Calibri" w:eastAsia="Calibri" w:hAnsi="Calibri" w:cs="Calibri"/>
          <w:b/>
          <w:bCs/>
          <w:lang w:val="es-MX"/>
        </w:rPr>
        <w:t>Secretario</w:t>
      </w:r>
    </w:p>
    <w:p w:rsidR="00B83A00" w:rsidRDefault="00B83A00" w:rsidP="001E359E">
      <w:pPr>
        <w:spacing w:line="312" w:lineRule="auto"/>
        <w:jc w:val="both"/>
        <w:rPr>
          <w:rFonts w:ascii="Calibri" w:hAnsi="Calibri" w:cs="Calibri"/>
          <w:lang w:val="es-MX"/>
        </w:rPr>
      </w:pPr>
    </w:p>
    <w:p w:rsidR="001E359E" w:rsidRDefault="001E359E" w:rsidP="001E359E">
      <w:pPr>
        <w:spacing w:line="312" w:lineRule="auto"/>
        <w:jc w:val="both"/>
        <w:rPr>
          <w:rFonts w:ascii="Calibri" w:hAnsi="Calibri" w:cs="Calibri"/>
          <w:lang w:val="es-MX"/>
        </w:rPr>
      </w:pPr>
    </w:p>
    <w:p w:rsidR="001B53D7" w:rsidRPr="001B53D7" w:rsidRDefault="001B53D7" w:rsidP="00B83A00">
      <w:pPr>
        <w:spacing w:line="276" w:lineRule="auto"/>
        <w:jc w:val="both"/>
        <w:rPr>
          <w:rFonts w:ascii="Calibri" w:hAnsi="Calibri" w:cs="Calibri"/>
          <w:sz w:val="20"/>
          <w:szCs w:val="20"/>
          <w:lang w:val="es-MX"/>
        </w:rPr>
      </w:pPr>
      <w:r w:rsidRPr="00A15569">
        <w:rPr>
          <w:rFonts w:ascii="Calibri" w:hAnsi="Calibri" w:cs="Calibri"/>
          <w:sz w:val="20"/>
          <w:szCs w:val="20"/>
          <w:lang w:val="es-ES"/>
        </w:rPr>
        <w:t xml:space="preserve">La Recomendación fue aprobada por el IV Consejo Consultivo del Instituto Federal de Telecomunicaciones por unanimidad de votos de los Consejeros presentes: </w:t>
      </w:r>
      <w:r w:rsidR="006322D7">
        <w:rPr>
          <w:rFonts w:ascii="Calibri" w:hAnsi="Calibri" w:cs="Calibri"/>
          <w:sz w:val="20"/>
          <w:szCs w:val="20"/>
          <w:lang w:val="es-ES"/>
        </w:rPr>
        <w:t xml:space="preserve">María Cristina Cárdenas Peralta, </w:t>
      </w:r>
      <w:r w:rsidRPr="001B53D7">
        <w:rPr>
          <w:rFonts w:ascii="Calibri" w:hAnsi="Calibri" w:cs="Calibri"/>
          <w:sz w:val="20"/>
          <w:szCs w:val="20"/>
          <w:lang w:val="es-MX"/>
        </w:rPr>
        <w:t xml:space="preserve">Sara Gabriela Castellanos Pascacio, Ernesto M. Flores-Roux, Gerardo Francisco González Abarca, Santiago Gutiérrez Fernández, Elisa V. Mariscal Medina, Luis Miguel Martínez </w:t>
      </w:r>
      <w:r w:rsidR="00447A55">
        <w:rPr>
          <w:rFonts w:ascii="Calibri" w:hAnsi="Calibri" w:cs="Calibri"/>
          <w:sz w:val="20"/>
          <w:szCs w:val="20"/>
          <w:lang w:val="es-MX"/>
        </w:rPr>
        <w:t>Cervantes, Lucía Ojeda Cárdenas y</w:t>
      </w:r>
      <w:r w:rsidRPr="001B53D7">
        <w:rPr>
          <w:rFonts w:ascii="Calibri" w:hAnsi="Calibri" w:cs="Calibri"/>
          <w:sz w:val="20"/>
          <w:szCs w:val="20"/>
          <w:lang w:val="es-MX"/>
        </w:rPr>
        <w:t xml:space="preserve"> Armida Sánchez Arellano en su V Sesión Ordinaria celebrada el 27 de junio de 2019, me</w:t>
      </w:r>
      <w:r w:rsidR="00D23478">
        <w:rPr>
          <w:rFonts w:ascii="Calibri" w:hAnsi="Calibri" w:cs="Calibri"/>
          <w:sz w:val="20"/>
          <w:szCs w:val="20"/>
          <w:lang w:val="es-MX"/>
        </w:rPr>
        <w:t>diante Acuerdo CC/IFT/270619/7</w:t>
      </w:r>
      <w:bookmarkStart w:id="2" w:name="_GoBack"/>
      <w:bookmarkEnd w:id="2"/>
      <w:r w:rsidRPr="001B53D7">
        <w:rPr>
          <w:rFonts w:ascii="Calibri" w:hAnsi="Calibri" w:cs="Calibri"/>
          <w:sz w:val="20"/>
          <w:szCs w:val="20"/>
          <w:lang w:val="es-MX"/>
        </w:rPr>
        <w:t>.</w:t>
      </w:r>
    </w:p>
    <w:p w:rsidR="001B53D7" w:rsidRPr="00BE45A8" w:rsidRDefault="001B53D7" w:rsidP="001E359E">
      <w:pPr>
        <w:spacing w:line="312" w:lineRule="auto"/>
        <w:jc w:val="both"/>
        <w:rPr>
          <w:rFonts w:ascii="Calibri" w:hAnsi="Calibri" w:cs="Calibri"/>
          <w:lang w:val="es-MX"/>
        </w:rPr>
      </w:pPr>
    </w:p>
    <w:sectPr w:rsidR="001B53D7" w:rsidRPr="00BE45A8" w:rsidSect="00B65DA5">
      <w:headerReference w:type="default" r:id="rId8"/>
      <w:footerReference w:type="default" r:id="rId9"/>
      <w:pgSz w:w="11900" w:h="16840"/>
      <w:pgMar w:top="1942" w:right="1200" w:bottom="1134" w:left="1200" w:header="72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9A" w:rsidRDefault="00D5399A">
      <w:r>
        <w:separator/>
      </w:r>
    </w:p>
  </w:endnote>
  <w:endnote w:type="continuationSeparator" w:id="0">
    <w:p w:rsidR="00D5399A" w:rsidRDefault="00D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ITC Avant Garde Std Bk Cn"/>
    <w:charset w:val="00"/>
    <w:family w:val="auto"/>
    <w:pitch w:val="variable"/>
    <w:sig w:usb0="A00002FF" w:usb1="5000205B" w:usb2="00000002" w:usb3="00000000" w:csb0="00000001" w:csb1="00000000"/>
  </w:font>
  <w:font w:name="Helvetica Neue Medium">
    <w:altName w:val="Arial"/>
    <w:charset w:val="4D"/>
    <w:family w:val="swiss"/>
    <w:pitch w:val="variable"/>
    <w:sig w:usb0="A00002FF" w:usb1="5000205B" w:usb2="00000002" w:usb3="00000000" w:csb0="0000009B" w:csb1="00000000"/>
  </w:font>
  <w:font w:name="Helvetica Neue Light">
    <w:altName w:val="Helvetica Neue"/>
    <w:charset w:val="00"/>
    <w:family w:val="auto"/>
    <w:pitch w:val="variable"/>
    <w:sig w:usb0="A00002FF" w:usb1="5000205B" w:usb2="00000002" w:usb3="00000000" w:csb0="00000007" w:csb1="00000000"/>
  </w:font>
  <w:font w:name="Helvetica Neue">
    <w:charset w:val="00"/>
    <w:family w:val="auto"/>
    <w:pitch w:val="variable"/>
    <w:sig w:usb0="80000067"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92" w:rsidRDefault="00160992">
    <w:pPr>
      <w:pStyle w:val="Cabeceraypie"/>
      <w:tabs>
        <w:tab w:val="clear" w:pos="9020"/>
        <w:tab w:val="center" w:pos="4750"/>
        <w:tab w:val="right" w:pos="9500"/>
      </w:tabs>
    </w:pPr>
    <w:r>
      <w:tab/>
    </w:r>
    <w:r>
      <w:fldChar w:fldCharType="begin"/>
    </w:r>
    <w:r>
      <w:instrText xml:space="preserve"> PAGE </w:instrText>
    </w:r>
    <w:r>
      <w:fldChar w:fldCharType="separate"/>
    </w:r>
    <w:r w:rsidR="00D2347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9A" w:rsidRDefault="00D5399A">
      <w:r>
        <w:separator/>
      </w:r>
    </w:p>
  </w:footnote>
  <w:footnote w:type="continuationSeparator" w:id="0">
    <w:p w:rsidR="00D5399A" w:rsidRDefault="00D5399A">
      <w:r>
        <w:continuationSeparator/>
      </w:r>
    </w:p>
  </w:footnote>
  <w:footnote w:id="1">
    <w:p w:rsidR="000267D9" w:rsidRPr="00265683" w:rsidRDefault="000267D9" w:rsidP="000267D9">
      <w:pPr>
        <w:pStyle w:val="Textonotapie1"/>
        <w:rPr>
          <w:rFonts w:ascii="Calibri" w:hAnsi="Calibri" w:cs="Calibri"/>
        </w:rPr>
      </w:pPr>
      <w:r w:rsidRPr="00265683">
        <w:rPr>
          <w:rStyle w:val="Refdenotaalpie"/>
          <w:rFonts w:ascii="Calibri" w:hAnsi="Calibri" w:cs="Calibri"/>
        </w:rPr>
        <w:footnoteRef/>
      </w:r>
      <w:r w:rsidRPr="00265683">
        <w:rPr>
          <w:rFonts w:ascii="Calibri" w:hAnsi="Calibri" w:cs="Calibri"/>
        </w:rPr>
        <w:t xml:space="preserve"> </w:t>
      </w:r>
      <w:hyperlink r:id="rId1" w:history="1">
        <w:r w:rsidRPr="00265683">
          <w:rPr>
            <w:rStyle w:val="Hipervnculo"/>
            <w:rFonts w:ascii="Calibri" w:hAnsi="Calibri" w:cs="Calibri"/>
            <w:u w:val="none"/>
          </w:rPr>
          <w:t>http://ipv6.ift.org.mx</w:t>
        </w:r>
      </w:hyperlink>
      <w:r w:rsidRPr="00265683">
        <w:rPr>
          <w:rFonts w:ascii="Calibri" w:hAnsi="Calibri" w:cs="Calibri"/>
        </w:rPr>
        <w:t xml:space="preserve"> </w:t>
      </w:r>
    </w:p>
  </w:footnote>
  <w:footnote w:id="2">
    <w:p w:rsidR="000267D9" w:rsidRPr="008D3B24" w:rsidRDefault="000267D9" w:rsidP="000267D9">
      <w:pPr>
        <w:pStyle w:val="Textonotapie1"/>
        <w:rPr>
          <w:rFonts w:ascii="Calibri" w:hAnsi="Calibri" w:cs="Calibri"/>
        </w:rPr>
      </w:pPr>
      <w:r w:rsidRPr="008D3B24">
        <w:rPr>
          <w:rStyle w:val="Refdenotaalpie"/>
          <w:rFonts w:ascii="Calibri" w:hAnsi="Calibri" w:cs="Calibri"/>
        </w:rPr>
        <w:footnoteRef/>
      </w:r>
      <w:r w:rsidRPr="008D3B24">
        <w:rPr>
          <w:rFonts w:ascii="Calibri" w:hAnsi="Calibri" w:cs="Calibri"/>
        </w:rPr>
        <w:t xml:space="preserve"> </w:t>
      </w:r>
      <w:proofErr w:type="spellStart"/>
      <w:r w:rsidRPr="008D3B24">
        <w:rPr>
          <w:rFonts w:ascii="Calibri" w:hAnsi="Calibri" w:cs="Calibri"/>
        </w:rPr>
        <w:t>Nb</w:t>
      </w:r>
      <w:proofErr w:type="spellEnd"/>
      <w:r w:rsidRPr="008D3B24">
        <w:rPr>
          <w:rFonts w:ascii="Calibri" w:hAnsi="Calibri" w:cs="Calibri"/>
        </w:rPr>
        <w:t xml:space="preserve"> 1995 </w:t>
      </w:r>
      <w:proofErr w:type="spellStart"/>
      <w:r w:rsidRPr="008D3B24">
        <w:rPr>
          <w:rFonts w:ascii="Calibri" w:hAnsi="Calibri" w:cs="Calibri"/>
        </w:rPr>
        <w:t>cfr</w:t>
      </w:r>
      <w:proofErr w:type="spellEnd"/>
      <w:r w:rsidRPr="008D3B24">
        <w:rPr>
          <w:rFonts w:ascii="Calibri" w:hAnsi="Calibri" w:cs="Calibri"/>
        </w:rPr>
        <w:t>. https://www.nicmexico.mx/es/NicMx.Historia</w:t>
      </w:r>
    </w:p>
  </w:footnote>
  <w:footnote w:id="3">
    <w:p w:rsidR="000267D9" w:rsidRPr="008D3B24" w:rsidRDefault="000267D9" w:rsidP="000267D9">
      <w:pPr>
        <w:pStyle w:val="Textonotapie1"/>
        <w:rPr>
          <w:rFonts w:ascii="Calibri" w:hAnsi="Calibri" w:cs="Calibri"/>
        </w:rPr>
      </w:pPr>
      <w:r w:rsidRPr="008D3B24">
        <w:rPr>
          <w:rStyle w:val="Refdenotaalpie"/>
          <w:rFonts w:ascii="Calibri" w:hAnsi="Calibri" w:cs="Calibri"/>
        </w:rPr>
        <w:footnoteRef/>
      </w:r>
      <w:r w:rsidRPr="008D3B24">
        <w:rPr>
          <w:rFonts w:ascii="Calibri" w:hAnsi="Calibri" w:cs="Calibri"/>
        </w:rPr>
        <w:t xml:space="preserve"> Internet Assigned Numbers Authority</w:t>
      </w:r>
    </w:p>
  </w:footnote>
  <w:footnote w:id="4">
    <w:p w:rsidR="000267D9" w:rsidRPr="008D3B24" w:rsidRDefault="000267D9" w:rsidP="000267D9">
      <w:pPr>
        <w:pStyle w:val="Textonotapie1"/>
        <w:rPr>
          <w:rFonts w:ascii="Calibri" w:hAnsi="Calibri" w:cs="Calibri"/>
        </w:rPr>
      </w:pPr>
      <w:r w:rsidRPr="008D3B24">
        <w:rPr>
          <w:rStyle w:val="Refdenotaalpie"/>
          <w:rFonts w:ascii="Calibri" w:hAnsi="Calibri" w:cs="Calibri"/>
        </w:rPr>
        <w:footnoteRef/>
      </w:r>
      <w:r w:rsidRPr="008D3B24">
        <w:rPr>
          <w:rFonts w:ascii="Calibri" w:hAnsi="Calibri" w:cs="Calibri"/>
        </w:rPr>
        <w:t xml:space="preserve"> https://www.itu.int/net/wsis/docs2/tunis/off/7-es.html</w:t>
      </w:r>
    </w:p>
  </w:footnote>
  <w:footnote w:id="5">
    <w:p w:rsidR="000267D9" w:rsidRPr="004C7A89" w:rsidRDefault="000267D9" w:rsidP="000267D9">
      <w:pPr>
        <w:pStyle w:val="Textonotapie1"/>
      </w:pPr>
      <w:r w:rsidRPr="008D3B24">
        <w:rPr>
          <w:rStyle w:val="Refdenotaalpie"/>
          <w:rFonts w:ascii="Calibri" w:hAnsi="Calibri" w:cs="Calibri"/>
        </w:rPr>
        <w:footnoteRef/>
      </w:r>
      <w:r w:rsidRPr="008D3B24">
        <w:rPr>
          <w:rFonts w:ascii="Calibri" w:hAnsi="Calibri" w:cs="Calibri"/>
        </w:rPr>
        <w:t xml:space="preserve"> Internet Corporation for Assigned Names and Numbers</w:t>
      </w:r>
    </w:p>
  </w:footnote>
  <w:footnote w:id="6">
    <w:p w:rsidR="000267D9" w:rsidRPr="008D3B24" w:rsidRDefault="000267D9" w:rsidP="000267D9">
      <w:pPr>
        <w:pStyle w:val="Textonotapie1"/>
        <w:rPr>
          <w:rFonts w:ascii="Calibri" w:hAnsi="Calibri" w:cs="Calibri"/>
          <w:lang w:val="es-ES"/>
        </w:rPr>
      </w:pPr>
      <w:r w:rsidRPr="008D3B24">
        <w:rPr>
          <w:rStyle w:val="Refdenotaalpie"/>
          <w:rFonts w:ascii="Calibri" w:hAnsi="Calibri" w:cs="Calibri"/>
        </w:rPr>
        <w:footnoteRef/>
      </w:r>
      <w:r w:rsidRPr="008D3B24">
        <w:rPr>
          <w:rFonts w:ascii="Calibri" w:hAnsi="Calibri" w:cs="Calibri"/>
          <w:lang w:val="es-ES"/>
        </w:rPr>
        <w:t xml:space="preserve"> Fuente: LACNIC</w:t>
      </w:r>
    </w:p>
  </w:footnote>
  <w:footnote w:id="7">
    <w:p w:rsidR="000267D9" w:rsidRPr="00BE45A8" w:rsidRDefault="000267D9" w:rsidP="000267D9">
      <w:pPr>
        <w:pStyle w:val="Textonotapie1"/>
        <w:rPr>
          <w:rFonts w:ascii="Calibri" w:hAnsi="Calibri" w:cs="Calibri"/>
          <w:lang w:val="es-MX"/>
        </w:rPr>
      </w:pPr>
      <w:r w:rsidRPr="008D3B24">
        <w:rPr>
          <w:rStyle w:val="Refdenotaalpie"/>
          <w:rFonts w:ascii="Calibri" w:hAnsi="Calibri" w:cs="Calibri"/>
        </w:rPr>
        <w:footnoteRef/>
      </w:r>
      <w:r w:rsidRPr="00BE45A8">
        <w:rPr>
          <w:rFonts w:ascii="Calibri" w:hAnsi="Calibri" w:cs="Calibri"/>
          <w:lang w:val="es-MX"/>
        </w:rPr>
        <w:t xml:space="preserve"> Se encuentra actualmente limitado únicamente a nuevos ISP.</w:t>
      </w:r>
    </w:p>
  </w:footnote>
  <w:footnote w:id="8">
    <w:p w:rsidR="000267D9" w:rsidRPr="00265683" w:rsidRDefault="000267D9" w:rsidP="000267D9">
      <w:pPr>
        <w:pStyle w:val="Textonotapie1"/>
        <w:rPr>
          <w:rFonts w:ascii="Calibri" w:hAnsi="Calibri" w:cs="Calibri"/>
        </w:rPr>
      </w:pPr>
      <w:r w:rsidRPr="00265683">
        <w:rPr>
          <w:rStyle w:val="Refdenotaalpie"/>
          <w:rFonts w:ascii="Calibri" w:hAnsi="Calibri" w:cs="Calibri"/>
        </w:rPr>
        <w:footnoteRef/>
      </w:r>
      <w:r w:rsidRPr="00265683">
        <w:rPr>
          <w:rFonts w:ascii="Calibri" w:hAnsi="Calibri" w:cs="Calibri"/>
        </w:rPr>
        <w:t xml:space="preserve"> Tales </w:t>
      </w:r>
      <w:proofErr w:type="spellStart"/>
      <w:proofErr w:type="gramStart"/>
      <w:r w:rsidRPr="00265683">
        <w:rPr>
          <w:rFonts w:ascii="Calibri" w:hAnsi="Calibri" w:cs="Calibri"/>
        </w:rPr>
        <w:t>como</w:t>
      </w:r>
      <w:proofErr w:type="spellEnd"/>
      <w:proofErr w:type="gramEnd"/>
      <w:r w:rsidRPr="00265683">
        <w:rPr>
          <w:rFonts w:ascii="Calibri" w:hAnsi="Calibri" w:cs="Calibri"/>
        </w:rPr>
        <w:t xml:space="preserve"> NAT (“network address translation”), “carrier grade NAT” y </w:t>
      </w:r>
      <w:proofErr w:type="spellStart"/>
      <w:r w:rsidRPr="00265683">
        <w:rPr>
          <w:rFonts w:ascii="Calibri" w:hAnsi="Calibri" w:cs="Calibri"/>
        </w:rPr>
        <w:t>servidores</w:t>
      </w:r>
      <w:proofErr w:type="spellEnd"/>
      <w:r w:rsidRPr="00265683">
        <w:rPr>
          <w:rFonts w:ascii="Calibri" w:hAnsi="Calibri" w:cs="Calibri"/>
        </w:rPr>
        <w:t xml:space="preserve"> DHCP (“dynamic host configuration protocol”). </w:t>
      </w:r>
    </w:p>
  </w:footnote>
  <w:footnote w:id="9">
    <w:p w:rsidR="000267D9" w:rsidRPr="00265683" w:rsidRDefault="000267D9" w:rsidP="000267D9">
      <w:pPr>
        <w:pStyle w:val="Textonotapie1"/>
        <w:rPr>
          <w:rStyle w:val="Hipervnculo"/>
          <w:rFonts w:ascii="Calibri" w:hAnsi="Calibri" w:cs="Calibri"/>
          <w:u w:val="none"/>
        </w:rPr>
      </w:pPr>
      <w:r w:rsidRPr="00265683">
        <w:rPr>
          <w:rStyle w:val="Refdenotaalpie"/>
          <w:rFonts w:ascii="Calibri" w:hAnsi="Calibri" w:cs="Calibri"/>
        </w:rPr>
        <w:footnoteRef/>
      </w:r>
      <w:r w:rsidRPr="00265683">
        <w:rPr>
          <w:rFonts w:ascii="Calibri" w:hAnsi="Calibri" w:cs="Calibri"/>
        </w:rPr>
        <w:t xml:space="preserve"> </w:t>
      </w:r>
      <w:hyperlink r:id="rId2" w:history="1">
        <w:r w:rsidRPr="00265683">
          <w:rPr>
            <w:rStyle w:val="Hipervnculo"/>
            <w:rFonts w:ascii="Calibri" w:hAnsi="Calibri" w:cs="Calibri"/>
            <w:u w:val="none"/>
          </w:rPr>
          <w:t>http://stats.labs.apnic.net/ipv6</w:t>
        </w:r>
      </w:hyperlink>
    </w:p>
  </w:footnote>
  <w:footnote w:id="10">
    <w:p w:rsidR="000267D9" w:rsidRPr="00265683" w:rsidRDefault="000267D9" w:rsidP="000267D9">
      <w:pPr>
        <w:pStyle w:val="Textonotapie1"/>
        <w:rPr>
          <w:rFonts w:ascii="Calibri" w:hAnsi="Calibri" w:cs="Calibri"/>
          <w:color w:val="000000"/>
        </w:rPr>
      </w:pPr>
      <w:r w:rsidRPr="00265683">
        <w:rPr>
          <w:rStyle w:val="Refdenotaalpie"/>
          <w:rFonts w:ascii="Calibri" w:hAnsi="Calibri" w:cs="Calibri"/>
          <w:color w:val="000000"/>
        </w:rPr>
        <w:footnoteRef/>
      </w:r>
      <w:r w:rsidRPr="00265683">
        <w:rPr>
          <w:rFonts w:ascii="Calibri" w:hAnsi="Calibri" w:cs="Calibri"/>
          <w:color w:val="000000"/>
        </w:rPr>
        <w:t xml:space="preserve"> </w:t>
      </w:r>
      <w:hyperlink r:id="rId3" w:history="1">
        <w:r w:rsidRPr="00265683">
          <w:rPr>
            <w:rStyle w:val="Hipervnculo"/>
            <w:rFonts w:ascii="Calibri" w:hAnsi="Calibri" w:cs="Calibri"/>
            <w:color w:val="000000"/>
            <w:u w:val="none"/>
          </w:rPr>
          <w:t>https://www.google.com/intl/en/ipv6/statistics.html</w:t>
        </w:r>
      </w:hyperlink>
    </w:p>
  </w:footnote>
  <w:footnote w:id="11">
    <w:p w:rsidR="000267D9" w:rsidRPr="008D3B24" w:rsidRDefault="000267D9" w:rsidP="000267D9">
      <w:pPr>
        <w:pStyle w:val="Textonotapie1"/>
        <w:rPr>
          <w:rFonts w:ascii="Calibri" w:hAnsi="Calibri" w:cs="Calibri"/>
        </w:rPr>
      </w:pPr>
      <w:r w:rsidRPr="00265683">
        <w:rPr>
          <w:rStyle w:val="Refdenotaalpie"/>
          <w:rFonts w:ascii="Calibri" w:hAnsi="Calibri" w:cs="Calibri"/>
          <w:color w:val="000000"/>
        </w:rPr>
        <w:footnoteRef/>
      </w:r>
      <w:r w:rsidRPr="00265683">
        <w:rPr>
          <w:rFonts w:ascii="Calibri" w:hAnsi="Calibri" w:cs="Calibri"/>
          <w:color w:val="000000"/>
        </w:rPr>
        <w:t xml:space="preserve"> </w:t>
      </w:r>
      <w:hyperlink r:id="rId4" w:history="1">
        <w:r w:rsidRPr="00265683">
          <w:rPr>
            <w:rStyle w:val="Hipervnculo"/>
            <w:rFonts w:ascii="Calibri" w:hAnsi="Calibri" w:cs="Calibri"/>
            <w:color w:val="000000"/>
            <w:u w:val="none"/>
          </w:rPr>
          <w:t>https://6lab.cisco.com/stats/</w:t>
        </w:r>
      </w:hyperlink>
    </w:p>
  </w:footnote>
  <w:footnote w:id="12">
    <w:p w:rsidR="000267D9" w:rsidRPr="00BE45A8" w:rsidRDefault="000267D9" w:rsidP="00447A55">
      <w:pPr>
        <w:pStyle w:val="Textonotapie1"/>
        <w:jc w:val="both"/>
        <w:rPr>
          <w:lang w:val="es-MX"/>
        </w:rPr>
      </w:pPr>
      <w:r w:rsidRPr="008D3B24">
        <w:rPr>
          <w:rStyle w:val="Refdenotaalpie"/>
          <w:rFonts w:ascii="Calibri" w:hAnsi="Calibri" w:cs="Calibri"/>
        </w:rPr>
        <w:footnoteRef/>
      </w:r>
      <w:r w:rsidRPr="00BE45A8">
        <w:rPr>
          <w:rFonts w:ascii="Calibri" w:hAnsi="Calibri" w:cs="Calibri"/>
          <w:lang w:val="es-MX"/>
        </w:rPr>
        <w:t xml:space="preserve"> Recomendación que emite el Consejo Consultivo del Instituto Federal de Telecomunicaciones respecto internet de los objetos (</w:t>
      </w:r>
      <w:proofErr w:type="spellStart"/>
      <w:r w:rsidRPr="00BE45A8">
        <w:rPr>
          <w:rFonts w:ascii="Calibri" w:hAnsi="Calibri" w:cs="Calibri"/>
          <w:lang w:val="es-MX"/>
        </w:rPr>
        <w:t>IoT</w:t>
      </w:r>
      <w:proofErr w:type="spellEnd"/>
      <w:r w:rsidRPr="00BE45A8">
        <w:rPr>
          <w:rFonts w:ascii="Calibri" w:hAnsi="Calibri" w:cs="Calibri"/>
          <w:lang w:val="es-MX"/>
        </w:rPr>
        <w:t>) como aplicación que compromete la implementación de redes IPv6/6LowPAN, disponible en http://consejoconsultivo.ift.org.mx/docs/recomendaciones/Recomendacion-Internet-Objetos.pdf</w:t>
      </w:r>
    </w:p>
  </w:footnote>
  <w:footnote w:id="13">
    <w:p w:rsidR="000267D9" w:rsidRPr="008D3B24" w:rsidRDefault="000267D9" w:rsidP="000267D9">
      <w:pPr>
        <w:pStyle w:val="Textonotapie1"/>
        <w:rPr>
          <w:rFonts w:ascii="Calibri" w:hAnsi="Calibri" w:cs="Calibri"/>
        </w:rPr>
      </w:pPr>
      <w:r w:rsidRPr="008D3B24">
        <w:rPr>
          <w:rStyle w:val="Refdenotaalpie"/>
          <w:rFonts w:ascii="Calibri" w:hAnsi="Calibri" w:cs="Calibri"/>
        </w:rPr>
        <w:footnoteRef/>
      </w:r>
      <w:r w:rsidRPr="008D3B24">
        <w:rPr>
          <w:rFonts w:ascii="Calibri" w:hAnsi="Calibri" w:cs="Calibri"/>
        </w:rPr>
        <w:t xml:space="preserve"> </w:t>
      </w:r>
      <w:proofErr w:type="spellStart"/>
      <w:r w:rsidRPr="008D3B24">
        <w:rPr>
          <w:rFonts w:ascii="Calibri" w:hAnsi="Calibri" w:cs="Calibri"/>
        </w:rPr>
        <w:t>Incluyendo</w:t>
      </w:r>
      <w:proofErr w:type="spellEnd"/>
      <w:r w:rsidRPr="008D3B24">
        <w:rPr>
          <w:rFonts w:ascii="Calibri" w:hAnsi="Calibri" w:cs="Calibri"/>
        </w:rPr>
        <w:t xml:space="preserve"> </w:t>
      </w:r>
      <w:proofErr w:type="spellStart"/>
      <w:r w:rsidRPr="008D3B24">
        <w:rPr>
          <w:rFonts w:ascii="Calibri" w:hAnsi="Calibri" w:cs="Calibri"/>
        </w:rPr>
        <w:t>los</w:t>
      </w:r>
      <w:proofErr w:type="spellEnd"/>
      <w:r w:rsidRPr="008D3B24">
        <w:rPr>
          <w:rFonts w:ascii="Calibri" w:hAnsi="Calibri" w:cs="Calibri"/>
        </w:rPr>
        <w:t xml:space="preserve"> CPE (“customer premises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92" w:rsidRPr="00A955AB" w:rsidRDefault="001329F2" w:rsidP="00A955AB">
    <w:pPr>
      <w:pStyle w:val="Encabezado"/>
      <w:tabs>
        <w:tab w:val="clear" w:pos="4419"/>
        <w:tab w:val="clear" w:pos="8838"/>
        <w:tab w:val="left" w:pos="4035"/>
      </w:tabs>
    </w:pPr>
    <w:r>
      <w:rPr>
        <w:noProof/>
        <w:lang w:val="es-MX" w:eastAsia="es-MX"/>
      </w:rPr>
      <w:drawing>
        <wp:inline distT="0" distB="0" distL="0" distR="0" wp14:anchorId="2FEF6638">
          <wp:extent cx="3657600" cy="8540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267" cy="8603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5B"/>
    <w:multiLevelType w:val="hybridMultilevel"/>
    <w:tmpl w:val="A07A1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A5362"/>
    <w:multiLevelType w:val="hybridMultilevel"/>
    <w:tmpl w:val="D9BA6846"/>
    <w:lvl w:ilvl="0" w:tplc="A8683E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00B3A8B"/>
    <w:multiLevelType w:val="hybridMultilevel"/>
    <w:tmpl w:val="2750AEB2"/>
    <w:styleLink w:val="Estiloimportado2"/>
    <w:lvl w:ilvl="0" w:tplc="75BC405A">
      <w:start w:val="1"/>
      <w:numFmt w:val="decimal"/>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8A809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9C8C22">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86806E6E">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D21AC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0F0C99E">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44D408F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3D623AE">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212FDA2">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587B6A"/>
    <w:multiLevelType w:val="hybridMultilevel"/>
    <w:tmpl w:val="2750AEB2"/>
    <w:numStyleLink w:val="Estiloimportado2"/>
  </w:abstractNum>
  <w:abstractNum w:abstractNumId="4" w15:restartNumberingAfterBreak="0">
    <w:nsid w:val="30FD24A3"/>
    <w:multiLevelType w:val="hybridMultilevel"/>
    <w:tmpl w:val="6EA2B5EA"/>
    <w:styleLink w:val="Vieta"/>
    <w:lvl w:ilvl="0" w:tplc="786ADD2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81B43E0C">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B8C02380">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7420096">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B124515A">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70840E46">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9F4232A">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A7EF602">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37E5C68">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5" w15:restartNumberingAfterBreak="0">
    <w:nsid w:val="4AD63DCC"/>
    <w:multiLevelType w:val="hybridMultilevel"/>
    <w:tmpl w:val="BF1C4DDA"/>
    <w:numStyleLink w:val="Estiloimportado1"/>
  </w:abstractNum>
  <w:abstractNum w:abstractNumId="6" w15:restartNumberingAfterBreak="0">
    <w:nsid w:val="4DF278EE"/>
    <w:multiLevelType w:val="hybridMultilevel"/>
    <w:tmpl w:val="5D9223E0"/>
    <w:lvl w:ilvl="0" w:tplc="080A0019">
      <w:start w:val="1"/>
      <w:numFmt w:val="lowerLetter"/>
      <w:lvlText w:val="%1."/>
      <w:lvlJc w:val="left"/>
      <w:pPr>
        <w:ind w:left="1407" w:hanging="327"/>
      </w:pPr>
      <w:rPr>
        <w:caps w:val="0"/>
        <w:smallCaps w:val="0"/>
        <w:strike w:val="0"/>
        <w:dstrike w:val="0"/>
        <w:outline w:val="0"/>
        <w:emboss w:val="0"/>
        <w:imprint w:val="0"/>
        <w:spacing w:val="0"/>
        <w:w w:val="100"/>
        <w:kern w:val="0"/>
        <w:position w:val="0"/>
        <w:highlight w:val="none"/>
        <w:vertAlign w:val="baseline"/>
      </w:rPr>
    </w:lvl>
    <w:lvl w:ilvl="1" w:tplc="3E8E5EF4">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C743CE8">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E614268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D8AD7D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E0CCC0">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92BC9BC0">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3CC8B42">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3442D00">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8FA2A79"/>
    <w:multiLevelType w:val="hybridMultilevel"/>
    <w:tmpl w:val="6EA2B5EA"/>
    <w:numStyleLink w:val="Vieta"/>
  </w:abstractNum>
  <w:abstractNum w:abstractNumId="8" w15:restartNumberingAfterBreak="0">
    <w:nsid w:val="6FA02E46"/>
    <w:multiLevelType w:val="hybridMultilevel"/>
    <w:tmpl w:val="4E3CE3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C227297"/>
    <w:multiLevelType w:val="hybridMultilevel"/>
    <w:tmpl w:val="BF1C4DDA"/>
    <w:styleLink w:val="Estiloimportado1"/>
    <w:lvl w:ilvl="0" w:tplc="FBCE9646">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548881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3EED66A">
      <w:start w:val="1"/>
      <w:numFmt w:val="lowerRoman"/>
      <w:lvlText w:val="%3."/>
      <w:lvlJc w:val="left"/>
      <w:pPr>
        <w:ind w:left="211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5BF084C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B0445C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E2C8118">
      <w:start w:val="1"/>
      <w:numFmt w:val="lowerRoman"/>
      <w:lvlText w:val="%6."/>
      <w:lvlJc w:val="left"/>
      <w:pPr>
        <w:ind w:left="427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6AA1EB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800ED78">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D861AA">
      <w:start w:val="1"/>
      <w:numFmt w:val="lowerRoman"/>
      <w:lvlText w:val="%9."/>
      <w:lvlJc w:val="left"/>
      <w:pPr>
        <w:ind w:left="6438" w:hanging="4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7"/>
  </w:num>
  <w:num w:numId="3">
    <w:abstractNumId w:val="9"/>
  </w:num>
  <w:num w:numId="4">
    <w:abstractNumId w:val="5"/>
  </w:num>
  <w:num w:numId="5">
    <w:abstractNumId w:val="2"/>
  </w:num>
  <w:num w:numId="6">
    <w:abstractNumId w:val="3"/>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267D9"/>
    <w:rsid w:val="000A31C5"/>
    <w:rsid w:val="00113679"/>
    <w:rsid w:val="001329F2"/>
    <w:rsid w:val="001348EB"/>
    <w:rsid w:val="00143D77"/>
    <w:rsid w:val="00160992"/>
    <w:rsid w:val="001B53D7"/>
    <w:rsid w:val="001E359E"/>
    <w:rsid w:val="0023651C"/>
    <w:rsid w:val="00245467"/>
    <w:rsid w:val="00265683"/>
    <w:rsid w:val="002B5621"/>
    <w:rsid w:val="002C7889"/>
    <w:rsid w:val="00324D4D"/>
    <w:rsid w:val="003719F4"/>
    <w:rsid w:val="003F26FB"/>
    <w:rsid w:val="003F66A8"/>
    <w:rsid w:val="00447A55"/>
    <w:rsid w:val="004560A5"/>
    <w:rsid w:val="004663AC"/>
    <w:rsid w:val="00486174"/>
    <w:rsid w:val="0049516A"/>
    <w:rsid w:val="004A2315"/>
    <w:rsid w:val="005B4740"/>
    <w:rsid w:val="005C2C90"/>
    <w:rsid w:val="005C6C7F"/>
    <w:rsid w:val="006322D7"/>
    <w:rsid w:val="00646CDB"/>
    <w:rsid w:val="006B577A"/>
    <w:rsid w:val="006E0F55"/>
    <w:rsid w:val="006E6A6C"/>
    <w:rsid w:val="006F3C9E"/>
    <w:rsid w:val="0077036B"/>
    <w:rsid w:val="00782022"/>
    <w:rsid w:val="00802138"/>
    <w:rsid w:val="00803239"/>
    <w:rsid w:val="008439EC"/>
    <w:rsid w:val="008C61A3"/>
    <w:rsid w:val="008D3B24"/>
    <w:rsid w:val="008F4C1A"/>
    <w:rsid w:val="00967293"/>
    <w:rsid w:val="009821BB"/>
    <w:rsid w:val="00A10718"/>
    <w:rsid w:val="00A42320"/>
    <w:rsid w:val="00A57DB5"/>
    <w:rsid w:val="00A76434"/>
    <w:rsid w:val="00A955AB"/>
    <w:rsid w:val="00AB4947"/>
    <w:rsid w:val="00AB49B0"/>
    <w:rsid w:val="00AE31BE"/>
    <w:rsid w:val="00B01B32"/>
    <w:rsid w:val="00B26B29"/>
    <w:rsid w:val="00B5173A"/>
    <w:rsid w:val="00B65DA5"/>
    <w:rsid w:val="00B83A00"/>
    <w:rsid w:val="00BE45A8"/>
    <w:rsid w:val="00C60CBA"/>
    <w:rsid w:val="00CF2785"/>
    <w:rsid w:val="00CF4860"/>
    <w:rsid w:val="00D23478"/>
    <w:rsid w:val="00D27021"/>
    <w:rsid w:val="00D329A2"/>
    <w:rsid w:val="00D505DB"/>
    <w:rsid w:val="00D5399A"/>
    <w:rsid w:val="00D67324"/>
    <w:rsid w:val="00D67F10"/>
    <w:rsid w:val="00D71C1D"/>
    <w:rsid w:val="00E04FA7"/>
    <w:rsid w:val="00E546DB"/>
    <w:rsid w:val="00F35339"/>
    <w:rsid w:val="00F4263D"/>
    <w:rsid w:val="00F81A03"/>
    <w:rsid w:val="00FB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52AC"/>
  <w15:docId w15:val="{3DA10B9C-49BE-0941-9282-D6B350C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B65DA5"/>
    <w:pPr>
      <w:keepNext/>
      <w:keepLines/>
      <w:spacing w:before="240"/>
      <w:outlineLvl w:val="0"/>
    </w:pPr>
    <w:rPr>
      <w:rFonts w:asciiTheme="majorHAnsi" w:eastAsiaTheme="majorEastAsia" w:hAnsiTheme="majorHAnsi" w:cstheme="majorBidi"/>
      <w:color w:val="4C96AD" w:themeColor="accent1" w:themeShade="BF"/>
      <w:sz w:val="32"/>
      <w:szCs w:val="32"/>
    </w:rPr>
  </w:style>
  <w:style w:type="paragraph" w:styleId="Ttulo2">
    <w:name w:val="heading 2"/>
    <w:basedOn w:val="Normal"/>
    <w:next w:val="Normal"/>
    <w:link w:val="Ttulo2Car"/>
    <w:uiPriority w:val="9"/>
    <w:unhideWhenUsed/>
    <w:qFormat/>
    <w:rsid w:val="00B65DA5"/>
    <w:pPr>
      <w:keepNext/>
      <w:keepLines/>
      <w:spacing w:before="40"/>
      <w:outlineLvl w:val="1"/>
    </w:pPr>
    <w:rPr>
      <w:rFonts w:asciiTheme="majorHAnsi" w:eastAsiaTheme="majorEastAsia" w:hAnsiTheme="majorHAnsi" w:cstheme="majorBidi"/>
      <w:color w:val="4C96AD" w:themeColor="accent1" w:themeShade="BF"/>
      <w:sz w:val="26"/>
      <w:szCs w:val="26"/>
    </w:rPr>
  </w:style>
  <w:style w:type="paragraph" w:styleId="Ttulo3">
    <w:name w:val="heading 3"/>
    <w:basedOn w:val="Normal"/>
    <w:next w:val="Normal"/>
    <w:link w:val="Ttulo3Car"/>
    <w:uiPriority w:val="9"/>
    <w:unhideWhenUsed/>
    <w:qFormat/>
    <w:rsid w:val="00B65DA5"/>
    <w:pPr>
      <w:keepNext/>
      <w:keepLines/>
      <w:spacing w:before="40"/>
      <w:outlineLvl w:val="2"/>
    </w:pPr>
    <w:rPr>
      <w:rFonts w:asciiTheme="majorHAnsi" w:eastAsiaTheme="majorEastAsia" w:hAnsiTheme="majorHAnsi" w:cstheme="majorBidi"/>
      <w:color w:val="33647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spacing w:line="288" w:lineRule="auto"/>
    </w:pPr>
    <w:rPr>
      <w:rFonts w:ascii="Helvetica Neue Medium" w:hAnsi="Helvetica Neue Medium" w:cs="Arial Unicode MS"/>
      <w:color w:val="5F5F5F"/>
    </w:rPr>
  </w:style>
  <w:style w:type="paragraph" w:customStyle="1" w:styleId="Ttulo10">
    <w:name w:val="Título1"/>
    <w:next w:val="Cuerpo2"/>
    <w:pPr>
      <w:keepNext/>
      <w:spacing w:line="288" w:lineRule="auto"/>
    </w:pPr>
    <w:rPr>
      <w:rFonts w:ascii="Helvetica Neue UltraLight" w:hAnsi="Helvetica Neue UltraLight" w:cs="Arial Unicode MS"/>
      <w:color w:val="000000"/>
      <w:spacing w:val="16"/>
      <w:sz w:val="56"/>
      <w:szCs w:val="56"/>
      <w:lang w:val="es-ES_tradnl"/>
    </w:rPr>
  </w:style>
  <w:style w:type="paragraph" w:customStyle="1" w:styleId="Cuerpo2">
    <w:name w:val="Cuerpo 2"/>
    <w:pPr>
      <w:suppressAutoHyphens/>
      <w:spacing w:after="180" w:line="288" w:lineRule="auto"/>
    </w:pPr>
    <w:rPr>
      <w:rFonts w:ascii="Helvetica Neue Light" w:hAnsi="Helvetica Neue Light" w:cs="Arial Unicode MS"/>
      <w:color w:val="000000"/>
      <w:lang w:val="es-ES_tradnl"/>
    </w:rPr>
  </w:style>
  <w:style w:type="paragraph" w:customStyle="1" w:styleId="Cuerpo">
    <w:name w:val="Cuerpo"/>
    <w:pPr>
      <w:spacing w:line="312" w:lineRule="auto"/>
    </w:pPr>
    <w:rPr>
      <w:rFonts w:ascii="Helvetica Neue Light" w:hAnsi="Helvetica Neue Light" w:cs="Arial Unicode MS"/>
      <w:color w:val="000000"/>
      <w:lang w:val="es-ES_tradnl"/>
    </w:rPr>
  </w:style>
  <w:style w:type="paragraph" w:customStyle="1" w:styleId="Encabezamiento">
    <w:name w:val="Encabezamiento"/>
    <w:next w:val="Cuerpo2"/>
    <w:pPr>
      <w:outlineLvl w:val="0"/>
    </w:pPr>
    <w:rPr>
      <w:rFonts w:ascii="Helvetica Neue Light" w:hAnsi="Helvetica Neue Light" w:cs="Arial Unicode MS"/>
      <w:caps/>
      <w:color w:val="434343"/>
      <w:spacing w:val="7"/>
      <w:sz w:val="36"/>
      <w:szCs w:val="36"/>
      <w:lang w:val="de-DE"/>
    </w:rPr>
  </w:style>
  <w:style w:type="paragraph" w:customStyle="1" w:styleId="Encabezamiento2">
    <w:name w:val="Encabezamiento 2"/>
    <w:next w:val="Cuerpo2"/>
    <w:pPr>
      <w:spacing w:before="200" w:after="140"/>
      <w:outlineLvl w:val="1"/>
    </w:pPr>
    <w:rPr>
      <w:rFonts w:ascii="Helvetica Neue" w:eastAsia="Helvetica Neue" w:hAnsi="Helvetica Neue" w:cs="Helvetica Neue"/>
      <w:b/>
      <w:bCs/>
      <w:color w:val="357CA2"/>
      <w:sz w:val="22"/>
      <w:szCs w:val="22"/>
    </w:rPr>
  </w:style>
  <w:style w:type="paragraph" w:customStyle="1" w:styleId="Formatolibre">
    <w:name w:val="Formato libre"/>
    <w:rPr>
      <w:rFonts w:ascii="Helvetica Neue Light" w:eastAsia="Helvetica Neue Light" w:hAnsi="Helvetica Neue Light" w:cs="Helvetica Neue Light"/>
      <w:color w:val="000000"/>
    </w:rPr>
  </w:style>
  <w:style w:type="character" w:customStyle="1" w:styleId="Ninguno">
    <w:name w:val="Ninguno"/>
  </w:style>
  <w:style w:type="numbering" w:customStyle="1" w:styleId="Vieta">
    <w:name w:val="Viñeta"/>
    <w:pPr>
      <w:numPr>
        <w:numId w:val="1"/>
      </w:numPr>
    </w:pPr>
  </w:style>
  <w:style w:type="numbering" w:customStyle="1" w:styleId="Estiloimportado1">
    <w:name w:val="Estilo importado 1"/>
    <w:pPr>
      <w:numPr>
        <w:numId w:val="3"/>
      </w:numPr>
    </w:p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A955AB"/>
    <w:pPr>
      <w:tabs>
        <w:tab w:val="center" w:pos="4419"/>
        <w:tab w:val="right" w:pos="8838"/>
      </w:tabs>
    </w:pPr>
  </w:style>
  <w:style w:type="character" w:customStyle="1" w:styleId="EncabezadoCar">
    <w:name w:val="Encabezado Car"/>
    <w:basedOn w:val="Fuentedeprrafopredeter"/>
    <w:link w:val="Encabezado"/>
    <w:uiPriority w:val="99"/>
    <w:rsid w:val="00A955AB"/>
    <w:rPr>
      <w:sz w:val="24"/>
      <w:szCs w:val="24"/>
    </w:rPr>
  </w:style>
  <w:style w:type="paragraph" w:styleId="Piedepgina">
    <w:name w:val="footer"/>
    <w:basedOn w:val="Normal"/>
    <w:link w:val="PiedepginaCar"/>
    <w:uiPriority w:val="99"/>
    <w:unhideWhenUsed/>
    <w:rsid w:val="00A955AB"/>
    <w:pPr>
      <w:tabs>
        <w:tab w:val="center" w:pos="4419"/>
        <w:tab w:val="right" w:pos="8838"/>
      </w:tabs>
    </w:pPr>
  </w:style>
  <w:style w:type="character" w:customStyle="1" w:styleId="PiedepginaCar">
    <w:name w:val="Pie de página Car"/>
    <w:basedOn w:val="Fuentedeprrafopredeter"/>
    <w:link w:val="Piedepgina"/>
    <w:uiPriority w:val="99"/>
    <w:rsid w:val="00A955AB"/>
    <w:rPr>
      <w:sz w:val="24"/>
      <w:szCs w:val="24"/>
    </w:rPr>
  </w:style>
  <w:style w:type="character" w:customStyle="1" w:styleId="Ttulo1Car">
    <w:name w:val="Título 1 Car"/>
    <w:basedOn w:val="Fuentedeprrafopredeter"/>
    <w:link w:val="Ttulo1"/>
    <w:uiPriority w:val="9"/>
    <w:rsid w:val="00B65DA5"/>
    <w:rPr>
      <w:rFonts w:asciiTheme="majorHAnsi" w:eastAsiaTheme="majorEastAsia" w:hAnsiTheme="majorHAnsi" w:cstheme="majorBidi"/>
      <w:color w:val="4C96AD" w:themeColor="accent1" w:themeShade="BF"/>
      <w:sz w:val="32"/>
      <w:szCs w:val="32"/>
    </w:rPr>
  </w:style>
  <w:style w:type="character" w:customStyle="1" w:styleId="Ttulo2Car">
    <w:name w:val="Título 2 Car"/>
    <w:basedOn w:val="Fuentedeprrafopredeter"/>
    <w:link w:val="Ttulo2"/>
    <w:uiPriority w:val="9"/>
    <w:rsid w:val="00B65DA5"/>
    <w:rPr>
      <w:rFonts w:asciiTheme="majorHAnsi" w:eastAsiaTheme="majorEastAsia" w:hAnsiTheme="majorHAnsi" w:cstheme="majorBidi"/>
      <w:color w:val="4C96AD" w:themeColor="accent1" w:themeShade="BF"/>
      <w:sz w:val="26"/>
      <w:szCs w:val="26"/>
    </w:rPr>
  </w:style>
  <w:style w:type="character" w:customStyle="1" w:styleId="Ttulo3Car">
    <w:name w:val="Título 3 Car"/>
    <w:basedOn w:val="Fuentedeprrafopredeter"/>
    <w:link w:val="Ttulo3"/>
    <w:uiPriority w:val="9"/>
    <w:rsid w:val="00B65DA5"/>
    <w:rPr>
      <w:rFonts w:asciiTheme="majorHAnsi" w:eastAsiaTheme="majorEastAsia" w:hAnsiTheme="majorHAnsi" w:cstheme="majorBidi"/>
      <w:color w:val="336473" w:themeColor="accent1" w:themeShade="7F"/>
      <w:sz w:val="24"/>
      <w:szCs w:val="24"/>
    </w:rPr>
  </w:style>
  <w:style w:type="table" w:styleId="Tablaconcuadrcula">
    <w:name w:val="Table Grid"/>
    <w:basedOn w:val="Tablanormal"/>
    <w:uiPriority w:val="39"/>
    <w:rsid w:val="008C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267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rPr>
  </w:style>
  <w:style w:type="character" w:customStyle="1" w:styleId="TextonotapieCar">
    <w:name w:val="Texto nota pie Car"/>
    <w:basedOn w:val="Fuentedeprrafopredeter"/>
    <w:link w:val="Textonotapie1"/>
    <w:uiPriority w:val="99"/>
    <w:semiHidden/>
    <w:rsid w:val="000267D9"/>
    <w:rPr>
      <w:sz w:val="20"/>
      <w:szCs w:val="20"/>
    </w:rPr>
  </w:style>
  <w:style w:type="character" w:styleId="Refdenotaalpie">
    <w:name w:val="footnote reference"/>
    <w:basedOn w:val="Fuentedeprrafopredeter"/>
    <w:uiPriority w:val="99"/>
    <w:semiHidden/>
    <w:unhideWhenUsed/>
    <w:rsid w:val="000267D9"/>
    <w:rPr>
      <w:vertAlign w:val="superscript"/>
    </w:rPr>
  </w:style>
  <w:style w:type="paragraph" w:styleId="Textonotapie">
    <w:name w:val="footnote text"/>
    <w:basedOn w:val="Normal"/>
    <w:link w:val="TextonotapieCar1"/>
    <w:uiPriority w:val="99"/>
    <w:semiHidden/>
    <w:unhideWhenUsed/>
    <w:rsid w:val="000267D9"/>
    <w:rPr>
      <w:sz w:val="20"/>
      <w:szCs w:val="20"/>
    </w:rPr>
  </w:style>
  <w:style w:type="character" w:customStyle="1" w:styleId="TextonotapieCar1">
    <w:name w:val="Texto nota pie Car1"/>
    <w:basedOn w:val="Fuentedeprrafopredeter"/>
    <w:link w:val="Textonotapie"/>
    <w:uiPriority w:val="99"/>
    <w:semiHidden/>
    <w:rsid w:val="000267D9"/>
  </w:style>
  <w:style w:type="paragraph" w:styleId="TtuloTDC">
    <w:name w:val="TOC Heading"/>
    <w:basedOn w:val="Ttulo1"/>
    <w:next w:val="Normal"/>
    <w:uiPriority w:val="39"/>
    <w:unhideWhenUsed/>
    <w:qFormat/>
    <w:rsid w:val="008439E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es-MX" w:eastAsia="es-ES_tradnl"/>
    </w:rPr>
  </w:style>
  <w:style w:type="paragraph" w:styleId="TDC1">
    <w:name w:val="toc 1"/>
    <w:basedOn w:val="Normal"/>
    <w:next w:val="Normal"/>
    <w:autoRedefine/>
    <w:uiPriority w:val="39"/>
    <w:unhideWhenUsed/>
    <w:rsid w:val="008439EC"/>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semiHidden/>
    <w:unhideWhenUsed/>
    <w:rsid w:val="008439EC"/>
    <w:rPr>
      <w:rFonts w:asciiTheme="minorHAnsi" w:hAnsiTheme="minorHAnsi"/>
      <w:b/>
      <w:bCs/>
      <w:smallCaps/>
      <w:sz w:val="22"/>
      <w:szCs w:val="22"/>
    </w:rPr>
  </w:style>
  <w:style w:type="paragraph" w:styleId="TDC3">
    <w:name w:val="toc 3"/>
    <w:basedOn w:val="Normal"/>
    <w:next w:val="Normal"/>
    <w:autoRedefine/>
    <w:uiPriority w:val="39"/>
    <w:semiHidden/>
    <w:unhideWhenUsed/>
    <w:rsid w:val="008439EC"/>
    <w:rPr>
      <w:rFonts w:asciiTheme="minorHAnsi" w:hAnsiTheme="minorHAnsi"/>
      <w:smallCaps/>
      <w:sz w:val="22"/>
      <w:szCs w:val="22"/>
    </w:rPr>
  </w:style>
  <w:style w:type="paragraph" w:styleId="TDC4">
    <w:name w:val="toc 4"/>
    <w:basedOn w:val="Normal"/>
    <w:next w:val="Normal"/>
    <w:autoRedefine/>
    <w:uiPriority w:val="39"/>
    <w:semiHidden/>
    <w:unhideWhenUsed/>
    <w:rsid w:val="008439EC"/>
    <w:rPr>
      <w:rFonts w:asciiTheme="minorHAnsi" w:hAnsiTheme="minorHAnsi"/>
      <w:sz w:val="22"/>
      <w:szCs w:val="22"/>
    </w:rPr>
  </w:style>
  <w:style w:type="paragraph" w:styleId="TDC5">
    <w:name w:val="toc 5"/>
    <w:basedOn w:val="Normal"/>
    <w:next w:val="Normal"/>
    <w:autoRedefine/>
    <w:uiPriority w:val="39"/>
    <w:semiHidden/>
    <w:unhideWhenUsed/>
    <w:rsid w:val="008439EC"/>
    <w:rPr>
      <w:rFonts w:asciiTheme="minorHAnsi" w:hAnsiTheme="minorHAnsi"/>
      <w:sz w:val="22"/>
      <w:szCs w:val="22"/>
    </w:rPr>
  </w:style>
  <w:style w:type="paragraph" w:styleId="TDC6">
    <w:name w:val="toc 6"/>
    <w:basedOn w:val="Normal"/>
    <w:next w:val="Normal"/>
    <w:autoRedefine/>
    <w:uiPriority w:val="39"/>
    <w:semiHidden/>
    <w:unhideWhenUsed/>
    <w:rsid w:val="008439EC"/>
    <w:rPr>
      <w:rFonts w:asciiTheme="minorHAnsi" w:hAnsiTheme="minorHAnsi"/>
      <w:sz w:val="22"/>
      <w:szCs w:val="22"/>
    </w:rPr>
  </w:style>
  <w:style w:type="paragraph" w:styleId="TDC7">
    <w:name w:val="toc 7"/>
    <w:basedOn w:val="Normal"/>
    <w:next w:val="Normal"/>
    <w:autoRedefine/>
    <w:uiPriority w:val="39"/>
    <w:semiHidden/>
    <w:unhideWhenUsed/>
    <w:rsid w:val="008439EC"/>
    <w:rPr>
      <w:rFonts w:asciiTheme="minorHAnsi" w:hAnsiTheme="minorHAnsi"/>
      <w:sz w:val="22"/>
      <w:szCs w:val="22"/>
    </w:rPr>
  </w:style>
  <w:style w:type="paragraph" w:styleId="TDC8">
    <w:name w:val="toc 8"/>
    <w:basedOn w:val="Normal"/>
    <w:next w:val="Normal"/>
    <w:autoRedefine/>
    <w:uiPriority w:val="39"/>
    <w:semiHidden/>
    <w:unhideWhenUsed/>
    <w:rsid w:val="008439EC"/>
    <w:rPr>
      <w:rFonts w:asciiTheme="minorHAnsi" w:hAnsiTheme="minorHAnsi"/>
      <w:sz w:val="22"/>
      <w:szCs w:val="22"/>
    </w:rPr>
  </w:style>
  <w:style w:type="paragraph" w:styleId="TDC9">
    <w:name w:val="toc 9"/>
    <w:basedOn w:val="Normal"/>
    <w:next w:val="Normal"/>
    <w:autoRedefine/>
    <w:uiPriority w:val="39"/>
    <w:semiHidden/>
    <w:unhideWhenUsed/>
    <w:rsid w:val="008439EC"/>
    <w:rPr>
      <w:rFonts w:asciiTheme="minorHAnsi" w:hAnsiTheme="minorHAnsi"/>
      <w:sz w:val="22"/>
      <w:szCs w:val="22"/>
    </w:rPr>
  </w:style>
  <w:style w:type="paragraph" w:styleId="Prrafodelista">
    <w:name w:val="List Paragraph"/>
    <w:basedOn w:val="Normal"/>
    <w:uiPriority w:val="34"/>
    <w:qFormat/>
    <w:rsid w:val="008439EC"/>
    <w:pPr>
      <w:ind w:left="720"/>
      <w:contextualSpacing/>
    </w:pPr>
  </w:style>
  <w:style w:type="paragraph" w:styleId="Textodeglobo">
    <w:name w:val="Balloon Text"/>
    <w:basedOn w:val="Normal"/>
    <w:link w:val="TextodegloboCar"/>
    <w:uiPriority w:val="99"/>
    <w:semiHidden/>
    <w:unhideWhenUsed/>
    <w:rsid w:val="003719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intl/en/ipv6/statistics.html" TargetMode="External"/><Relationship Id="rId2" Type="http://schemas.openxmlformats.org/officeDocument/2006/relationships/hyperlink" Target="http://stats.labs.apnic.net/ipv6" TargetMode="External"/><Relationship Id="rId1" Type="http://schemas.openxmlformats.org/officeDocument/2006/relationships/hyperlink" Target="http://ipv6.ift.org.mx" TargetMode="External"/><Relationship Id="rId4" Type="http://schemas.openxmlformats.org/officeDocument/2006/relationships/hyperlink" Target="https://6lab.cisco.com/sta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9E0C-954A-48C4-9577-CDAE47E4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8707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FUNCO</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Yaratzet Funes Lopez</dc:creator>
  <cp:lastModifiedBy>Arlene Ameneyro Tapia</cp:lastModifiedBy>
  <cp:revision>3</cp:revision>
  <cp:lastPrinted>2019-07-30T22:31:00Z</cp:lastPrinted>
  <dcterms:created xsi:type="dcterms:W3CDTF">2019-07-30T23:21:00Z</dcterms:created>
  <dcterms:modified xsi:type="dcterms:W3CDTF">2019-08-01T22:13:00Z</dcterms:modified>
</cp:coreProperties>
</file>