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s-ES"/>
        </w:rPr>
        <w:id w:val="-1753423405"/>
        <w:docPartObj>
          <w:docPartGallery w:val="Table of Contents"/>
          <w:docPartUnique/>
        </w:docPartObj>
      </w:sdtPr>
      <w:sdtEndPr>
        <w:rPr>
          <w:b/>
          <w:bCs/>
        </w:rPr>
      </w:sdtEndPr>
      <w:sdtContent>
        <w:p w:rsidR="00E67401" w:rsidRDefault="00E67401" w:rsidP="00E67401">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Questrial" w:hAnsi="Calibri" w:cs="Calibri"/>
              <w:b/>
              <w:bdr w:val="none" w:sz="0" w:space="0" w:color="auto"/>
              <w:lang w:eastAsia="es-MX"/>
            </w:rPr>
          </w:pPr>
          <w:r w:rsidRPr="007937BF">
            <w:rPr>
              <w:rFonts w:ascii="Calibri" w:eastAsia="Questrial" w:hAnsi="Calibri" w:cs="Calibri"/>
              <w:b/>
              <w:bdr w:val="none" w:sz="0" w:space="0" w:color="auto"/>
              <w:lang w:eastAsia="es-MX"/>
            </w:rPr>
            <w:t>RECOMENDACIÓN QUE EMITE EL CONSEJO CONSULTIVO DEL INSTITUTO FEDERAL DE TELECOMUNICACIONES SOBRE LA IMPORTANCIA DE LA PRONTA ADOPCIÓN DE UNA AGENDA INTEGRAL PARA LA PROMOCIÓN DE LA INNOVACIÓN Y COMPETENCIA EN EL ENTORNO DIGITAL Y QUE IDENTIFICA ACCIONES INMEDIATAS QUE EL INSTITUTO PODRÍA CONSIDERAR PARA EFECTOS DEL IMPULSO, DESARROLLO E IMPLEMENTACIÓN DE LA MISMA.</w:t>
          </w:r>
        </w:p>
        <w:p w:rsidR="00E67401" w:rsidRDefault="00E67401" w:rsidP="00E67401">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Questrial" w:hAnsi="Calibri" w:cs="Calibri"/>
              <w:b/>
              <w:bdr w:val="none" w:sz="0" w:space="0" w:color="auto"/>
              <w:lang w:eastAsia="es-MX"/>
            </w:rPr>
          </w:pPr>
        </w:p>
        <w:p w:rsidR="00CA5F93" w:rsidRPr="00E67401" w:rsidRDefault="00E67401" w:rsidP="00E67401">
          <w:pPr>
            <w:pStyle w:val="TtuloTDC"/>
            <w:jc w:val="center"/>
            <w:rPr>
              <w:rFonts w:ascii="Calibri" w:eastAsia="Questrial" w:hAnsi="Calibri" w:cs="Calibri"/>
              <w:bCs w:val="0"/>
              <w:color w:val="000000"/>
              <w:sz w:val="24"/>
              <w:szCs w:val="24"/>
              <w:lang w:eastAsia="es-MX"/>
            </w:rPr>
          </w:pPr>
          <w:r w:rsidRPr="00E67401">
            <w:rPr>
              <w:rFonts w:ascii="Calibri" w:eastAsia="Questrial" w:hAnsi="Calibri" w:cs="Calibri"/>
              <w:bCs w:val="0"/>
              <w:color w:val="000000"/>
              <w:sz w:val="24"/>
              <w:szCs w:val="24"/>
              <w:lang w:eastAsia="es-MX"/>
            </w:rPr>
            <w:t>Índice</w:t>
          </w:r>
        </w:p>
        <w:p w:rsidR="00CA5F93" w:rsidRDefault="00CA5F93">
          <w:pPr>
            <w:pStyle w:val="TDC1"/>
            <w:rPr>
              <w:rFonts w:asciiTheme="minorHAnsi" w:eastAsiaTheme="minorEastAsia" w:hAnsiTheme="minorHAnsi" w:cstheme="minorBidi"/>
              <w:bCs w:val="0"/>
              <w:noProof/>
              <w:sz w:val="22"/>
              <w:bdr w:val="none" w:sz="0" w:space="0" w:color="auto"/>
              <w:lang w:eastAsia="es-MX"/>
            </w:rPr>
          </w:pPr>
          <w:r>
            <w:fldChar w:fldCharType="begin"/>
          </w:r>
          <w:r>
            <w:instrText xml:space="preserve"> TOC \o "1-3" \h \z \u </w:instrText>
          </w:r>
          <w:r>
            <w:fldChar w:fldCharType="separate"/>
          </w:r>
          <w:hyperlink w:anchor="_Toc17798003" w:history="1">
            <w:r w:rsidRPr="00F100FF">
              <w:rPr>
                <w:rStyle w:val="Hipervnculo"/>
                <w:rFonts w:eastAsia="Questrial" w:cs="Calibri"/>
                <w:b/>
                <w:noProof/>
                <w:lang w:eastAsia="es-MX"/>
              </w:rPr>
              <w:t>I.</w:t>
            </w:r>
            <w:r>
              <w:rPr>
                <w:rFonts w:asciiTheme="minorHAnsi" w:eastAsiaTheme="minorEastAsia" w:hAnsiTheme="minorHAnsi" w:cstheme="minorBidi"/>
                <w:bCs w:val="0"/>
                <w:noProof/>
                <w:sz w:val="22"/>
                <w:bdr w:val="none" w:sz="0" w:space="0" w:color="auto"/>
                <w:lang w:eastAsia="es-MX"/>
              </w:rPr>
              <w:tab/>
            </w:r>
            <w:r w:rsidRPr="00F100FF">
              <w:rPr>
                <w:rStyle w:val="Hipervnculo"/>
                <w:rFonts w:eastAsia="Questrial" w:cs="Calibri"/>
                <w:b/>
                <w:noProof/>
                <w:lang w:eastAsia="es-MX"/>
              </w:rPr>
              <w:t>Contexto</w:t>
            </w:r>
            <w:r>
              <w:rPr>
                <w:noProof/>
                <w:webHidden/>
              </w:rPr>
              <w:tab/>
            </w:r>
            <w:r>
              <w:rPr>
                <w:noProof/>
                <w:webHidden/>
              </w:rPr>
              <w:fldChar w:fldCharType="begin"/>
            </w:r>
            <w:r>
              <w:rPr>
                <w:noProof/>
                <w:webHidden/>
              </w:rPr>
              <w:instrText xml:space="preserve"> PAGEREF _Toc17798003 \h </w:instrText>
            </w:r>
            <w:r>
              <w:rPr>
                <w:noProof/>
                <w:webHidden/>
              </w:rPr>
            </w:r>
            <w:r>
              <w:rPr>
                <w:noProof/>
                <w:webHidden/>
              </w:rPr>
              <w:fldChar w:fldCharType="separate"/>
            </w:r>
            <w:r w:rsidR="007E16AD">
              <w:rPr>
                <w:noProof/>
                <w:webHidden/>
              </w:rPr>
              <w:t>1</w:t>
            </w:r>
            <w:r>
              <w:rPr>
                <w:noProof/>
                <w:webHidden/>
              </w:rPr>
              <w:fldChar w:fldCharType="end"/>
            </w:r>
          </w:hyperlink>
        </w:p>
        <w:p w:rsidR="00CA5F93" w:rsidRPr="00E67401" w:rsidRDefault="009E1A9D" w:rsidP="00356957">
          <w:pPr>
            <w:pStyle w:val="TDC2"/>
            <w:ind w:left="388"/>
            <w:rPr>
              <w:rFonts w:asciiTheme="minorHAnsi" w:eastAsiaTheme="minorEastAsia" w:hAnsiTheme="minorHAnsi" w:cstheme="minorBidi"/>
              <w:sz w:val="22"/>
              <w:bdr w:val="none" w:sz="0" w:space="0" w:color="auto"/>
            </w:rPr>
          </w:pPr>
          <w:hyperlink w:anchor="_Toc17798004" w:history="1">
            <w:r w:rsidR="00CA5F93" w:rsidRPr="00E67401">
              <w:rPr>
                <w:rStyle w:val="Hipervnculo"/>
                <w:b/>
                <w:smallCaps w:val="0"/>
              </w:rPr>
              <w:t>a.</w:t>
            </w:r>
            <w:r w:rsidR="00E67401">
              <w:rPr>
                <w:rStyle w:val="Hipervnculo"/>
                <w:b/>
              </w:rPr>
              <w:t xml:space="preserve"> </w:t>
            </w:r>
            <w:r w:rsidR="00CA5F93" w:rsidRPr="00E67401">
              <w:rPr>
                <w:rStyle w:val="Hipervnculo"/>
                <w:b/>
                <w:smallCaps w:val="0"/>
              </w:rPr>
              <w:t>Consideraciones respecto a los elementos básicos del entorno digital y la importancia de una visión integral en México</w:t>
            </w:r>
            <w:r w:rsidR="00CA5F93" w:rsidRPr="00E67401">
              <w:rPr>
                <w:webHidden/>
              </w:rPr>
              <w:tab/>
            </w:r>
            <w:r w:rsidR="00CA5F93" w:rsidRPr="00E67401">
              <w:rPr>
                <w:webHidden/>
              </w:rPr>
              <w:fldChar w:fldCharType="begin"/>
            </w:r>
            <w:r w:rsidR="00CA5F93" w:rsidRPr="00E67401">
              <w:rPr>
                <w:webHidden/>
              </w:rPr>
              <w:instrText xml:space="preserve"> PAGEREF _Toc17798004 \h </w:instrText>
            </w:r>
            <w:r w:rsidR="00CA5F93" w:rsidRPr="00E67401">
              <w:rPr>
                <w:webHidden/>
              </w:rPr>
            </w:r>
            <w:r w:rsidR="00CA5F93" w:rsidRPr="00E67401">
              <w:rPr>
                <w:webHidden/>
              </w:rPr>
              <w:fldChar w:fldCharType="separate"/>
            </w:r>
            <w:r w:rsidR="007E16AD">
              <w:rPr>
                <w:webHidden/>
              </w:rPr>
              <w:t>4</w:t>
            </w:r>
            <w:r w:rsidR="00CA5F93" w:rsidRPr="00E67401">
              <w:rPr>
                <w:webHidden/>
              </w:rPr>
              <w:fldChar w:fldCharType="end"/>
            </w:r>
          </w:hyperlink>
        </w:p>
        <w:p w:rsidR="00CA5F93" w:rsidRDefault="00E67401">
          <w:pPr>
            <w:pStyle w:val="TDC1"/>
            <w:rPr>
              <w:rFonts w:asciiTheme="minorHAnsi" w:eastAsiaTheme="minorEastAsia" w:hAnsiTheme="minorHAnsi" w:cstheme="minorBidi"/>
              <w:bCs w:val="0"/>
              <w:noProof/>
              <w:sz w:val="22"/>
              <w:bdr w:val="none" w:sz="0" w:space="0" w:color="auto"/>
              <w:lang w:eastAsia="es-MX"/>
            </w:rPr>
          </w:pPr>
          <w:r>
            <w:rPr>
              <w:rStyle w:val="Hipervnculo"/>
              <w:noProof/>
              <w:u w:val="none"/>
            </w:rPr>
            <w:tab/>
          </w:r>
          <w:hyperlink w:anchor="_Toc17798005" w:history="1">
            <w:r w:rsidR="00CA5F93" w:rsidRPr="00F100FF">
              <w:rPr>
                <w:rStyle w:val="Hipervnculo"/>
                <w:rFonts w:eastAsia="Questrial" w:cs="Calibri"/>
                <w:b/>
                <w:noProof/>
                <w:lang w:eastAsia="es-MX"/>
              </w:rPr>
              <w:t>b.</w:t>
            </w:r>
            <w:r>
              <w:rPr>
                <w:rFonts w:asciiTheme="minorHAnsi" w:eastAsiaTheme="minorEastAsia" w:hAnsiTheme="minorHAnsi" w:cstheme="minorBidi"/>
                <w:bCs w:val="0"/>
                <w:noProof/>
                <w:sz w:val="22"/>
                <w:bdr w:val="none" w:sz="0" w:space="0" w:color="auto"/>
                <w:lang w:eastAsia="es-MX"/>
              </w:rPr>
              <w:t xml:space="preserve"> </w:t>
            </w:r>
            <w:r w:rsidR="00CA5F93" w:rsidRPr="00F100FF">
              <w:rPr>
                <w:rStyle w:val="Hipervnculo"/>
                <w:rFonts w:eastAsia="Questrial" w:cs="Calibri"/>
                <w:b/>
                <w:noProof/>
                <w:lang w:eastAsia="es-MX"/>
              </w:rPr>
              <w:t>Consideraciones legales respecto de las facultades de IFT</w:t>
            </w:r>
            <w:r w:rsidR="00CA5F93">
              <w:rPr>
                <w:noProof/>
                <w:webHidden/>
              </w:rPr>
              <w:tab/>
            </w:r>
            <w:r w:rsidR="00CA5F93">
              <w:rPr>
                <w:noProof/>
                <w:webHidden/>
              </w:rPr>
              <w:fldChar w:fldCharType="begin"/>
            </w:r>
            <w:r w:rsidR="00CA5F93">
              <w:rPr>
                <w:noProof/>
                <w:webHidden/>
              </w:rPr>
              <w:instrText xml:space="preserve"> PAGEREF _Toc17798005 \h </w:instrText>
            </w:r>
            <w:r w:rsidR="00CA5F93">
              <w:rPr>
                <w:noProof/>
                <w:webHidden/>
              </w:rPr>
            </w:r>
            <w:r w:rsidR="00CA5F93">
              <w:rPr>
                <w:noProof/>
                <w:webHidden/>
              </w:rPr>
              <w:fldChar w:fldCharType="separate"/>
            </w:r>
            <w:r w:rsidR="007E16AD">
              <w:rPr>
                <w:noProof/>
                <w:webHidden/>
              </w:rPr>
              <w:t>5</w:t>
            </w:r>
            <w:r w:rsidR="00CA5F93">
              <w:rPr>
                <w:noProof/>
                <w:webHidden/>
              </w:rPr>
              <w:fldChar w:fldCharType="end"/>
            </w:r>
          </w:hyperlink>
        </w:p>
        <w:p w:rsidR="00CA5F93" w:rsidRDefault="009E1A9D">
          <w:pPr>
            <w:pStyle w:val="TDC1"/>
            <w:rPr>
              <w:rFonts w:asciiTheme="minorHAnsi" w:eastAsiaTheme="minorEastAsia" w:hAnsiTheme="minorHAnsi" w:cstheme="minorBidi"/>
              <w:bCs w:val="0"/>
              <w:noProof/>
              <w:sz w:val="22"/>
              <w:bdr w:val="none" w:sz="0" w:space="0" w:color="auto"/>
              <w:lang w:eastAsia="es-MX"/>
            </w:rPr>
          </w:pPr>
          <w:hyperlink w:anchor="_Toc17798006" w:history="1">
            <w:r w:rsidR="00CA5F93" w:rsidRPr="00F100FF">
              <w:rPr>
                <w:rStyle w:val="Hipervnculo"/>
                <w:rFonts w:eastAsia="Questrial" w:cs="Calibri"/>
                <w:b/>
                <w:noProof/>
                <w:lang w:eastAsia="es-MX"/>
              </w:rPr>
              <w:t>II.</w:t>
            </w:r>
            <w:r w:rsidR="00CA5F93">
              <w:rPr>
                <w:rFonts w:asciiTheme="minorHAnsi" w:eastAsiaTheme="minorEastAsia" w:hAnsiTheme="minorHAnsi" w:cstheme="minorBidi"/>
                <w:bCs w:val="0"/>
                <w:noProof/>
                <w:sz w:val="22"/>
                <w:bdr w:val="none" w:sz="0" w:space="0" w:color="auto"/>
                <w:lang w:eastAsia="es-MX"/>
              </w:rPr>
              <w:tab/>
            </w:r>
            <w:r w:rsidR="00CA5F93" w:rsidRPr="00F100FF">
              <w:rPr>
                <w:rStyle w:val="Hipervnculo"/>
                <w:rFonts w:eastAsia="Questrial" w:cs="Calibri"/>
                <w:b/>
                <w:noProof/>
                <w:lang w:eastAsia="es-MX"/>
              </w:rPr>
              <w:t>Recomendación</w:t>
            </w:r>
            <w:r w:rsidR="00CA5F93">
              <w:rPr>
                <w:noProof/>
                <w:webHidden/>
              </w:rPr>
              <w:tab/>
            </w:r>
            <w:r w:rsidR="00CA5F93">
              <w:rPr>
                <w:noProof/>
                <w:webHidden/>
              </w:rPr>
              <w:fldChar w:fldCharType="begin"/>
            </w:r>
            <w:r w:rsidR="00CA5F93">
              <w:rPr>
                <w:noProof/>
                <w:webHidden/>
              </w:rPr>
              <w:instrText xml:space="preserve"> PAGEREF _Toc17798006 \h </w:instrText>
            </w:r>
            <w:r w:rsidR="00CA5F93">
              <w:rPr>
                <w:noProof/>
                <w:webHidden/>
              </w:rPr>
            </w:r>
            <w:r w:rsidR="00CA5F93">
              <w:rPr>
                <w:noProof/>
                <w:webHidden/>
              </w:rPr>
              <w:fldChar w:fldCharType="separate"/>
            </w:r>
            <w:r w:rsidR="007E16AD">
              <w:rPr>
                <w:noProof/>
                <w:webHidden/>
              </w:rPr>
              <w:t>9</w:t>
            </w:r>
            <w:r w:rsidR="00CA5F93">
              <w:rPr>
                <w:noProof/>
                <w:webHidden/>
              </w:rPr>
              <w:fldChar w:fldCharType="end"/>
            </w:r>
          </w:hyperlink>
        </w:p>
        <w:p w:rsidR="00CA5F93" w:rsidRDefault="00CA5F93">
          <w:r>
            <w:rPr>
              <w:b/>
              <w:bCs/>
              <w:lang w:val="es-ES"/>
            </w:rPr>
            <w:fldChar w:fldCharType="end"/>
          </w:r>
        </w:p>
      </w:sdtContent>
    </w:sdt>
    <w:p w:rsidR="007937BF" w:rsidRPr="007937BF" w:rsidRDefault="007937BF" w:rsidP="00E67401">
      <w:pPr>
        <w:rPr>
          <w:rFonts w:ascii="Calibri" w:eastAsia="Questrial" w:hAnsi="Calibri" w:cs="Calibri"/>
          <w:b/>
          <w:bdr w:val="none" w:sz="0" w:space="0" w:color="auto"/>
          <w:lang w:eastAsia="es-MX"/>
        </w:rPr>
      </w:pPr>
    </w:p>
    <w:p w:rsidR="007937BF" w:rsidRPr="00CA5F93" w:rsidRDefault="007937BF" w:rsidP="00CA5F93">
      <w:pPr>
        <w:pStyle w:val="Ttulo1"/>
        <w:numPr>
          <w:ilvl w:val="0"/>
          <w:numId w:val="15"/>
        </w:numPr>
        <w:rPr>
          <w:rFonts w:ascii="Calibri" w:eastAsia="Questrial" w:hAnsi="Calibri" w:cs="Calibri"/>
          <w:b/>
          <w:color w:val="auto"/>
          <w:sz w:val="24"/>
          <w:szCs w:val="24"/>
          <w:bdr w:val="none" w:sz="0" w:space="0" w:color="auto"/>
          <w:lang w:eastAsia="es-MX"/>
        </w:rPr>
      </w:pPr>
      <w:bookmarkStart w:id="0" w:name="_Toc17798003"/>
      <w:r w:rsidRPr="00CA5F93">
        <w:rPr>
          <w:rFonts w:ascii="Calibri" w:eastAsia="Questrial" w:hAnsi="Calibri" w:cs="Calibri"/>
          <w:b/>
          <w:color w:val="auto"/>
          <w:sz w:val="24"/>
          <w:szCs w:val="24"/>
          <w:bdr w:val="none" w:sz="0" w:space="0" w:color="auto"/>
          <w:lang w:eastAsia="es-MX"/>
        </w:rPr>
        <w:t>Contexto</w:t>
      </w:r>
      <w:bookmarkEnd w:id="0"/>
    </w:p>
    <w:p w:rsidR="007937BF" w:rsidRPr="007937BF" w:rsidRDefault="007937BF" w:rsidP="007937BF">
      <w:pPr>
        <w:pBdr>
          <w:bar w:val="none" w:sz="0" w:color="auto"/>
        </w:pBdr>
        <w:spacing w:line="276" w:lineRule="auto"/>
        <w:ind w:left="567" w:hanging="720"/>
        <w:rPr>
          <w:rFonts w:ascii="Calibri" w:eastAsia="Questrial" w:hAnsi="Calibri" w:cs="Calibri"/>
          <w:b/>
          <w:color w:val="000000"/>
          <w:u w:val="single"/>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El entorno digital evoluciona de manera acelerada presentando nuevas alternativas y modelos para proporcionar bienes y servicios a la economía, así como nuevas posibilidades para el ejercicio de derechos. La promoción de la expansión del entorno digital a través de la adopción de políticas afirmativas, que propicien un ambiente propicio a la innovación digital y al surgimiento de modelos disruptivos que generen eficiencias en los mercados en beneficios de la sociedad, es crucial en estos momentos. A su vez, dada la constante y rápida evolución de las tecnologías que inciden en la dinámica de competencia, las autoridades también enfrentan el reto de reafirmar los principios sociales y regulatorios que deben acompañar el desarrollo de este entorno.</w:t>
      </w:r>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ind w:right="333"/>
        <w:jc w:val="both"/>
        <w:rPr>
          <w:rFonts w:ascii="Calibri" w:eastAsia="Questrial" w:hAnsi="Calibri" w:cs="Calibri"/>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Diversas autoridades de competencia en el mundo han iniciado análisis y estudios para entender la evolución de los mercados digitales desde la perspectiva técnica, legal y económica para ir adquiriendo capacidades y conocimientos para ajustar sus procesos, metodología de análisis y prácticas administrativas de manera efectiva. De estos análisis han surgido recomendaciones específicas que las diversas autoridades están poniendo en marcha. Por ejemplo:</w:t>
      </w:r>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ind w:right="333"/>
        <w:jc w:val="both"/>
        <w:rPr>
          <w:rFonts w:ascii="Calibri" w:eastAsia="Questrial" w:hAnsi="Calibri" w:cs="Calibri"/>
          <w:bdr w:val="none" w:sz="0" w:space="0" w:color="auto"/>
          <w:lang w:eastAsia="es-MX"/>
        </w:rPr>
      </w:pPr>
    </w:p>
    <w:p w:rsidR="007937BF" w:rsidRPr="007937BF" w:rsidRDefault="007937BF" w:rsidP="007937B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ind w:left="1134" w:right="141" w:hanging="567"/>
        <w:jc w:val="both"/>
        <w:rPr>
          <w:rFonts w:ascii="Calibri" w:eastAsia="Questrial" w:hAnsi="Calibri" w:cs="Calibri"/>
          <w:color w:val="222222"/>
          <w:bdr w:val="none" w:sz="0" w:space="0" w:color="auto"/>
          <w:lang w:eastAsia="es-MX"/>
        </w:rPr>
      </w:pPr>
      <w:r w:rsidRPr="007937BF">
        <w:rPr>
          <w:rFonts w:ascii="Calibri" w:eastAsia="Questrial" w:hAnsi="Calibri" w:cs="Calibri"/>
          <w:color w:val="222222"/>
          <w:bdr w:val="none" w:sz="0" w:space="0" w:color="auto"/>
          <w:lang w:eastAsia="es-MX"/>
        </w:rPr>
        <w:t>La autoridad de Australia (</w:t>
      </w:r>
      <w:r w:rsidRPr="007937BF">
        <w:rPr>
          <w:rFonts w:ascii="Calibri" w:eastAsia="Questrial" w:hAnsi="Calibri" w:cs="Calibri"/>
          <w:i/>
          <w:color w:val="222222"/>
          <w:bdr w:val="none" w:sz="0" w:space="0" w:color="auto"/>
          <w:lang w:eastAsia="es-MX"/>
        </w:rPr>
        <w:t>Australian Competition &amp; Consumer Commission</w:t>
      </w:r>
      <w:r w:rsidRPr="007937BF">
        <w:rPr>
          <w:rFonts w:ascii="Calibri" w:eastAsia="Questrial" w:hAnsi="Calibri" w:cs="Calibri"/>
          <w:color w:val="222222"/>
          <w:bdr w:val="none" w:sz="0" w:space="0" w:color="auto"/>
          <w:lang w:eastAsia="es-MX"/>
        </w:rPr>
        <w:t>) emitió el pasado 26 de julio de 2019, el reporte final de la investigación sobre plataformas digitales (</w:t>
      </w:r>
      <w:r w:rsidRPr="007937BF">
        <w:rPr>
          <w:rFonts w:ascii="Calibri" w:eastAsia="Questrial" w:hAnsi="Calibri" w:cs="Calibri"/>
          <w:i/>
          <w:color w:val="222222"/>
          <w:bdr w:val="none" w:sz="0" w:space="0" w:color="auto"/>
          <w:lang w:eastAsia="es-MX"/>
        </w:rPr>
        <w:t xml:space="preserve">digital platform inquiry) </w:t>
      </w:r>
      <w:r w:rsidRPr="007937BF">
        <w:rPr>
          <w:rFonts w:ascii="Calibri" w:eastAsia="Questrial" w:hAnsi="Calibri" w:cs="Calibri"/>
          <w:color w:val="222222"/>
          <w:bdr w:val="none" w:sz="0" w:space="0" w:color="auto"/>
          <w:lang w:eastAsia="es-MX"/>
        </w:rPr>
        <w:t>iniciado en el 2017. El reporte, que contiene 23 recomendaciones, parte de una visión holística o integral del entorno digital.</w:t>
      </w:r>
      <w:r w:rsidRPr="007937BF">
        <w:rPr>
          <w:rFonts w:ascii="Calibri" w:eastAsia="Questrial" w:hAnsi="Calibri" w:cs="Calibri"/>
          <w:color w:val="222222"/>
          <w:bdr w:val="none" w:sz="0" w:space="0" w:color="auto"/>
          <w:vertAlign w:val="superscript"/>
          <w:lang w:eastAsia="es-MX"/>
        </w:rPr>
        <w:footnoteReference w:id="1"/>
      </w:r>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hanging="567"/>
        <w:jc w:val="both"/>
        <w:rPr>
          <w:rFonts w:ascii="Calibri" w:eastAsia="Questrial" w:hAnsi="Calibri" w:cs="Calibri"/>
          <w:color w:val="222222"/>
          <w:bdr w:val="none" w:sz="0" w:space="0" w:color="auto"/>
          <w:lang w:eastAsia="es-MX"/>
        </w:rPr>
      </w:pPr>
    </w:p>
    <w:p w:rsidR="007937BF" w:rsidRPr="007937BF" w:rsidRDefault="007937BF" w:rsidP="007937B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ind w:left="1134" w:right="141" w:hanging="567"/>
        <w:jc w:val="both"/>
        <w:rPr>
          <w:rFonts w:ascii="Calibri" w:eastAsia="Questrial" w:hAnsi="Calibri" w:cs="Calibri"/>
          <w:color w:val="222222"/>
          <w:bdr w:val="none" w:sz="0" w:space="0" w:color="auto"/>
          <w:lang w:eastAsia="es-MX"/>
        </w:rPr>
      </w:pPr>
      <w:r w:rsidRPr="007937BF">
        <w:rPr>
          <w:rFonts w:ascii="Calibri" w:eastAsia="Questrial" w:hAnsi="Calibri" w:cs="Calibri"/>
          <w:color w:val="222222"/>
          <w:bdr w:val="none" w:sz="0" w:space="0" w:color="auto"/>
          <w:lang w:eastAsia="es-MX"/>
        </w:rPr>
        <w:t xml:space="preserve">La Comisión Europea publicó, en abril de 2019, el reporte </w:t>
      </w:r>
      <w:r w:rsidRPr="007937BF">
        <w:rPr>
          <w:rFonts w:ascii="Calibri" w:eastAsia="Questrial" w:hAnsi="Calibri" w:cs="Calibri"/>
          <w:i/>
          <w:color w:val="222222"/>
          <w:bdr w:val="none" w:sz="0" w:space="0" w:color="auto"/>
          <w:lang w:eastAsia="es-MX"/>
        </w:rPr>
        <w:t>Competition policy for the digital area</w:t>
      </w:r>
      <w:r w:rsidRPr="007937BF">
        <w:rPr>
          <w:rFonts w:ascii="Calibri" w:eastAsia="Questrial" w:hAnsi="Calibri" w:cs="Calibri"/>
          <w:i/>
          <w:color w:val="222222"/>
          <w:bdr w:val="none" w:sz="0" w:space="0" w:color="auto"/>
          <w:vertAlign w:val="superscript"/>
          <w:lang w:eastAsia="es-MX"/>
        </w:rPr>
        <w:footnoteReference w:id="2"/>
      </w:r>
      <w:r w:rsidRPr="007937BF">
        <w:rPr>
          <w:rFonts w:ascii="Calibri" w:eastAsia="Questrial" w:hAnsi="Calibri" w:cs="Calibri"/>
          <w:color w:val="222222"/>
          <w:bdr w:val="none" w:sz="0" w:space="0" w:color="auto"/>
          <w:lang w:eastAsia="es-MX"/>
        </w:rPr>
        <w:t xml:space="preserve"> elaborado por expertos independientes. El reporte aborda aspectos relevantes para la competencia en el entorno digital.</w:t>
      </w:r>
    </w:p>
    <w:p w:rsidR="007937BF" w:rsidRPr="007937BF" w:rsidRDefault="007937BF" w:rsidP="007937BF">
      <w:pPr>
        <w:pBdr>
          <w:bar w:val="none" w:sz="0" w:color="auto"/>
        </w:pBdr>
        <w:ind w:left="720" w:hanging="720"/>
        <w:rPr>
          <w:rFonts w:ascii="Calibri" w:eastAsia="Questrial" w:hAnsi="Calibri" w:cs="Calibri"/>
          <w:color w:val="222222"/>
          <w:bdr w:val="none" w:sz="0" w:space="0" w:color="auto"/>
          <w:lang w:eastAsia="es-MX"/>
        </w:rPr>
      </w:pPr>
    </w:p>
    <w:p w:rsidR="007937BF" w:rsidRPr="007937BF" w:rsidRDefault="007937BF" w:rsidP="007937B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ind w:left="1134" w:right="141" w:hanging="567"/>
        <w:jc w:val="both"/>
        <w:rPr>
          <w:rFonts w:ascii="Calibri" w:eastAsia="Questrial" w:hAnsi="Calibri" w:cs="Calibri"/>
          <w:color w:val="222222"/>
          <w:bdr w:val="none" w:sz="0" w:space="0" w:color="auto"/>
          <w:lang w:eastAsia="es-MX"/>
        </w:rPr>
      </w:pPr>
      <w:r w:rsidRPr="007937BF">
        <w:rPr>
          <w:rFonts w:ascii="Calibri" w:eastAsia="Questrial" w:hAnsi="Calibri" w:cs="Calibri"/>
          <w:color w:val="222222"/>
          <w:bdr w:val="none" w:sz="0" w:space="0" w:color="auto"/>
          <w:lang w:eastAsia="es-MX"/>
        </w:rPr>
        <w:t xml:space="preserve">El gobierno del Reino Unido dio a conocer, el 13 de marzo de 2019, el reporte emitido por un panel de expertos titulado </w:t>
      </w:r>
      <w:r w:rsidRPr="007937BF">
        <w:rPr>
          <w:rFonts w:ascii="Calibri" w:eastAsia="Questrial" w:hAnsi="Calibri" w:cs="Calibri"/>
          <w:i/>
          <w:color w:val="222222"/>
          <w:bdr w:val="none" w:sz="0" w:space="0" w:color="auto"/>
          <w:lang w:eastAsia="es-MX"/>
        </w:rPr>
        <w:t>Unlocking digital competition</w:t>
      </w:r>
      <w:r w:rsidRPr="007937BF">
        <w:rPr>
          <w:rFonts w:ascii="Calibri" w:eastAsia="Questrial" w:hAnsi="Calibri" w:cs="Calibri"/>
          <w:color w:val="222222"/>
          <w:bdr w:val="none" w:sz="0" w:space="0" w:color="auto"/>
          <w:vertAlign w:val="superscript"/>
          <w:lang w:eastAsia="es-MX"/>
        </w:rPr>
        <w:footnoteReference w:id="3"/>
      </w:r>
      <w:r w:rsidRPr="007937BF">
        <w:rPr>
          <w:rFonts w:ascii="Calibri" w:eastAsia="Questrial" w:hAnsi="Calibri" w:cs="Calibri"/>
          <w:i/>
          <w:color w:val="222222"/>
          <w:bdr w:val="none" w:sz="0" w:space="0" w:color="auto"/>
          <w:lang w:eastAsia="es-MX"/>
        </w:rPr>
        <w:t xml:space="preserve"> </w:t>
      </w:r>
      <w:r w:rsidRPr="007937BF">
        <w:rPr>
          <w:rFonts w:ascii="Calibri" w:eastAsia="Questrial" w:hAnsi="Calibri" w:cs="Calibri"/>
          <w:color w:val="222222"/>
          <w:bdr w:val="none" w:sz="0" w:space="0" w:color="auto"/>
          <w:lang w:eastAsia="es-MX"/>
        </w:rPr>
        <w:t>en el que presentan recomendaciones estratégicas de política pública y competencia con 20 acciones específicas tendientes a abordar los retos que representa para la materia la economía digital.</w:t>
      </w:r>
    </w:p>
    <w:p w:rsidR="007937BF" w:rsidRPr="007937BF" w:rsidRDefault="007937BF" w:rsidP="007937BF">
      <w:pPr>
        <w:pBdr>
          <w:bar w:val="none" w:sz="0" w:color="auto"/>
        </w:pBdr>
        <w:ind w:left="720" w:hanging="720"/>
        <w:rPr>
          <w:rFonts w:ascii="Calibri" w:eastAsia="Questrial" w:hAnsi="Calibri" w:cs="Calibri"/>
          <w:color w:val="222222"/>
          <w:bdr w:val="none" w:sz="0" w:space="0" w:color="auto"/>
          <w:lang w:eastAsia="es-MX"/>
        </w:rPr>
      </w:pPr>
    </w:p>
    <w:p w:rsidR="007937BF" w:rsidRDefault="007937BF" w:rsidP="007937B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ind w:left="1134" w:right="141" w:hanging="567"/>
        <w:jc w:val="both"/>
        <w:rPr>
          <w:rFonts w:ascii="Calibri" w:eastAsia="Questrial" w:hAnsi="Calibri" w:cs="Calibri"/>
          <w:color w:val="222222"/>
          <w:bdr w:val="none" w:sz="0" w:space="0" w:color="auto"/>
          <w:lang w:eastAsia="es-MX"/>
        </w:rPr>
      </w:pPr>
      <w:r w:rsidRPr="007937BF">
        <w:rPr>
          <w:rFonts w:ascii="Calibri" w:eastAsia="Questrial" w:hAnsi="Calibri" w:cs="Calibri"/>
          <w:color w:val="222222"/>
          <w:bdr w:val="none" w:sz="0" w:space="0" w:color="auto"/>
          <w:lang w:eastAsia="es-MX"/>
        </w:rPr>
        <w:t>La Oficina de Competencia de Canadá ha enfocado su plan anual de trabajo para 2019-2020 en: proteger a los canadienses de conductas anti-competitivas y engañosas en los mercados en línea; promover la innovación, los precios bajos y las elecciones disponibles para los canadienses en los sectores de telecomunicaciones y servicios de internet; y anticipar e investigar los aspectos de competencias emergentes en una economía cada vez más guiada por datos (</w:t>
      </w:r>
      <w:r w:rsidRPr="007937BF">
        <w:rPr>
          <w:rFonts w:ascii="Calibri" w:eastAsia="Questrial" w:hAnsi="Calibri" w:cs="Calibri"/>
          <w:i/>
          <w:color w:val="222222"/>
          <w:bdr w:val="none" w:sz="0" w:space="0" w:color="auto"/>
          <w:lang w:eastAsia="es-MX"/>
        </w:rPr>
        <w:t>data driven</w:t>
      </w:r>
      <w:r w:rsidRPr="007937BF">
        <w:rPr>
          <w:rFonts w:ascii="Calibri" w:eastAsia="Questrial" w:hAnsi="Calibri" w:cs="Calibri"/>
          <w:color w:val="222222"/>
          <w:bdr w:val="none" w:sz="0" w:space="0" w:color="auto"/>
          <w:lang w:eastAsia="es-MX"/>
        </w:rPr>
        <w:t>).</w:t>
      </w:r>
      <w:r w:rsidRPr="007937BF">
        <w:rPr>
          <w:rFonts w:ascii="Calibri" w:eastAsia="Cambria" w:hAnsi="Calibri" w:cs="Calibri"/>
          <w:color w:val="000000"/>
          <w:bdr w:val="none" w:sz="0" w:space="0" w:color="auto"/>
          <w:vertAlign w:val="superscript"/>
          <w:lang w:eastAsia="es-MX"/>
        </w:rPr>
        <w:footnoteReference w:id="4"/>
      </w:r>
      <w:r w:rsidRPr="007937BF">
        <w:rPr>
          <w:rFonts w:ascii="Calibri" w:eastAsia="Questrial" w:hAnsi="Calibri" w:cs="Calibri"/>
          <w:color w:val="222222"/>
          <w:bdr w:val="none" w:sz="0" w:space="0" w:color="auto"/>
          <w:lang w:eastAsia="es-MX"/>
        </w:rPr>
        <w:t xml:space="preserve"> </w:t>
      </w:r>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ind w:right="141"/>
        <w:jc w:val="both"/>
        <w:rPr>
          <w:rFonts w:ascii="Calibri" w:eastAsia="Questrial" w:hAnsi="Calibri" w:cs="Calibri"/>
          <w:color w:val="222222"/>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 xml:space="preserve">Estos reportes también coinciden con la necesidad de seguir desarrollando capacidades, estudios y evidencia empírica sobre diversos aspectos de la dinámica competitiva y la evolución de la tecnología en el entorno digital, por lo que las acciones propuestas en esta recomendación también atienden a esta necesidad. </w:t>
      </w:r>
    </w:p>
    <w:p w:rsidR="007937BF" w:rsidRPr="007937BF" w:rsidRDefault="007937BF" w:rsidP="007937BF">
      <w:pPr>
        <w:pBdr>
          <w:bar w:val="none" w:sz="0" w:color="auto"/>
        </w:pBdr>
        <w:tabs>
          <w:tab w:val="left" w:pos="8505"/>
        </w:tabs>
        <w:ind w:left="567" w:right="333"/>
        <w:jc w:val="both"/>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 xml:space="preserve">Asimismo, el reciente Reporte del Panel de Alto Nivel en Cooperación Internacional del Secretariado General de las Naciones Unidas reconoció que nuestro dinámico mundo digital necesita de manera urgente mejorar la cooperación digital sustentada en valores humanos comunes, tales como la inclusión, el respeto a los derechos humanos, la cooperación internacional, la transparencia y la sustentabilidad, así como mayores esfuerzos multilaterales por los gobiernos que, a su vez, se complementen a través de la </w:t>
      </w:r>
      <w:r w:rsidRPr="007937BF">
        <w:rPr>
          <w:rFonts w:ascii="Calibri" w:eastAsia="Questrial" w:hAnsi="Calibri" w:cs="Calibri"/>
          <w:color w:val="000000"/>
          <w:bdr w:val="none" w:sz="0" w:space="0" w:color="auto"/>
          <w:lang w:eastAsia="es-MX"/>
        </w:rPr>
        <w:lastRenderedPageBreak/>
        <w:t>inclusión de un espectro diverso de representantes de la sociedad civil, la academia, los expertos tecnológicos y el sector privado.</w:t>
      </w:r>
      <w:r w:rsidRPr="007937BF">
        <w:rPr>
          <w:rFonts w:ascii="Calibri" w:eastAsia="Questrial" w:hAnsi="Calibri" w:cs="Calibri"/>
          <w:color w:val="000000"/>
          <w:bdr w:val="none" w:sz="0" w:space="0" w:color="auto"/>
          <w:vertAlign w:val="superscript"/>
          <w:lang w:eastAsia="es-MX"/>
        </w:rPr>
        <w:t xml:space="preserve"> </w:t>
      </w:r>
      <w:r w:rsidRPr="007937BF">
        <w:rPr>
          <w:rFonts w:ascii="Calibri" w:eastAsia="Questrial" w:hAnsi="Calibri" w:cs="Calibri"/>
          <w:color w:val="000000"/>
          <w:bdr w:val="none" w:sz="0" w:space="0" w:color="auto"/>
          <w:vertAlign w:val="superscript"/>
          <w:lang w:eastAsia="es-MX"/>
        </w:rPr>
        <w:footnoteReference w:id="5"/>
      </w:r>
      <w:r w:rsidRPr="007937BF">
        <w:rPr>
          <w:rFonts w:ascii="Calibri" w:eastAsia="Questrial" w:hAnsi="Calibri" w:cs="Calibri"/>
          <w:color w:val="000000"/>
          <w:bdr w:val="none" w:sz="0" w:space="0" w:color="auto"/>
          <w:lang w:eastAsia="es-MX"/>
        </w:rPr>
        <w:t>En particular, este reporte llama a la cooperación para alcanzar un futuro en el que el entorno digital se desarrolle de manera congruente con el objetivo de reducir la desigualdad, creando comunidad, apoyando la seguridad, ello además de promover oportunidades de desarrollo económico.</w:t>
      </w:r>
    </w:p>
    <w:p w:rsidR="007937BF" w:rsidRPr="007937BF" w:rsidRDefault="007937BF" w:rsidP="007937BF">
      <w:pPr>
        <w:pBdr>
          <w:bar w:val="none" w:sz="0" w:color="auto"/>
        </w:pBdr>
        <w:tabs>
          <w:tab w:val="left" w:pos="8505"/>
        </w:tabs>
        <w:ind w:left="567" w:right="333"/>
        <w:jc w:val="both"/>
        <w:rPr>
          <w:rFonts w:ascii="Calibri" w:eastAsia="Cambria" w:hAnsi="Calibri" w:cs="Calibri"/>
          <w:bdr w:val="none" w:sz="0" w:space="0" w:color="auto"/>
          <w:lang w:eastAsia="es-MX"/>
        </w:rPr>
      </w:pPr>
      <w:r w:rsidRPr="007937BF" w:rsidDel="00EC73AA">
        <w:rPr>
          <w:rFonts w:ascii="Calibri" w:eastAsia="Questrial" w:hAnsi="Calibri" w:cs="Calibri"/>
          <w:color w:val="000000"/>
          <w:bdr w:val="none" w:sz="0" w:space="0" w:color="auto"/>
          <w:lang w:eastAsia="es-MX"/>
        </w:rPr>
        <w:t xml:space="preserve"> </w:t>
      </w: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En opinión de este Consejo Consultivo, de los últimos estudios que se han publicado en materia de mercados digitales,</w:t>
      </w:r>
      <w:r w:rsidRPr="007937BF">
        <w:rPr>
          <w:rFonts w:ascii="Calibri" w:eastAsia="Questrial" w:hAnsi="Calibri" w:cs="Calibri"/>
          <w:color w:val="000000"/>
          <w:bdr w:val="none" w:sz="0" w:space="0" w:color="auto"/>
          <w:vertAlign w:val="superscript"/>
          <w:lang w:eastAsia="es-MX"/>
        </w:rPr>
        <w:footnoteReference w:id="6"/>
      </w:r>
      <w:r w:rsidRPr="007937BF">
        <w:rPr>
          <w:rFonts w:ascii="Calibri" w:eastAsia="Questrial" w:hAnsi="Calibri" w:cs="Calibri"/>
          <w:color w:val="000000"/>
          <w:bdr w:val="none" w:sz="0" w:space="0" w:color="auto"/>
          <w:lang w:eastAsia="es-MX"/>
        </w:rPr>
        <w:t xml:space="preserve"> pareciera que hay un consenso entre autoridades sobre la necesidad de utilizar un conjunto de políticas públicas que aborden de manera integral los efectos anticompetitivos que pudieran tener determinadas conductas en mercados digitales. Entre estos efectos anticompetitivos están el daño al consumidor, al funcionamiento eficiente de los mercados—incluyendo a la innovación—al derecho a la privacidad de datos de consumidores, al mal uso de datos de competidores y usuarios, a la protección de los derechos de consumidores, al derecho a la pluralidad de la información, entre otros. </w:t>
      </w:r>
    </w:p>
    <w:p w:rsidR="007937BF" w:rsidRPr="007937BF" w:rsidRDefault="007937BF" w:rsidP="007937BF">
      <w:pPr>
        <w:pBdr>
          <w:bar w:val="none" w:sz="0" w:color="auto"/>
        </w:pBdr>
        <w:ind w:left="720" w:hanging="720"/>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Estas preocupaciones además no sólo ocurren en el corto plazo, sino que son motivo de preocupación en el largo plazo y en el dinamismo del mercado y la economía en general dado que la digitalización ya no sólo está restringida al sector de telecomunicaciones. Dado el paraguas de políticas y de coordinación de políticas que requiere abordar los nuevos problemas de competencia que surgen en mercados digitales, es importante considerar que el IFT tiene diversas facultades regulatorias para incidir en varios de los aspectos que impactan las consideraciones de competencia en el entorno digital.</w:t>
      </w:r>
    </w:p>
    <w:p w:rsidR="007937BF" w:rsidRPr="007937BF" w:rsidRDefault="007937BF" w:rsidP="007937BF">
      <w:pPr>
        <w:pBdr>
          <w:bar w:val="none" w:sz="0" w:color="auto"/>
        </w:pBdr>
        <w:tabs>
          <w:tab w:val="left" w:pos="8505"/>
        </w:tabs>
        <w:ind w:left="567" w:right="333" w:hanging="720"/>
        <w:jc w:val="both"/>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 xml:space="preserve">Un ejemplo lo encontramos en materia de publicidad. Actualmente estamos atestiguando un cada vez mayor gasto en publicidad en línea sobre la publicidad en medios tradicionales (periódico, televisión, radio); al mismo tiempo observamos cómo la discusión internacional sobre el poder de los buscadores (Google) se centra en las herramientas que tiene para privilegiar cierta publicidad sobre otra (AdWords) y cómo al hacer esto pudiera afectar la información a la que pueden acceder los consumidores (Arts. 6º. Y 7º. CPEUM) y la posibilidad de acceso de competidores a audiencias (artículos 94 y 54 al 57 de la LFCE). Incluso si los servicios de Internet se convierten en proveedores de infraestructura, sus acciones podrían equivaler a violaciones de la neutralidad de redes. </w:t>
      </w:r>
    </w:p>
    <w:p w:rsidR="007937BF" w:rsidRPr="00CA5F93" w:rsidRDefault="007937BF" w:rsidP="007937BF">
      <w:pPr>
        <w:pBdr>
          <w:bar w:val="none" w:sz="0" w:color="auto"/>
        </w:pBdr>
        <w:ind w:firstLine="709"/>
        <w:jc w:val="both"/>
        <w:rPr>
          <w:rFonts w:ascii="Calibri" w:eastAsia="Questrial" w:hAnsi="Calibri" w:cs="Calibri"/>
          <w:color w:val="000000"/>
          <w:sz w:val="22"/>
          <w:bdr w:val="none" w:sz="0" w:space="0" w:color="auto"/>
          <w:lang w:eastAsia="es-MX"/>
        </w:rPr>
      </w:pPr>
    </w:p>
    <w:p w:rsidR="007937BF" w:rsidRPr="00CA5F93" w:rsidRDefault="007937BF" w:rsidP="00CA5F93">
      <w:pPr>
        <w:pStyle w:val="Ttulo2"/>
        <w:numPr>
          <w:ilvl w:val="0"/>
          <w:numId w:val="16"/>
        </w:numPr>
        <w:rPr>
          <w:rFonts w:ascii="Calibri" w:eastAsia="Questrial" w:hAnsi="Calibri" w:cs="Calibri"/>
          <w:b/>
          <w:color w:val="auto"/>
          <w:sz w:val="22"/>
          <w:szCs w:val="24"/>
          <w:bdr w:val="none" w:sz="0" w:space="0" w:color="auto"/>
          <w:lang w:eastAsia="es-MX"/>
        </w:rPr>
      </w:pPr>
      <w:bookmarkStart w:id="1" w:name="_Toc17798004"/>
      <w:r w:rsidRPr="00CA5F93">
        <w:rPr>
          <w:rFonts w:ascii="Calibri" w:eastAsia="Questrial" w:hAnsi="Calibri" w:cs="Calibri"/>
          <w:b/>
          <w:color w:val="auto"/>
          <w:sz w:val="22"/>
          <w:szCs w:val="24"/>
          <w:bdr w:val="none" w:sz="0" w:space="0" w:color="auto"/>
          <w:lang w:eastAsia="es-MX"/>
        </w:rPr>
        <w:lastRenderedPageBreak/>
        <w:t>Consideraciones respecto a los elementos básicos del entorno digital y la importancia de una</w:t>
      </w:r>
      <w:r w:rsidRPr="00CA5F93">
        <w:rPr>
          <w:rFonts w:eastAsia="Questrial"/>
          <w:sz w:val="24"/>
          <w:bdr w:val="none" w:sz="0" w:space="0" w:color="auto"/>
          <w:lang w:eastAsia="es-MX"/>
        </w:rPr>
        <w:t xml:space="preserve"> </w:t>
      </w:r>
      <w:r w:rsidRPr="00CA5F93">
        <w:rPr>
          <w:rFonts w:ascii="Calibri" w:eastAsia="Questrial" w:hAnsi="Calibri" w:cs="Calibri"/>
          <w:b/>
          <w:color w:val="auto"/>
          <w:sz w:val="22"/>
          <w:szCs w:val="24"/>
          <w:bdr w:val="none" w:sz="0" w:space="0" w:color="auto"/>
          <w:lang w:eastAsia="es-MX"/>
        </w:rPr>
        <w:t>visión integral en México</w:t>
      </w:r>
      <w:bookmarkEnd w:id="1"/>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ind w:right="333"/>
        <w:jc w:val="both"/>
        <w:rPr>
          <w:rFonts w:ascii="Calibri" w:eastAsia="Questrial" w:hAnsi="Calibri" w:cs="Calibri"/>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 xml:space="preserve">El entorno digital se desarrolla a través del uso de tecnologías, sistemas y componentes que requieren comunicarse entre ellas. De esta manera, podemos identificar elementos relevantes que van desde la infraestructura que cambia con los avances tecnológicos, hasta contenidos y desarrollos que permiten la prestación de los servicios específicos para el usuario. De esta manera, la dinámica de competencia en los servicios digitales no puede aislar la infraestructura y las vías de comunicación que la sostiene, ni las políticas necesarias para poder asegurar el acceso adecuado a éstos. En efecto, los servicios de telecomunicaciones no sólo comprenden el funcionamiento de las redes, ni la prestación final del servicio a los usuarios, sino que también comprenden, entre otros elementos, la infraestructura (activa y pasiva), los insumos esenciales o relevantes, los equipos que se conectan a las redes, el software que soporta la comunicación y las condiciones tecnológicas necesarias para la prestación del servicio (interconexión e interoperabilidad de redes). </w:t>
      </w:r>
    </w:p>
    <w:p w:rsidR="007937BF" w:rsidRPr="007937BF" w:rsidRDefault="007937BF" w:rsidP="007937BF">
      <w:pPr>
        <w:pBdr>
          <w:bar w:val="none" w:sz="0" w:color="auto"/>
        </w:pBdr>
        <w:tabs>
          <w:tab w:val="left" w:pos="8505"/>
        </w:tabs>
        <w:ind w:left="567" w:right="333" w:hanging="720"/>
        <w:jc w:val="both"/>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Cambria" w:hAnsi="Calibri" w:cs="Calibri"/>
          <w:bdr w:val="none" w:sz="0" w:space="0" w:color="auto"/>
          <w:lang w:eastAsia="es-MX"/>
        </w:rPr>
      </w:pPr>
      <w:r w:rsidRPr="007937BF">
        <w:rPr>
          <w:rFonts w:ascii="Calibri" w:eastAsia="Questrial" w:hAnsi="Calibri" w:cs="Calibri"/>
          <w:color w:val="000000"/>
          <w:bdr w:val="none" w:sz="0" w:space="0" w:color="auto"/>
          <w:lang w:eastAsia="es-MX"/>
        </w:rPr>
        <w:t>Por otro lado, los mercados tradicionales (</w:t>
      </w:r>
      <w:r w:rsidRPr="007937BF">
        <w:rPr>
          <w:rFonts w:ascii="Calibri" w:eastAsia="Questrial" w:hAnsi="Calibri" w:cs="Calibri"/>
          <w:i/>
          <w:color w:val="000000"/>
          <w:bdr w:val="none" w:sz="0" w:space="0" w:color="auto"/>
          <w:lang w:eastAsia="es-MX"/>
        </w:rPr>
        <w:t>brick-and-mortar</w:t>
      </w:r>
      <w:r w:rsidRPr="007937BF">
        <w:rPr>
          <w:rFonts w:ascii="Calibri" w:eastAsia="Questrial" w:hAnsi="Calibri" w:cs="Calibri"/>
          <w:color w:val="000000"/>
          <w:bdr w:val="none" w:sz="0" w:space="0" w:color="auto"/>
          <w:lang w:eastAsia="es-MX"/>
        </w:rPr>
        <w:t xml:space="preserve">) cada vez más dependen de los servicios digitales soportados por tecnologías de comunicación. Estos mercados tradicionales cambian, a su vez, e impactan en el desarrollo del sector telecomunicaciones. Por ejemplo, la digitalización ha implicado nuevos esquemas de negocio con economías de escala y alcance, incluyendo los efectos de red, modularidad (es decir, servicios basados en complementariedad entre insumos, tales como aplicaciones, dispositivos electrónicos, sensores, y </w:t>
      </w:r>
      <w:r w:rsidRPr="007937BF">
        <w:rPr>
          <w:rFonts w:ascii="Calibri" w:eastAsia="Questrial" w:hAnsi="Calibri" w:cs="Calibri"/>
          <w:i/>
          <w:color w:val="000000"/>
          <w:bdr w:val="none" w:sz="0" w:space="0" w:color="auto"/>
          <w:lang w:eastAsia="es-MX"/>
        </w:rPr>
        <w:t>wearables</w:t>
      </w:r>
      <w:r w:rsidRPr="007937BF">
        <w:rPr>
          <w:rFonts w:ascii="Calibri" w:eastAsia="Questrial" w:hAnsi="Calibri" w:cs="Calibri"/>
          <w:color w:val="000000"/>
          <w:bdr w:val="none" w:sz="0" w:space="0" w:color="auto"/>
          <w:lang w:eastAsia="es-MX"/>
        </w:rPr>
        <w:t>), así como una clara tendencia a la inversión e innovación disruptiva en todos los sectores económicos</w:t>
      </w:r>
      <w:r w:rsidRPr="007937BF">
        <w:rPr>
          <w:rFonts w:ascii="Calibri" w:eastAsia="Cambria" w:hAnsi="Calibri" w:cs="Calibri"/>
          <w:color w:val="000000"/>
          <w:bdr w:val="none" w:sz="0" w:space="0" w:color="auto"/>
          <w:lang w:eastAsia="es-MX"/>
        </w:rPr>
        <w:t>.</w:t>
      </w:r>
    </w:p>
    <w:p w:rsidR="007937BF" w:rsidRPr="007937BF" w:rsidRDefault="007937BF" w:rsidP="007937BF">
      <w:pPr>
        <w:pBdr>
          <w:bar w:val="none" w:sz="0" w:color="auto"/>
        </w:pBdr>
        <w:tabs>
          <w:tab w:val="left" w:pos="8505"/>
        </w:tabs>
        <w:ind w:left="567" w:right="333" w:hanging="720"/>
        <w:jc w:val="both"/>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 xml:space="preserve">Todos estos elementos constituyen un entorno, el cual requiere de una política que fomente que, tanto la regulación </w:t>
      </w:r>
      <w:r w:rsidRPr="007937BF">
        <w:rPr>
          <w:rFonts w:ascii="Calibri" w:eastAsia="Questrial" w:hAnsi="Calibri" w:cs="Calibri"/>
          <w:i/>
          <w:color w:val="000000"/>
          <w:bdr w:val="none" w:sz="0" w:space="0" w:color="auto"/>
          <w:lang w:eastAsia="es-MX"/>
        </w:rPr>
        <w:t>ex ante</w:t>
      </w:r>
      <w:r w:rsidRPr="007937BF">
        <w:rPr>
          <w:rFonts w:ascii="Calibri" w:eastAsia="Questrial" w:hAnsi="Calibri" w:cs="Calibri"/>
          <w:color w:val="000000"/>
          <w:bdr w:val="none" w:sz="0" w:space="0" w:color="auto"/>
          <w:lang w:eastAsia="es-MX"/>
        </w:rPr>
        <w:t xml:space="preserve"> como la </w:t>
      </w:r>
      <w:r w:rsidRPr="007937BF">
        <w:rPr>
          <w:rFonts w:ascii="Calibri" w:eastAsia="Questrial" w:hAnsi="Calibri" w:cs="Calibri"/>
          <w:i/>
          <w:color w:val="000000"/>
          <w:bdr w:val="none" w:sz="0" w:space="0" w:color="auto"/>
          <w:lang w:eastAsia="es-MX"/>
        </w:rPr>
        <w:t>ex post,</w:t>
      </w:r>
      <w:r w:rsidRPr="007937BF">
        <w:rPr>
          <w:rFonts w:ascii="Calibri" w:eastAsia="Questrial" w:hAnsi="Calibri" w:cs="Calibri"/>
          <w:color w:val="000000"/>
          <w:bdr w:val="none" w:sz="0" w:space="0" w:color="auto"/>
          <w:lang w:eastAsia="es-MX"/>
        </w:rPr>
        <w:t xml:space="preserve"> promuevan el desarrollo e innovación del entorno digital, asegurando que se preserven las co</w:t>
      </w:r>
      <w:r>
        <w:rPr>
          <w:rFonts w:ascii="Calibri" w:eastAsia="Questrial" w:hAnsi="Calibri" w:cs="Calibri"/>
          <w:color w:val="000000"/>
          <w:bdr w:val="none" w:sz="0" w:space="0" w:color="auto"/>
          <w:lang w:eastAsia="es-MX"/>
        </w:rPr>
        <w:t>ndiciones de competencia en todo</w:t>
      </w:r>
      <w:r w:rsidRPr="007937BF">
        <w:rPr>
          <w:rFonts w:ascii="Calibri" w:eastAsia="Questrial" w:hAnsi="Calibri" w:cs="Calibri"/>
          <w:color w:val="000000"/>
          <w:bdr w:val="none" w:sz="0" w:space="0" w:color="auto"/>
          <w:lang w:eastAsia="es-MX"/>
        </w:rPr>
        <w:t xml:space="preserve">s los elementos. En esta dinámica, el IFT tiene un papel importante en velar por la competencia efectiva, no sólo en materia de infraestructura física e Internet, sino también en la interrelación de todos los elementos que contempla la cadena de valor de los servicios digitales. Esto es aún más relevante cuando, en el caso de los servicios digitales, es común que el análisis del entorno aislando los diferentes mercados involucrados no permita la realización de un análisis óptimo en términos de eficiencia y competencia y pudiera no ser efectivo en términos de política pública. Por ello, es necesario que la agenda de promoción de la innovación y competencia del entorno digital incluya el análisis integral de mercados, así como la coordinación de todos los actores gubernamentales relevantes, y la interacción con la industria, la academia y la sociedad civil. </w:t>
      </w:r>
    </w:p>
    <w:p w:rsidR="007937BF" w:rsidRPr="007937BF" w:rsidRDefault="007937BF" w:rsidP="007937BF">
      <w:pPr>
        <w:pBdr>
          <w:bar w:val="none" w:sz="0" w:color="auto"/>
        </w:pBdr>
        <w:tabs>
          <w:tab w:val="left" w:pos="8505"/>
        </w:tabs>
        <w:ind w:left="567" w:right="333" w:hanging="720"/>
        <w:jc w:val="both"/>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lastRenderedPageBreak/>
        <w:t>En el caso de México, desde una perspectiva de planeación, el Instituto convocó a los interesados de la sociedad a presentar comentarios sobre la visión regulatoria de los sectores para los años 2019-2023. Entre los temas incorporados en la agenda está incluida la economía digital. De este proceso de retroalimentación incluyente, el IFT recibió 31 comentarios de diferentes actores.</w:t>
      </w:r>
      <w:r w:rsidRPr="007937BF">
        <w:rPr>
          <w:rFonts w:ascii="Calibri" w:eastAsia="Cambria" w:hAnsi="Calibri" w:cs="Calibri"/>
          <w:color w:val="222222"/>
          <w:bdr w:val="none" w:sz="0" w:space="0" w:color="auto"/>
          <w:vertAlign w:val="superscript"/>
          <w:lang w:eastAsia="es-MX"/>
        </w:rPr>
        <w:footnoteReference w:id="7"/>
      </w:r>
      <w:r w:rsidRPr="007937BF">
        <w:rPr>
          <w:rFonts w:ascii="Calibri" w:eastAsia="Questrial" w:hAnsi="Calibri" w:cs="Calibri"/>
          <w:color w:val="000000"/>
          <w:bdr w:val="none" w:sz="0" w:space="0" w:color="auto"/>
          <w:lang w:eastAsia="es-MX"/>
        </w:rPr>
        <w:t xml:space="preserve"> Sin embargo, una agenda comprensiva sobre este tema aún no ha sido formalmente adoptada. Por su parte, la Comisión Federal de Competencia Económica (COFECE</w:t>
      </w:r>
      <w:r w:rsidRPr="007937BF">
        <w:rPr>
          <w:rFonts w:ascii="Calibri" w:eastAsia="Arial" w:hAnsi="Calibri" w:cs="Calibri"/>
          <w:color w:val="222222"/>
          <w:bdr w:val="none" w:sz="0" w:space="0" w:color="auto"/>
          <w:lang w:eastAsia="es-MX"/>
        </w:rPr>
        <w:t xml:space="preserve">) </w:t>
      </w:r>
      <w:r w:rsidRPr="007937BF">
        <w:rPr>
          <w:rFonts w:ascii="Calibri" w:eastAsia="Questrial" w:hAnsi="Calibri" w:cs="Calibri"/>
          <w:color w:val="000000"/>
          <w:bdr w:val="none" w:sz="0" w:space="0" w:color="auto"/>
          <w:lang w:eastAsia="es-MX"/>
        </w:rPr>
        <w:t>publicó en marzo de 2018 el documento titulado “Repensar la competencia en la Economía Digital”</w:t>
      </w:r>
      <w:r w:rsidRPr="007937BF">
        <w:rPr>
          <w:rFonts w:ascii="Calibri" w:eastAsia="Cambria" w:hAnsi="Calibri" w:cs="Calibri"/>
          <w:color w:val="222222"/>
          <w:bdr w:val="none" w:sz="0" w:space="0" w:color="auto"/>
          <w:vertAlign w:val="superscript"/>
          <w:lang w:eastAsia="es-MX"/>
        </w:rPr>
        <w:footnoteReference w:id="8"/>
      </w:r>
      <w:r w:rsidRPr="007937BF">
        <w:rPr>
          <w:rFonts w:ascii="Calibri" w:eastAsia="Cambria" w:hAnsi="Calibri" w:cs="Calibri"/>
          <w:color w:val="222222"/>
          <w:bdr w:val="none" w:sz="0" w:space="0" w:color="auto"/>
          <w:vertAlign w:val="superscript"/>
          <w:lang w:eastAsia="es-MX"/>
        </w:rPr>
        <w:t xml:space="preserve"> </w:t>
      </w:r>
      <w:r w:rsidRPr="007937BF">
        <w:rPr>
          <w:rFonts w:ascii="Calibri" w:eastAsia="Questrial" w:hAnsi="Calibri" w:cs="Calibri"/>
          <w:color w:val="000000"/>
          <w:bdr w:val="none" w:sz="0" w:space="0" w:color="auto"/>
          <w:lang w:eastAsia="es-MX"/>
        </w:rPr>
        <w:t>en el que reflexiona sobre los aspectos de competencia relevantes para el análisis de la economía digital y las alternativas para el futuro.</w:t>
      </w:r>
    </w:p>
    <w:p w:rsidR="007937BF" w:rsidRPr="007937BF" w:rsidRDefault="007937BF" w:rsidP="007937BF">
      <w:pPr>
        <w:pBdr>
          <w:bar w:val="none" w:sz="0" w:color="auto"/>
        </w:pBdr>
        <w:tabs>
          <w:tab w:val="left" w:pos="8505"/>
        </w:tabs>
        <w:ind w:left="567" w:right="333" w:hanging="720"/>
        <w:jc w:val="both"/>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Algo en lo que todos los estudios hasta ahora han coincidido es que en la discusión y definición de las políticas que afectan el entorno digital concurren diversas disciplinas, como son las de privacidad, protección del consumidor, los derechos humanos y, por supuesto, competencia. En este sentido, una visión holística como la que propone la autoridad de Australia tiene sentido. Sin embargo, en el caso de México, las competencias reguladoras de los diferentes aspectos que inciden en el desarrollo de un entorno digital adecuado están fragmentados o se traslapan con las de otras autoridades.</w:t>
      </w:r>
      <w:r w:rsidRPr="007937BF">
        <w:rPr>
          <w:rFonts w:ascii="Calibri" w:eastAsia="Questrial" w:hAnsi="Calibri" w:cs="Calibri"/>
          <w:color w:val="000000"/>
          <w:bdr w:val="none" w:sz="0" w:space="0" w:color="auto"/>
          <w:vertAlign w:val="superscript"/>
          <w:lang w:eastAsia="es-MX"/>
        </w:rPr>
        <w:footnoteReference w:id="9"/>
      </w:r>
      <w:r w:rsidRPr="007937BF">
        <w:rPr>
          <w:rFonts w:ascii="Calibri" w:eastAsia="Questrial" w:hAnsi="Calibri" w:cs="Calibri"/>
          <w:color w:val="000000"/>
          <w:bdr w:val="none" w:sz="0" w:space="0" w:color="auto"/>
          <w:lang w:eastAsia="es-MX"/>
        </w:rPr>
        <w:t xml:space="preserve"> Así, en México, para estar en condiciones de generar una agenda integral, es indispensable que las diversas autoridades abran un diálogo regulatorio que permita coordinar los esfuerzos de estas autoridades y actores relevantes a efecto de generar líneas de política robustas, eficientes y eficaces que privilegien la innovación. Este Consejo Consultivo considera que el Instituto tiene las suficientes facultades y está en la posición técnica idónea para impulsar la creación de esta agenda de promoción de la innovación y competencia del entorno digital. </w:t>
      </w:r>
    </w:p>
    <w:p w:rsidR="007937BF" w:rsidRPr="007937BF" w:rsidRDefault="007937BF" w:rsidP="007937BF">
      <w:pPr>
        <w:pBdr>
          <w:bar w:val="none" w:sz="0" w:color="auto"/>
        </w:pBdr>
        <w:tabs>
          <w:tab w:val="left" w:pos="8505"/>
        </w:tabs>
        <w:ind w:left="567" w:right="333" w:hanging="720"/>
        <w:jc w:val="both"/>
        <w:rPr>
          <w:rFonts w:ascii="Calibri" w:eastAsia="Questrial" w:hAnsi="Calibri" w:cs="Calibri"/>
          <w:color w:val="000000"/>
          <w:bdr w:val="none" w:sz="0" w:space="0" w:color="auto"/>
          <w:lang w:eastAsia="es-MX"/>
        </w:rPr>
      </w:pPr>
    </w:p>
    <w:p w:rsidR="007937BF" w:rsidRPr="00CA5F93" w:rsidRDefault="007937BF" w:rsidP="00CA5F93">
      <w:pPr>
        <w:pStyle w:val="Ttulo1"/>
        <w:numPr>
          <w:ilvl w:val="0"/>
          <w:numId w:val="16"/>
        </w:numPr>
        <w:rPr>
          <w:rFonts w:ascii="Calibri" w:eastAsia="Questrial" w:hAnsi="Calibri" w:cs="Calibri"/>
          <w:b/>
          <w:color w:val="auto"/>
          <w:sz w:val="22"/>
          <w:szCs w:val="24"/>
          <w:bdr w:val="none" w:sz="0" w:space="0" w:color="auto"/>
          <w:lang w:eastAsia="es-MX"/>
        </w:rPr>
      </w:pPr>
      <w:bookmarkStart w:id="2" w:name="_Toc17798005"/>
      <w:r w:rsidRPr="00CA5F93">
        <w:rPr>
          <w:rFonts w:ascii="Calibri" w:eastAsia="Questrial" w:hAnsi="Calibri" w:cs="Calibri"/>
          <w:b/>
          <w:color w:val="auto"/>
          <w:sz w:val="22"/>
          <w:szCs w:val="24"/>
          <w:bdr w:val="none" w:sz="0" w:space="0" w:color="auto"/>
          <w:lang w:eastAsia="es-MX"/>
        </w:rPr>
        <w:t>Consideraciones legales respecto de las facultades de IFT</w:t>
      </w:r>
      <w:bookmarkEnd w:id="2"/>
      <w:r w:rsidRPr="00CA5F93">
        <w:rPr>
          <w:rFonts w:ascii="Calibri" w:eastAsia="Questrial" w:hAnsi="Calibri" w:cs="Calibri"/>
          <w:b/>
          <w:color w:val="auto"/>
          <w:sz w:val="22"/>
          <w:szCs w:val="24"/>
          <w:bdr w:val="none" w:sz="0" w:space="0" w:color="auto"/>
          <w:lang w:eastAsia="es-MX"/>
        </w:rPr>
        <w:t xml:space="preserve"> </w:t>
      </w:r>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ind w:right="333"/>
        <w:jc w:val="both"/>
        <w:rPr>
          <w:rFonts w:ascii="Calibri" w:eastAsia="Questrial" w:hAnsi="Calibri" w:cs="Calibri"/>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 xml:space="preserve">El marco legal otorga al IFT facultades que no solamente se limitan a ser el árbitro en materia de competencia en los mercados de telecomunicaciones y radiodifusión, sino que también la propia Constitución le ha asignado un papel de regulador y le ha confiado el desarrollo adecuado de las tecnologías de la información y la expansión digital en beneficio de la sociedad. En este sentido, el IFT tiene que definir qué papel juega como regulador y promotor para generar este ambiente propicio a la innovación pero que, a la </w:t>
      </w:r>
      <w:r w:rsidRPr="007937BF">
        <w:rPr>
          <w:rFonts w:ascii="Calibri" w:eastAsia="Questrial" w:hAnsi="Calibri" w:cs="Calibri"/>
          <w:color w:val="000000"/>
          <w:bdr w:val="none" w:sz="0" w:space="0" w:color="auto"/>
          <w:lang w:eastAsia="es-MX"/>
        </w:rPr>
        <w:lastRenderedPageBreak/>
        <w:t xml:space="preserve">vez, prevenga el establecimiento de barreras a la competencia que limiten el desarrollo de los mercados. </w:t>
      </w:r>
    </w:p>
    <w:p w:rsidR="007937BF" w:rsidRPr="007937BF" w:rsidRDefault="007937BF" w:rsidP="007937BF">
      <w:pPr>
        <w:pBdr>
          <w:bar w:val="none" w:sz="0" w:color="auto"/>
        </w:pBdr>
        <w:tabs>
          <w:tab w:val="left" w:pos="8505"/>
        </w:tabs>
        <w:ind w:left="567" w:right="333" w:hanging="720"/>
        <w:jc w:val="both"/>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El Consejo Consultivo observa que el IFT es u</w:t>
      </w:r>
      <w:r w:rsidR="00EA4676">
        <w:rPr>
          <w:rFonts w:ascii="Calibri" w:eastAsia="Questrial" w:hAnsi="Calibri" w:cs="Calibri"/>
          <w:color w:val="000000"/>
          <w:bdr w:val="none" w:sz="0" w:space="0" w:color="auto"/>
          <w:lang w:eastAsia="es-MX"/>
        </w:rPr>
        <w:t>n órgano con la especialización</w:t>
      </w:r>
      <w:r w:rsidRPr="007937BF">
        <w:rPr>
          <w:rFonts w:ascii="Calibri" w:eastAsia="Questrial" w:hAnsi="Calibri" w:cs="Calibri"/>
          <w:color w:val="000000"/>
          <w:bdr w:val="none" w:sz="0" w:space="0" w:color="auto"/>
          <w:lang w:eastAsia="es-MX"/>
        </w:rPr>
        <w:t xml:space="preserve"> técnica requerida y legalmente revestido de las facultades necesarias para impulsar una agenda de promoción y desarrollo del entorno digital de forma integral que involucre a todos los órganos de gobierno que tengan incidencia en la agenda.</w:t>
      </w:r>
    </w:p>
    <w:p w:rsidR="007937BF" w:rsidRPr="007937BF" w:rsidRDefault="007937BF" w:rsidP="007937BF">
      <w:pPr>
        <w:pBdr>
          <w:bar w:val="none" w:sz="0" w:color="auto"/>
        </w:pBdr>
        <w:ind w:left="720" w:hanging="720"/>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En efecto</w:t>
      </w:r>
      <w:r w:rsidR="00EA4676">
        <w:rPr>
          <w:rFonts w:ascii="Calibri" w:eastAsia="Questrial" w:hAnsi="Calibri" w:cs="Calibri"/>
          <w:color w:val="000000"/>
          <w:bdr w:val="none" w:sz="0" w:space="0" w:color="auto"/>
          <w:lang w:eastAsia="es-MX"/>
        </w:rPr>
        <w:t>,</w:t>
      </w:r>
      <w:r w:rsidRPr="007937BF">
        <w:rPr>
          <w:rFonts w:ascii="Calibri" w:eastAsia="Questrial" w:hAnsi="Calibri" w:cs="Calibri"/>
          <w:color w:val="000000"/>
          <w:bdr w:val="none" w:sz="0" w:space="0" w:color="auto"/>
          <w:lang w:eastAsia="es-MX"/>
        </w:rPr>
        <w:t xml:space="preserve"> conforme a los artículos 6o y 7o de la Constitución Política de los Estados Unidos Mexicanos (CPEUM):</w:t>
      </w:r>
    </w:p>
    <w:p w:rsidR="007937BF" w:rsidRPr="007937BF" w:rsidRDefault="007937BF" w:rsidP="007937BF">
      <w:pPr>
        <w:pBdr>
          <w:bar w:val="none" w:sz="0" w:color="auto"/>
        </w:pBdr>
        <w:ind w:left="720" w:hanging="720"/>
        <w:rPr>
          <w:rFonts w:ascii="Calibri" w:eastAsia="Questrial" w:hAnsi="Calibri" w:cs="Calibri"/>
          <w:color w:val="000000"/>
          <w:bdr w:val="none" w:sz="0" w:space="0" w:color="auto"/>
          <w:lang w:eastAsia="es-MX"/>
        </w:rPr>
      </w:pPr>
    </w:p>
    <w:p w:rsid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 xml:space="preserve"> “Artículo 6o. […] 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7937BF" w:rsidRPr="007937BF" w:rsidRDefault="007937BF" w:rsidP="007937BF">
      <w:pPr>
        <w:pBdr>
          <w:bar w:val="none" w:sz="0" w:color="auto"/>
        </w:pBdr>
        <w:tabs>
          <w:tab w:val="left" w:pos="1134"/>
          <w:tab w:val="left" w:pos="8505"/>
          <w:tab w:val="left" w:pos="8931"/>
          <w:tab w:val="left" w:pos="9639"/>
        </w:tabs>
        <w:ind w:left="1134" w:right="333" w:hanging="720"/>
        <w:jc w:val="both"/>
        <w:rPr>
          <w:rFonts w:ascii="Calibri" w:eastAsia="Questrial" w:hAnsi="Calibri" w:cs="Calibri"/>
          <w:color w:val="000000"/>
          <w:bdr w:val="none" w:sz="0" w:space="0" w:color="auto"/>
          <w:lang w:eastAsia="es-MX"/>
        </w:rPr>
      </w:pP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Para efectos de lo dispuesto en el presente artículo se observará lo siguiente:</w:t>
      </w:r>
    </w:p>
    <w:p w:rsidR="007937BF" w:rsidRPr="007937BF" w:rsidRDefault="007937BF" w:rsidP="007937BF">
      <w:pPr>
        <w:pBdr>
          <w:bar w:val="none" w:sz="0" w:color="auto"/>
        </w:pBdr>
        <w:tabs>
          <w:tab w:val="left" w:pos="1134"/>
        </w:tabs>
        <w:ind w:left="1134" w:right="991"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w:t>
      </w: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 xml:space="preserve">B. </w:t>
      </w:r>
      <w:r w:rsidRPr="007937BF">
        <w:rPr>
          <w:rFonts w:ascii="Calibri" w:eastAsia="Questrial" w:hAnsi="Calibri" w:cs="Calibri"/>
          <w:color w:val="000000"/>
          <w:bdr w:val="none" w:sz="0" w:space="0" w:color="auto"/>
          <w:lang w:eastAsia="es-MX"/>
        </w:rPr>
        <w:tab/>
        <w:t>En materia de radiodifusión y telecomunicaciones:</w:t>
      </w:r>
    </w:p>
    <w:p w:rsidR="007937BF" w:rsidRPr="007937BF" w:rsidRDefault="007937BF" w:rsidP="007937BF">
      <w:pPr>
        <w:pBdr>
          <w:bar w:val="none" w:sz="0" w:color="auto"/>
        </w:pBdr>
        <w:tabs>
          <w:tab w:val="left" w:pos="1134"/>
          <w:tab w:val="left" w:pos="8505"/>
          <w:tab w:val="left" w:pos="8931"/>
          <w:tab w:val="left" w:pos="9639"/>
          <w:tab w:val="left" w:pos="9923"/>
        </w:tabs>
        <w:ind w:left="1134" w:right="333" w:hanging="720"/>
        <w:jc w:val="both"/>
        <w:rPr>
          <w:rFonts w:ascii="Calibri" w:eastAsia="Questrial" w:hAnsi="Calibri" w:cs="Calibri"/>
          <w:color w:val="000000"/>
          <w:bdr w:val="none" w:sz="0" w:space="0" w:color="auto"/>
          <w:lang w:eastAsia="es-MX"/>
        </w:rPr>
      </w:pP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 xml:space="preserve">I. </w:t>
      </w:r>
      <w:r w:rsidRPr="007937BF">
        <w:rPr>
          <w:rFonts w:ascii="Calibri" w:eastAsia="Questrial" w:hAnsi="Calibri" w:cs="Calibri"/>
          <w:color w:val="000000"/>
          <w:bdr w:val="none" w:sz="0" w:space="0" w:color="auto"/>
          <w:lang w:eastAsia="es-MX"/>
        </w:rPr>
        <w:tab/>
        <w:t>El Estado garantizará a la población su integración a la sociedad de la información y el conocimiento, mediante una política de inclusión digital universal con metas anuales y sexenales.</w:t>
      </w:r>
    </w:p>
    <w:p w:rsidR="007937BF" w:rsidRPr="007937BF" w:rsidRDefault="007937BF" w:rsidP="007937BF">
      <w:pPr>
        <w:pBdr>
          <w:bar w:val="none" w:sz="0" w:color="auto"/>
        </w:pBdr>
        <w:tabs>
          <w:tab w:val="left" w:pos="1134"/>
          <w:tab w:val="left" w:pos="8505"/>
          <w:tab w:val="left" w:pos="8931"/>
          <w:tab w:val="left" w:pos="9639"/>
          <w:tab w:val="left" w:pos="9923"/>
        </w:tabs>
        <w:ind w:left="1134" w:right="333" w:hanging="720"/>
        <w:jc w:val="both"/>
        <w:rPr>
          <w:rFonts w:ascii="Calibri" w:eastAsia="Questrial" w:hAnsi="Calibri" w:cs="Calibri"/>
          <w:color w:val="000000"/>
          <w:bdr w:val="none" w:sz="0" w:space="0" w:color="auto"/>
          <w:lang w:eastAsia="es-MX"/>
        </w:rPr>
      </w:pPr>
    </w:p>
    <w:p w:rsidR="007937BF" w:rsidRPr="007937BF" w:rsidRDefault="002F60D5"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Pr>
          <w:rFonts w:ascii="Calibri" w:eastAsia="Questrial" w:hAnsi="Calibri" w:cs="Calibri"/>
          <w:color w:val="000000"/>
          <w:bdr w:val="none" w:sz="0" w:space="0" w:color="auto"/>
          <w:lang w:eastAsia="es-MX"/>
        </w:rPr>
        <w:tab/>
      </w:r>
      <w:r w:rsidR="007937BF" w:rsidRPr="007937BF">
        <w:rPr>
          <w:rFonts w:ascii="Calibri" w:eastAsia="Questrial" w:hAnsi="Calibri" w:cs="Calibri"/>
          <w:color w:val="000000"/>
          <w:bdr w:val="none" w:sz="0" w:space="0" w:color="auto"/>
          <w:lang w:eastAsia="es-MX"/>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p>
    <w:p w:rsidR="007937BF" w:rsidRPr="007937BF" w:rsidRDefault="002F60D5"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Pr>
          <w:rFonts w:ascii="Calibri" w:eastAsia="Questrial" w:hAnsi="Calibri" w:cs="Calibri"/>
          <w:color w:val="000000"/>
          <w:bdr w:val="none" w:sz="0" w:space="0" w:color="auto"/>
          <w:lang w:eastAsia="es-MX"/>
        </w:rPr>
        <w:tab/>
      </w:r>
      <w:r w:rsidR="007937BF" w:rsidRPr="007937BF">
        <w:rPr>
          <w:rFonts w:ascii="Calibri" w:eastAsia="Questrial" w:hAnsi="Calibri" w:cs="Calibri"/>
          <w:color w:val="000000"/>
          <w:bdr w:val="none" w:sz="0" w:space="0" w:color="auto"/>
          <w:lang w:eastAsia="es-MX"/>
        </w:rPr>
        <w:t>“Artículo 7o.-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p>
    <w:p w:rsidR="007937BF" w:rsidRPr="007937BF" w:rsidRDefault="002F60D5" w:rsidP="007937BF">
      <w:pPr>
        <w:pBdr>
          <w:bar w:val="none" w:sz="0" w:color="auto"/>
        </w:pBdr>
        <w:tabs>
          <w:tab w:val="left" w:pos="1134"/>
        </w:tabs>
        <w:ind w:left="1134" w:right="1275" w:hanging="720"/>
        <w:jc w:val="both"/>
        <w:rPr>
          <w:rFonts w:ascii="Calibri" w:eastAsia="Arial" w:hAnsi="Calibri" w:cs="Calibri"/>
          <w:color w:val="000000"/>
          <w:bdr w:val="none" w:sz="0" w:space="0" w:color="auto"/>
          <w:lang w:eastAsia="es-MX"/>
        </w:rPr>
      </w:pPr>
      <w:r>
        <w:rPr>
          <w:rFonts w:ascii="Calibri" w:eastAsia="Questrial" w:hAnsi="Calibri" w:cs="Calibri"/>
          <w:color w:val="000000"/>
          <w:bdr w:val="none" w:sz="0" w:space="0" w:color="auto"/>
          <w:lang w:eastAsia="es-MX"/>
        </w:rPr>
        <w:lastRenderedPageBreak/>
        <w:tab/>
      </w:r>
      <w:r w:rsidR="007937BF" w:rsidRPr="007937BF">
        <w:rPr>
          <w:rFonts w:ascii="Calibri" w:eastAsia="Questrial" w:hAnsi="Calibri" w:cs="Calibri"/>
          <w:color w:val="000000"/>
          <w:bdr w:val="none" w:sz="0" w:space="0" w:color="auto"/>
          <w:lang w:eastAsia="es-MX"/>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r w:rsidR="007937BF" w:rsidRPr="007937BF">
        <w:rPr>
          <w:rFonts w:ascii="Calibri" w:eastAsia="Arial" w:hAnsi="Calibri" w:cs="Calibri"/>
          <w:color w:val="000000"/>
          <w:bdr w:val="none" w:sz="0" w:space="0" w:color="auto"/>
          <w:lang w:eastAsia="es-MX"/>
        </w:rPr>
        <w:t>.”</w:t>
      </w:r>
    </w:p>
    <w:p w:rsidR="00EA4676" w:rsidRPr="007937BF" w:rsidRDefault="00EA4676" w:rsidP="00EA4676">
      <w:pPr>
        <w:pBdr>
          <w:bar w:val="none" w:sz="0" w:color="auto"/>
        </w:pBdr>
        <w:tabs>
          <w:tab w:val="left" w:pos="9498"/>
        </w:tabs>
        <w:jc w:val="both"/>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Por su parte, el artículo 28 de la CPEUM crea al Instituto como un órgano constitucional autónomo encargado del desarrollo eficiente de las telecomunicaciones, y de garantizar las condiciones de competencia en el mismo sector; teniendo las facultades para emitir disposiciones administrativas de carácter general exclusivamente para el cumplimiento de su función regulatoria en el sector de su competencia:</w:t>
      </w:r>
    </w:p>
    <w:p w:rsidR="007937BF" w:rsidRPr="007937BF" w:rsidRDefault="007937BF" w:rsidP="007937BF">
      <w:pPr>
        <w:pBdr>
          <w:bar w:val="none" w:sz="0" w:color="auto"/>
        </w:pBdr>
        <w:tabs>
          <w:tab w:val="left" w:pos="8505"/>
        </w:tabs>
        <w:ind w:left="567" w:right="333" w:hanging="720"/>
        <w:jc w:val="both"/>
        <w:rPr>
          <w:rFonts w:ascii="Calibri" w:eastAsia="Questrial" w:hAnsi="Calibri" w:cs="Calibri"/>
          <w:color w:val="000000"/>
          <w:bdr w:val="none" w:sz="0" w:space="0" w:color="auto"/>
          <w:lang w:eastAsia="es-MX"/>
        </w:rPr>
      </w:pP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“…El Instituto Federal de Telecomunicaciones es un órgano autónomo, con personalidad jurídica y patrimonio propio, que tiene por objeto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w:t>
      </w:r>
    </w:p>
    <w:p w:rsidR="007937BF" w:rsidRPr="007937BF" w:rsidRDefault="007937BF" w:rsidP="007937BF">
      <w:pPr>
        <w:pBdr>
          <w:bar w:val="none" w:sz="0" w:color="auto"/>
        </w:pBdr>
        <w:ind w:left="720" w:hanging="720"/>
        <w:rPr>
          <w:rFonts w:ascii="Calibri" w:eastAsia="Questrial" w:hAnsi="Calibri" w:cs="Calibri"/>
          <w:color w:val="000000"/>
          <w:bdr w:val="none" w:sz="0" w:space="0" w:color="auto"/>
          <w:lang w:eastAsia="es-MX"/>
        </w:rPr>
      </w:pP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El Instituto Federal de Telecomunicaciones será también la autoridad en materia de competencia económica de los sectores de radiodifusión y telecomunicaciones…”</w:t>
      </w: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ind w:left="567" w:right="283"/>
        <w:jc w:val="both"/>
        <w:rPr>
          <w:rFonts w:ascii="Calibri" w:eastAsia="Arial" w:hAnsi="Calibri" w:cs="Calibri"/>
          <w:bdr w:val="none" w:sz="0" w:space="0" w:color="auto"/>
          <w:lang w:eastAsia="es-MX"/>
        </w:rPr>
      </w:pPr>
      <w:r w:rsidRPr="007937BF">
        <w:rPr>
          <w:rFonts w:ascii="Calibri" w:eastAsia="Questrial" w:hAnsi="Calibri" w:cs="Calibri"/>
          <w:bdr w:val="none" w:sz="0" w:space="0" w:color="auto"/>
          <w:lang w:eastAsia="es-MX"/>
        </w:rPr>
        <w:t>De esta forma, en el ejercicio participan en la dirección política del Estado, pues emiten actos materialmente ejecutivos, legislativos o jurisdiccionales que contribuyen a la toma de decisiones en el ámbito de sus competencias</w:t>
      </w:r>
      <w:r w:rsidRPr="007937BF">
        <w:rPr>
          <w:rFonts w:ascii="Calibri" w:eastAsia="Arial" w:hAnsi="Calibri" w:cs="Calibri"/>
          <w:bdr w:val="none" w:sz="0" w:space="0" w:color="auto"/>
          <w:lang w:eastAsia="es-MX"/>
        </w:rPr>
        <w:t>.</w:t>
      </w:r>
    </w:p>
    <w:p w:rsidR="007937BF" w:rsidRPr="007937BF" w:rsidRDefault="007937BF" w:rsidP="007937BF">
      <w:pPr>
        <w:pBdr>
          <w:bar w:val="none" w:sz="0" w:color="auto"/>
        </w:pBdr>
        <w:tabs>
          <w:tab w:val="left" w:pos="8505"/>
        </w:tabs>
        <w:ind w:left="567" w:right="333" w:hanging="720"/>
        <w:jc w:val="both"/>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Por otro lado, si bien conforme a la propia Constitución corresponde al Ejecutivo Federal la política de inclusión digital universal, el Instituto debe realizar accione</w:t>
      </w:r>
      <w:r w:rsidR="00EA4676">
        <w:rPr>
          <w:rFonts w:ascii="Calibri" w:eastAsia="Questrial" w:hAnsi="Calibri" w:cs="Calibri"/>
          <w:color w:val="000000"/>
          <w:bdr w:val="none" w:sz="0" w:space="0" w:color="auto"/>
          <w:lang w:eastAsia="es-MX"/>
        </w:rPr>
        <w:t xml:space="preserve">s necesarias para contribuir </w:t>
      </w:r>
      <w:r w:rsidRPr="007937BF">
        <w:rPr>
          <w:rFonts w:ascii="Calibri" w:eastAsia="Questrial" w:hAnsi="Calibri" w:cs="Calibri"/>
          <w:color w:val="000000"/>
          <w:bdr w:val="none" w:sz="0" w:space="0" w:color="auto"/>
          <w:lang w:eastAsia="es-MX"/>
        </w:rPr>
        <w:t>con los objetivos  de la política de inclusión digital universal.</w:t>
      </w:r>
      <w:r w:rsidRPr="007937BF">
        <w:rPr>
          <w:rFonts w:ascii="Calibri" w:eastAsia="Questrial" w:hAnsi="Calibri" w:cs="Calibri"/>
          <w:color w:val="000000"/>
          <w:bdr w:val="none" w:sz="0" w:space="0" w:color="auto"/>
          <w:vertAlign w:val="superscript"/>
          <w:lang w:eastAsia="es-MX"/>
        </w:rPr>
        <w:footnoteReference w:id="10"/>
      </w:r>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ind w:right="333"/>
        <w:jc w:val="both"/>
        <w:rPr>
          <w:rFonts w:ascii="Calibri" w:eastAsia="Questrial" w:hAnsi="Calibri" w:cs="Calibri"/>
          <w:bdr w:val="none" w:sz="0" w:space="0" w:color="auto"/>
          <w:lang w:eastAsia="es-MX"/>
        </w:rPr>
      </w:pPr>
      <w:r w:rsidRPr="007937BF">
        <w:rPr>
          <w:rFonts w:ascii="Calibri" w:eastAsia="Questrial" w:hAnsi="Calibri" w:cs="Calibri"/>
          <w:bdr w:val="none" w:sz="0" w:space="0" w:color="auto"/>
          <w:lang w:eastAsia="es-MX"/>
        </w:rPr>
        <w:t xml:space="preserve"> </w:t>
      </w: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Por lo que se refiere también a las atribuciones del Instituto relacionadas con los sistemas digitales o redes de comunicación la Ley Federal de Telecomuni</w:t>
      </w:r>
      <w:r w:rsidR="00356957">
        <w:rPr>
          <w:rFonts w:ascii="Calibri" w:eastAsia="Questrial" w:hAnsi="Calibri" w:cs="Calibri"/>
          <w:color w:val="000000"/>
          <w:bdr w:val="none" w:sz="0" w:space="0" w:color="auto"/>
          <w:lang w:eastAsia="es-MX"/>
        </w:rPr>
        <w:t xml:space="preserve">caciones y Radiodifusión </w:t>
      </w:r>
      <w:r w:rsidR="00356957">
        <w:rPr>
          <w:rFonts w:ascii="Calibri" w:eastAsia="Questrial" w:hAnsi="Calibri" w:cs="Calibri"/>
          <w:color w:val="000000"/>
          <w:bdr w:val="none" w:sz="0" w:space="0" w:color="auto"/>
          <w:lang w:eastAsia="es-MX"/>
        </w:rPr>
        <w:lastRenderedPageBreak/>
        <w:t>(LFTR)</w:t>
      </w:r>
      <w:r w:rsidRPr="007937BF">
        <w:rPr>
          <w:rFonts w:ascii="Calibri" w:eastAsia="Questrial" w:hAnsi="Calibri" w:cs="Calibri"/>
          <w:color w:val="000000"/>
          <w:bdr w:val="none" w:sz="0" w:space="0" w:color="auto"/>
          <w:lang w:eastAsia="es-MX"/>
        </w:rPr>
        <w:t xml:space="preserve"> confiere atribuciones relacionadas con la gobernanza de los sistemas, incluyendo el internet.</w:t>
      </w:r>
    </w:p>
    <w:p w:rsidR="007937BF" w:rsidRPr="007937BF" w:rsidRDefault="007937BF" w:rsidP="007937BF">
      <w:pPr>
        <w:pBdr>
          <w:bar w:val="none" w:sz="0" w:color="auto"/>
        </w:pBdr>
        <w:ind w:left="720" w:hanging="720"/>
        <w:rPr>
          <w:rFonts w:ascii="Calibri" w:eastAsia="Questrial" w:hAnsi="Calibri" w:cs="Calibri"/>
          <w:color w:val="000000"/>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 xml:space="preserve">Igualmente, el artículo 5º de la LFTR otorga al Instituto, entre otras, las siguientes facultades: </w:t>
      </w:r>
    </w:p>
    <w:p w:rsidR="007937BF" w:rsidRPr="007937BF" w:rsidRDefault="007937BF" w:rsidP="007937BF">
      <w:pPr>
        <w:pBdr>
          <w:bar w:val="none" w:sz="0" w:color="auto"/>
        </w:pBdr>
        <w:tabs>
          <w:tab w:val="left" w:pos="8505"/>
        </w:tabs>
        <w:ind w:right="333"/>
        <w:jc w:val="both"/>
        <w:rPr>
          <w:rFonts w:ascii="Calibri" w:eastAsia="Questrial" w:hAnsi="Calibri" w:cs="Calibri"/>
          <w:color w:val="000000"/>
          <w:bdr w:val="none" w:sz="0" w:space="0" w:color="auto"/>
          <w:lang w:eastAsia="es-MX"/>
        </w:rPr>
      </w:pP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w:t>
      </w: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XXXI.- Realizar las acciones necesarias para contribuir, en el ámbito de su competencia, al logro de los objetivos de la política de inclusión digital universal y cobertura universal establecida por el Ejecutivo Federal; así como a los objetivos y metas fijados en el Plan Nacional de Desarrollo y los demás instrumentos programáticos relacionados con los sectores de r</w:t>
      </w:r>
      <w:r w:rsidR="00626B27">
        <w:rPr>
          <w:rFonts w:ascii="Calibri" w:eastAsia="Questrial" w:hAnsi="Calibri" w:cs="Calibri"/>
          <w:color w:val="000000"/>
          <w:bdr w:val="none" w:sz="0" w:space="0" w:color="auto"/>
          <w:lang w:eastAsia="es-MX"/>
        </w:rPr>
        <w:t>a</w:t>
      </w:r>
      <w:r w:rsidRPr="007937BF">
        <w:rPr>
          <w:rFonts w:ascii="Calibri" w:eastAsia="Questrial" w:hAnsi="Calibri" w:cs="Calibri"/>
          <w:color w:val="000000"/>
          <w:bdr w:val="none" w:sz="0" w:space="0" w:color="auto"/>
          <w:lang w:eastAsia="es-MX"/>
        </w:rPr>
        <w:t>diodifusión y telecomunicaciones; […]</w:t>
      </w: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p>
    <w:p w:rsidR="007937BF" w:rsidRPr="007937BF" w:rsidRDefault="00626B27"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Pr>
          <w:rFonts w:ascii="Calibri" w:eastAsia="Questrial" w:hAnsi="Calibri" w:cs="Calibri"/>
          <w:color w:val="000000"/>
          <w:bdr w:val="none" w:sz="0" w:space="0" w:color="auto"/>
          <w:lang w:eastAsia="es-MX"/>
        </w:rPr>
        <w:t xml:space="preserve">XXXV.- </w:t>
      </w:r>
      <w:r w:rsidR="007937BF" w:rsidRPr="007937BF">
        <w:rPr>
          <w:rFonts w:ascii="Calibri" w:eastAsia="Questrial" w:hAnsi="Calibri" w:cs="Calibri"/>
          <w:color w:val="000000"/>
          <w:bdr w:val="none" w:sz="0" w:space="0" w:color="auto"/>
          <w:lang w:eastAsia="es-MX"/>
        </w:rPr>
        <w:t>Celebrar acuerdos, bases de coordinación y convenios de colaboración en materia de radiodifusión y telecomunicaciones con autoridades y organismos, así como con instituciones académicas y asociaciones culturales, para el mejor cumplimiento de sus atribuciones; […]</w:t>
      </w: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p>
    <w:p w:rsidR="007937BF" w:rsidRPr="007937BF" w:rsidRDefault="007937BF" w:rsidP="00626B27">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XXXVII.</w:t>
      </w:r>
      <w:r w:rsidR="00626B27">
        <w:rPr>
          <w:rFonts w:ascii="Calibri" w:eastAsia="Questrial" w:hAnsi="Calibri" w:cs="Calibri"/>
          <w:color w:val="000000"/>
          <w:bdr w:val="none" w:sz="0" w:space="0" w:color="auto"/>
          <w:lang w:eastAsia="es-MX"/>
        </w:rPr>
        <w:t xml:space="preserve">- </w:t>
      </w:r>
      <w:r w:rsidRPr="007937BF">
        <w:rPr>
          <w:rFonts w:ascii="Calibri" w:eastAsia="Questrial" w:hAnsi="Calibri" w:cs="Calibri"/>
          <w:color w:val="000000"/>
          <w:bdr w:val="none" w:sz="0" w:space="0" w:color="auto"/>
          <w:lang w:eastAsia="es-MX"/>
        </w:rPr>
        <w:t>Realizar por sí mismo, a través o en coordinación con las dependencias y entidades competentes, así como con instituciones académicas y los particulares, la investigación y el desarrollo tecnológico en materia de telecomunicaciones y radiodifusión, la capacitación y la formación de recursos humanos en estas materias; […]</w:t>
      </w: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p>
    <w:p w:rsidR="007937BF" w:rsidRPr="007937BF" w:rsidRDefault="00626B27"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Pr>
          <w:rFonts w:ascii="Calibri" w:eastAsia="Questrial" w:hAnsi="Calibri" w:cs="Calibri"/>
          <w:color w:val="000000"/>
          <w:bdr w:val="none" w:sz="0" w:space="0" w:color="auto"/>
          <w:lang w:eastAsia="es-MX"/>
        </w:rPr>
        <w:t xml:space="preserve">XXXIX.- </w:t>
      </w:r>
      <w:r w:rsidR="007937BF" w:rsidRPr="007937BF">
        <w:rPr>
          <w:rFonts w:ascii="Calibri" w:eastAsia="Questrial" w:hAnsi="Calibri" w:cs="Calibri"/>
          <w:color w:val="000000"/>
          <w:bdr w:val="none" w:sz="0" w:space="0" w:color="auto"/>
          <w:lang w:eastAsia="es-MX"/>
        </w:rPr>
        <w:t>Realizar estudios e investigaciones en materia de telecomunicaciones y radiodifusión, así como elaborar proyectos de actualización de las disposiciones legales y administrativas que resulten pertinentes; […]</w:t>
      </w: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XLI.- Establecer las disposiciones para sus procesos de mejora regulatoria; […]</w:t>
      </w: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LVI. Aprobar y expedir las disposiciones administrativas de carácter general necesarias para el debido ejercicio de las facultades y atribuciones del Instituto;”</w:t>
      </w:r>
    </w:p>
    <w:p w:rsidR="007937BF" w:rsidRPr="007937BF" w:rsidRDefault="007937BF" w:rsidP="007937BF">
      <w:pPr>
        <w:pBdr>
          <w:bar w:val="none" w:sz="0" w:color="auto"/>
        </w:pBdr>
        <w:tabs>
          <w:tab w:val="left" w:pos="1134"/>
        </w:tabs>
        <w:ind w:left="1134" w:right="1275" w:hanging="720"/>
        <w:jc w:val="both"/>
        <w:rPr>
          <w:rFonts w:ascii="Calibri" w:eastAsia="Questrial" w:hAnsi="Calibri" w:cs="Calibri"/>
          <w:color w:val="000000"/>
          <w:bdr w:val="none" w:sz="0" w:space="0" w:color="auto"/>
          <w:lang w:eastAsia="es-MX"/>
        </w:rPr>
      </w:pPr>
    </w:p>
    <w:p w:rsidR="007937BF" w:rsidRPr="00356957"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bdr w:val="none" w:sz="0" w:space="0" w:color="auto"/>
          <w:lang w:eastAsia="es-MX"/>
        </w:rPr>
      </w:pPr>
      <w:r w:rsidRPr="007937BF">
        <w:rPr>
          <w:rFonts w:ascii="Calibri" w:eastAsia="Questrial" w:hAnsi="Calibri" w:cs="Calibri"/>
          <w:color w:val="000000"/>
          <w:bdr w:val="none" w:sz="0" w:space="0" w:color="auto"/>
          <w:lang w:eastAsia="es-MX"/>
        </w:rPr>
        <w:t>Por supuesto, todas estas atribuciones son sin perjuicio de las facultades de otras autoridades que pudieran tener competencia</w:t>
      </w:r>
      <w:r w:rsidR="004278E2">
        <w:rPr>
          <w:rFonts w:ascii="Calibri" w:eastAsia="Questrial" w:hAnsi="Calibri" w:cs="Calibri"/>
          <w:color w:val="000000"/>
          <w:bdr w:val="none" w:sz="0" w:space="0" w:color="auto"/>
          <w:lang w:eastAsia="es-MX"/>
        </w:rPr>
        <w:t>s</w:t>
      </w:r>
      <w:r w:rsidRPr="007937BF">
        <w:rPr>
          <w:rFonts w:ascii="Calibri" w:eastAsia="Questrial" w:hAnsi="Calibri" w:cs="Calibri"/>
          <w:color w:val="000000"/>
          <w:bdr w:val="none" w:sz="0" w:space="0" w:color="auto"/>
          <w:lang w:eastAsia="es-MX"/>
        </w:rPr>
        <w:t xml:space="preserve"> concurrentes o exclusivas relacionadas con la promoción del entorno digital. </w:t>
      </w:r>
    </w:p>
    <w:p w:rsidR="007937BF" w:rsidRPr="00CA5F93" w:rsidRDefault="007937BF" w:rsidP="00CA5F93">
      <w:pPr>
        <w:pStyle w:val="Ttulo1"/>
        <w:numPr>
          <w:ilvl w:val="0"/>
          <w:numId w:val="15"/>
        </w:numPr>
        <w:rPr>
          <w:rFonts w:ascii="Calibri" w:eastAsia="Questrial" w:hAnsi="Calibri" w:cs="Calibri"/>
          <w:b/>
          <w:color w:val="auto"/>
          <w:sz w:val="24"/>
          <w:szCs w:val="24"/>
          <w:bdr w:val="none" w:sz="0" w:space="0" w:color="auto"/>
          <w:lang w:eastAsia="es-MX"/>
        </w:rPr>
      </w:pPr>
      <w:bookmarkStart w:id="3" w:name="_Toc17798006"/>
      <w:r w:rsidRPr="00CA5F93">
        <w:rPr>
          <w:rFonts w:ascii="Calibri" w:eastAsia="Questrial" w:hAnsi="Calibri" w:cs="Calibri"/>
          <w:b/>
          <w:color w:val="auto"/>
          <w:sz w:val="24"/>
          <w:szCs w:val="24"/>
          <w:bdr w:val="none" w:sz="0" w:space="0" w:color="auto"/>
          <w:lang w:eastAsia="es-MX"/>
        </w:rPr>
        <w:lastRenderedPageBreak/>
        <w:t>Recomendación</w:t>
      </w:r>
      <w:bookmarkEnd w:id="3"/>
    </w:p>
    <w:p w:rsidR="007937BF" w:rsidRPr="007937BF" w:rsidRDefault="007937BF" w:rsidP="007937BF">
      <w:pPr>
        <w:pBdr>
          <w:bar w:val="none" w:sz="0" w:color="auto"/>
        </w:pBdr>
        <w:spacing w:line="276" w:lineRule="auto"/>
        <w:ind w:left="567" w:hanging="720"/>
        <w:rPr>
          <w:rFonts w:ascii="Calibri" w:eastAsia="Questrial" w:hAnsi="Calibri" w:cs="Calibri"/>
          <w:color w:val="000000"/>
          <w:u w:val="single"/>
          <w:bdr w:val="none" w:sz="0" w:space="0" w:color="auto"/>
          <w:lang w:eastAsia="es-MX"/>
        </w:rPr>
      </w:pPr>
    </w:p>
    <w:p w:rsidR="007937BF" w:rsidRPr="007937BF" w:rsidRDefault="007937BF" w:rsidP="007937B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200"/>
        <w:ind w:left="567" w:right="333" w:hanging="567"/>
        <w:jc w:val="both"/>
        <w:rPr>
          <w:rFonts w:ascii="Calibri" w:eastAsia="Questrial" w:hAnsi="Calibri" w:cs="Calibri"/>
          <w:color w:val="000000"/>
          <w:u w:val="single"/>
          <w:bdr w:val="none" w:sz="0" w:space="0" w:color="auto"/>
          <w:lang w:eastAsia="es-MX"/>
        </w:rPr>
      </w:pPr>
      <w:bookmarkStart w:id="4" w:name="_gjdgxs" w:colFirst="0" w:colLast="0"/>
      <w:bookmarkEnd w:id="4"/>
      <w:r w:rsidRPr="007937BF">
        <w:rPr>
          <w:rFonts w:ascii="Calibri" w:eastAsia="Questrial" w:hAnsi="Calibri" w:cs="Calibri"/>
          <w:color w:val="000000"/>
          <w:bdr w:val="none" w:sz="0" w:space="0" w:color="auto"/>
          <w:lang w:eastAsia="es-MX"/>
        </w:rPr>
        <w:t xml:space="preserve">Impulsar, dentro y fuera del Instituto, la agenda para la promoción de la innovación y competencia en el entorno digital (Agenda Integral de </w:t>
      </w:r>
      <w:r w:rsidR="00626B27">
        <w:rPr>
          <w:rFonts w:ascii="Calibri" w:eastAsia="Questrial" w:hAnsi="Calibri" w:cs="Calibri"/>
          <w:color w:val="000000"/>
          <w:bdr w:val="none" w:sz="0" w:space="0" w:color="auto"/>
          <w:lang w:eastAsia="es-MX"/>
        </w:rPr>
        <w:t>Promoción). Para ello, el Consejo</w:t>
      </w:r>
      <w:r w:rsidRPr="007937BF">
        <w:rPr>
          <w:rFonts w:ascii="Calibri" w:eastAsia="Questrial" w:hAnsi="Calibri" w:cs="Calibri"/>
          <w:color w:val="000000"/>
          <w:bdr w:val="none" w:sz="0" w:space="0" w:color="auto"/>
          <w:lang w:eastAsia="es-MX"/>
        </w:rPr>
        <w:t xml:space="preserve"> Consultivo considera que dentro de las acciones inmediatas que el Instituto debe evaluar para avanzar en la preparación y generación de capacidades para la definición e implementación adecuada de esta agenda se encuentran las siguientes:</w:t>
      </w:r>
    </w:p>
    <w:p w:rsidR="007937BF" w:rsidRPr="007937BF" w:rsidRDefault="007937BF" w:rsidP="007937BF">
      <w:pPr>
        <w:pBdr>
          <w:bar w:val="none" w:sz="0" w:color="auto"/>
        </w:pBdr>
        <w:tabs>
          <w:tab w:val="left" w:pos="8505"/>
        </w:tabs>
        <w:ind w:left="567" w:right="333" w:hanging="720"/>
        <w:jc w:val="both"/>
        <w:rPr>
          <w:rFonts w:ascii="Calibri" w:eastAsia="Questrial" w:hAnsi="Calibri" w:cs="Calibri"/>
          <w:color w:val="000000"/>
          <w:u w:val="single"/>
          <w:bdr w:val="none" w:sz="0" w:space="0" w:color="auto"/>
          <w:lang w:eastAsia="es-MX"/>
        </w:rPr>
      </w:pPr>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spacing w:after="200"/>
        <w:ind w:left="2268" w:right="424" w:hanging="1701"/>
        <w:jc w:val="both"/>
        <w:rPr>
          <w:rFonts w:ascii="Calibri" w:eastAsia="Questrial" w:hAnsi="Calibri" w:cs="Calibri"/>
          <w:bdr w:val="none" w:sz="0" w:space="0" w:color="auto"/>
          <w:lang w:eastAsia="es-MX"/>
        </w:rPr>
      </w:pPr>
      <w:r w:rsidRPr="007937BF">
        <w:rPr>
          <w:rFonts w:ascii="Calibri" w:eastAsia="Questrial" w:hAnsi="Calibri" w:cs="Calibri"/>
          <w:b/>
          <w:bdr w:val="none" w:sz="0" w:space="0" w:color="auto"/>
          <w:lang w:eastAsia="es-MX"/>
        </w:rPr>
        <w:t>Primera. -</w:t>
      </w:r>
      <w:r w:rsidRPr="007937BF">
        <w:rPr>
          <w:rFonts w:ascii="Calibri" w:eastAsia="Questrial" w:hAnsi="Calibri" w:cs="Calibri"/>
          <w:b/>
          <w:bdr w:val="none" w:sz="0" w:space="0" w:color="auto"/>
          <w:lang w:eastAsia="es-MX"/>
        </w:rPr>
        <w:tab/>
      </w:r>
      <w:r w:rsidRPr="007937BF">
        <w:rPr>
          <w:rFonts w:ascii="Calibri" w:eastAsia="Questrial" w:hAnsi="Calibri" w:cs="Calibri"/>
          <w:bdr w:val="none" w:sz="0" w:space="0" w:color="auto"/>
          <w:lang w:eastAsia="es-MX"/>
        </w:rPr>
        <w:t xml:space="preserve">Impulsar </w:t>
      </w:r>
      <w:r w:rsidRPr="007937BF">
        <w:rPr>
          <w:rFonts w:ascii="Calibri" w:eastAsia="Questrial" w:hAnsi="Calibri" w:cs="Calibri"/>
          <w:b/>
          <w:bdr w:val="none" w:sz="0" w:space="0" w:color="auto"/>
          <w:lang w:eastAsia="es-MX"/>
        </w:rPr>
        <w:t xml:space="preserve">la creación de un Comité Técnico de Política para el Entorno Digital </w:t>
      </w:r>
      <w:r w:rsidRPr="007937BF">
        <w:rPr>
          <w:rFonts w:ascii="Calibri" w:eastAsia="Questrial" w:hAnsi="Calibri" w:cs="Calibri"/>
          <w:bdr w:val="none" w:sz="0" w:space="0" w:color="auto"/>
          <w:lang w:eastAsia="es-MX"/>
        </w:rPr>
        <w:t>como un órgano especializado y plural de naturaleza consultiva que permita la interacción efectiva entre el Instituto, otros órganos públicos con competencia en temas relevantes para la regulación y promoción del entorno digital, tanto nacionales como internacionales; así como representantes de la industria, la academia y la sociedad civil. La estructura orgánica y operativa del Comité Técnico en Materia de Espectro Radioeléctrico (CETER)</w:t>
      </w:r>
      <w:r w:rsidRPr="007937BF">
        <w:rPr>
          <w:rFonts w:ascii="Calibri" w:eastAsia="Questrial" w:hAnsi="Calibri" w:cs="Calibri"/>
          <w:bdr w:val="none" w:sz="0" w:space="0" w:color="auto"/>
          <w:vertAlign w:val="superscript"/>
          <w:lang w:eastAsia="es-MX"/>
        </w:rPr>
        <w:footnoteReference w:id="11"/>
      </w:r>
      <w:r w:rsidRPr="007937BF">
        <w:rPr>
          <w:rFonts w:ascii="Calibri" w:eastAsia="Questrial" w:hAnsi="Calibri" w:cs="Calibri"/>
          <w:bdr w:val="none" w:sz="0" w:space="0" w:color="auto"/>
          <w:lang w:eastAsia="es-MX"/>
        </w:rPr>
        <w:t xml:space="preserve"> podría considerarse como una experiencia al interior del Instituto compatible con esta propuesta</w:t>
      </w:r>
      <w:r w:rsidRPr="007937BF">
        <w:rPr>
          <w:rFonts w:ascii="Calibri" w:eastAsia="Cambria" w:hAnsi="Calibri" w:cs="Calibri"/>
          <w:bdr w:val="none" w:sz="0" w:space="0" w:color="auto"/>
          <w:lang w:eastAsia="es-MX"/>
        </w:rPr>
        <w:t xml:space="preserve">. </w:t>
      </w:r>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spacing w:after="200"/>
        <w:ind w:left="2268" w:right="424" w:hanging="1701"/>
        <w:jc w:val="both"/>
        <w:rPr>
          <w:rFonts w:ascii="Calibri" w:eastAsia="Questrial" w:hAnsi="Calibri" w:cs="Calibri"/>
          <w:bdr w:val="none" w:sz="0" w:space="0" w:color="auto"/>
          <w:lang w:eastAsia="es-MX"/>
        </w:rPr>
      </w:pPr>
      <w:r w:rsidRPr="007937BF">
        <w:rPr>
          <w:rFonts w:ascii="Calibri" w:eastAsia="Questrial" w:hAnsi="Calibri" w:cs="Calibri"/>
          <w:b/>
          <w:bdr w:val="none" w:sz="0" w:space="0" w:color="auto"/>
          <w:lang w:eastAsia="es-MX"/>
        </w:rPr>
        <w:t>Segunda</w:t>
      </w:r>
      <w:r w:rsidRPr="007937BF">
        <w:rPr>
          <w:rFonts w:ascii="Calibri" w:eastAsia="Questrial" w:hAnsi="Calibri" w:cs="Calibri"/>
          <w:bdr w:val="none" w:sz="0" w:space="0" w:color="auto"/>
          <w:lang w:eastAsia="es-MX"/>
        </w:rPr>
        <w:t>. -</w:t>
      </w:r>
      <w:r w:rsidRPr="007937BF">
        <w:rPr>
          <w:rFonts w:ascii="Calibri" w:eastAsia="Questrial" w:hAnsi="Calibri" w:cs="Calibri"/>
          <w:bdr w:val="none" w:sz="0" w:space="0" w:color="auto"/>
          <w:lang w:eastAsia="es-MX"/>
        </w:rPr>
        <w:tab/>
        <w:t xml:space="preserve">Encargar a un panel de expertos independientes la </w:t>
      </w:r>
      <w:r w:rsidRPr="007937BF">
        <w:rPr>
          <w:rFonts w:ascii="Calibri" w:eastAsia="Questrial" w:hAnsi="Calibri" w:cs="Calibri"/>
          <w:b/>
          <w:bdr w:val="none" w:sz="0" w:space="0" w:color="auto"/>
          <w:lang w:eastAsia="es-MX"/>
        </w:rPr>
        <w:t>realización de un estudio que identifique y compile las mejores prácticas internacionales</w:t>
      </w:r>
      <w:r w:rsidRPr="007937BF">
        <w:rPr>
          <w:rFonts w:ascii="Calibri" w:eastAsia="Questrial" w:hAnsi="Calibri" w:cs="Calibri"/>
          <w:bdr w:val="none" w:sz="0" w:space="0" w:color="auto"/>
          <w:lang w:eastAsia="es-MX"/>
        </w:rPr>
        <w:t xml:space="preserve"> para promover el desarrollo eficiente del</w:t>
      </w:r>
      <w:r w:rsidR="002F60D5">
        <w:rPr>
          <w:rFonts w:ascii="Calibri" w:eastAsia="Questrial" w:hAnsi="Calibri" w:cs="Calibri"/>
          <w:bdr w:val="none" w:sz="0" w:space="0" w:color="auto"/>
          <w:lang w:eastAsia="es-MX"/>
        </w:rPr>
        <w:t xml:space="preserve"> </w:t>
      </w:r>
      <w:r w:rsidRPr="007937BF">
        <w:rPr>
          <w:rFonts w:ascii="Calibri" w:eastAsia="Questrial" w:hAnsi="Calibri" w:cs="Calibri"/>
          <w:bdr w:val="none" w:sz="0" w:space="0" w:color="auto"/>
          <w:lang w:eastAsia="es-MX"/>
        </w:rPr>
        <w:t>entorno digital generando beneficios a la sociedad en términos de alternativas, calidad y que emita recomendaciones para su inclusión en la Agenda Integral de Promoción.</w:t>
      </w:r>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spacing w:after="200"/>
        <w:ind w:left="2268" w:right="424" w:hanging="1701"/>
        <w:jc w:val="both"/>
        <w:rPr>
          <w:rFonts w:ascii="Calibri" w:eastAsia="Cambria" w:hAnsi="Calibri" w:cs="Calibri"/>
          <w:bdr w:val="none" w:sz="0" w:space="0" w:color="auto"/>
          <w:lang w:eastAsia="es-MX"/>
        </w:rPr>
      </w:pPr>
      <w:r w:rsidRPr="007937BF">
        <w:rPr>
          <w:rFonts w:ascii="Calibri" w:eastAsia="Questrial" w:hAnsi="Calibri" w:cs="Calibri"/>
          <w:b/>
          <w:bdr w:val="none" w:sz="0" w:space="0" w:color="auto"/>
          <w:lang w:eastAsia="es-MX"/>
        </w:rPr>
        <w:t>Tercera. -</w:t>
      </w:r>
      <w:r w:rsidRPr="007937BF">
        <w:rPr>
          <w:rFonts w:ascii="Calibri" w:eastAsia="Questrial" w:hAnsi="Calibri" w:cs="Calibri"/>
          <w:b/>
          <w:bdr w:val="none" w:sz="0" w:space="0" w:color="auto"/>
          <w:lang w:eastAsia="es-MX"/>
        </w:rPr>
        <w:tab/>
        <w:t>Identificar, priorizar y realizar estudios de mercados</w:t>
      </w:r>
      <w:r w:rsidRPr="007937BF">
        <w:rPr>
          <w:rFonts w:ascii="Calibri" w:eastAsia="Questrial" w:hAnsi="Calibri" w:cs="Calibri"/>
          <w:bdr w:val="none" w:sz="0" w:space="0" w:color="auto"/>
          <w:lang w:eastAsia="es-MX"/>
        </w:rPr>
        <w:t xml:space="preserve"> relativos a temas que incidan en el impulso de la oferta y el estímulo de la demanda de los productos y servicios del ento</w:t>
      </w:r>
      <w:r w:rsidR="00626B27">
        <w:rPr>
          <w:rFonts w:ascii="Calibri" w:eastAsia="Questrial" w:hAnsi="Calibri" w:cs="Calibri"/>
          <w:bdr w:val="none" w:sz="0" w:space="0" w:color="auto"/>
          <w:lang w:eastAsia="es-MX"/>
        </w:rPr>
        <w:t>r</w:t>
      </w:r>
      <w:r w:rsidRPr="007937BF">
        <w:rPr>
          <w:rFonts w:ascii="Calibri" w:eastAsia="Questrial" w:hAnsi="Calibri" w:cs="Calibri"/>
          <w:bdr w:val="none" w:sz="0" w:space="0" w:color="auto"/>
          <w:lang w:eastAsia="es-MX"/>
        </w:rPr>
        <w:t>no digital aplicados al co</w:t>
      </w:r>
      <w:r w:rsidR="003212F7">
        <w:rPr>
          <w:rFonts w:ascii="Calibri" w:eastAsia="Questrial" w:hAnsi="Calibri" w:cs="Calibri"/>
          <w:bdr w:val="none" w:sz="0" w:space="0" w:color="auto"/>
          <w:lang w:eastAsia="es-MX"/>
        </w:rPr>
        <w:t>ntexto y la dinámica del mexicano</w:t>
      </w:r>
      <w:r w:rsidRPr="007937BF">
        <w:rPr>
          <w:rFonts w:ascii="Calibri" w:eastAsia="Questrial" w:hAnsi="Calibri" w:cs="Calibri"/>
          <w:bdr w:val="none" w:sz="0" w:space="0" w:color="auto"/>
          <w:lang w:eastAsia="es-MX"/>
        </w:rPr>
        <w:t xml:space="preserve">. Como ejemplos identificamos temas relativos a: (i) plataformas digitales y mercados de publicidad; (ii) plataformas digitales y mercados de noticias; (iii) prácticas de recolección y uso de datos en plataformas digitales; (iv) inteligencia artificial; y (v) mercados laborales especializados. </w:t>
      </w:r>
    </w:p>
    <w:p w:rsidR="007937BF" w:rsidRPr="007937BF" w:rsidRDefault="007937BF" w:rsidP="007937BF">
      <w:pPr>
        <w:pBdr>
          <w:top w:val="none" w:sz="0" w:space="0" w:color="auto"/>
          <w:left w:val="none" w:sz="0" w:space="0" w:color="auto"/>
          <w:bottom w:val="none" w:sz="0" w:space="0" w:color="auto"/>
          <w:right w:val="none" w:sz="0" w:space="0" w:color="auto"/>
          <w:between w:val="none" w:sz="0" w:space="0" w:color="auto"/>
          <w:bar w:val="none" w:sz="0" w:color="auto"/>
        </w:pBdr>
        <w:spacing w:after="200"/>
        <w:ind w:left="2268" w:right="424" w:hanging="1701"/>
        <w:jc w:val="both"/>
        <w:rPr>
          <w:rFonts w:ascii="Calibri" w:eastAsia="Questrial" w:hAnsi="Calibri" w:cs="Calibri"/>
          <w:bdr w:val="none" w:sz="0" w:space="0" w:color="auto"/>
          <w:lang w:eastAsia="es-MX"/>
        </w:rPr>
      </w:pPr>
      <w:r w:rsidRPr="007937BF">
        <w:rPr>
          <w:rFonts w:ascii="Calibri" w:eastAsia="Questrial" w:hAnsi="Calibri" w:cs="Calibri"/>
          <w:b/>
          <w:bdr w:val="none" w:sz="0" w:space="0" w:color="auto"/>
          <w:lang w:eastAsia="es-MX"/>
        </w:rPr>
        <w:t xml:space="preserve">Cuarta.- </w:t>
      </w:r>
      <w:r w:rsidRPr="007937BF">
        <w:rPr>
          <w:rFonts w:ascii="Calibri" w:eastAsia="Questrial" w:hAnsi="Calibri" w:cs="Calibri"/>
          <w:b/>
          <w:bdr w:val="none" w:sz="0" w:space="0" w:color="auto"/>
          <w:lang w:eastAsia="es-MX"/>
        </w:rPr>
        <w:tab/>
      </w:r>
      <w:r w:rsidRPr="007937BF">
        <w:rPr>
          <w:rFonts w:ascii="Calibri" w:eastAsia="Questrial" w:hAnsi="Calibri" w:cs="Calibri"/>
          <w:bdr w:val="none" w:sz="0" w:space="0" w:color="auto"/>
          <w:lang w:eastAsia="es-MX"/>
        </w:rPr>
        <w:t xml:space="preserve">Analizar </w:t>
      </w:r>
      <w:r w:rsidRPr="007937BF">
        <w:rPr>
          <w:rFonts w:ascii="Calibri" w:eastAsia="Questrial" w:hAnsi="Calibri" w:cs="Calibri"/>
          <w:b/>
          <w:bdr w:val="none" w:sz="0" w:space="0" w:color="auto"/>
          <w:lang w:eastAsia="es-MX"/>
        </w:rPr>
        <w:t>modificaciones a la estructura organizacional del Instituto para generar una instancia experta en temas técnicos y tecnológicos complejos</w:t>
      </w:r>
      <w:r w:rsidRPr="007937BF">
        <w:rPr>
          <w:rFonts w:ascii="Calibri" w:eastAsia="Questrial" w:hAnsi="Calibri" w:cs="Calibri"/>
          <w:bdr w:val="none" w:sz="0" w:space="0" w:color="auto"/>
          <w:lang w:eastAsia="es-MX"/>
        </w:rPr>
        <w:t xml:space="preserve"> con capacidad de anticipar la evolución de los sistemas y el manejo de </w:t>
      </w:r>
      <w:r w:rsidRPr="007937BF">
        <w:rPr>
          <w:rFonts w:ascii="Calibri" w:eastAsia="Questrial" w:hAnsi="Calibri" w:cs="Calibri"/>
          <w:i/>
          <w:bdr w:val="none" w:sz="0" w:space="0" w:color="auto"/>
          <w:lang w:eastAsia="es-MX"/>
        </w:rPr>
        <w:t>Big Data</w:t>
      </w:r>
      <w:r w:rsidRPr="007937BF">
        <w:rPr>
          <w:rFonts w:ascii="Calibri" w:eastAsia="Questrial" w:hAnsi="Calibri" w:cs="Calibri"/>
          <w:bdr w:val="none" w:sz="0" w:space="0" w:color="auto"/>
          <w:lang w:eastAsia="es-MX"/>
        </w:rPr>
        <w:t xml:space="preserve"> que auxilie al Pleno y a su Presidente en (a) labores de desarrollo de capacidades institucionales y de abogacía; (b) opinión calificada en aspectos técnicos relacionados a su</w:t>
      </w:r>
      <w:r w:rsidRPr="007937BF">
        <w:rPr>
          <w:rFonts w:ascii="Calibri" w:eastAsia="Questrial" w:hAnsi="Calibri" w:cs="Calibri"/>
          <w:i/>
          <w:bdr w:val="none" w:sz="0" w:space="0" w:color="auto"/>
          <w:lang w:eastAsia="es-MX"/>
        </w:rPr>
        <w:t xml:space="preserve"> expertise </w:t>
      </w:r>
      <w:r w:rsidRPr="007937BF">
        <w:rPr>
          <w:rFonts w:ascii="Calibri" w:eastAsia="Questrial" w:hAnsi="Calibri" w:cs="Calibri"/>
          <w:bdr w:val="none" w:sz="0" w:space="0" w:color="auto"/>
          <w:lang w:eastAsia="es-MX"/>
        </w:rPr>
        <w:t xml:space="preserve">de los asuntos que sean remitidos para decisión del Pleno; y (c) contribuir en </w:t>
      </w:r>
      <w:r w:rsidRPr="007937BF">
        <w:rPr>
          <w:rFonts w:ascii="Calibri" w:eastAsia="Questrial" w:hAnsi="Calibri" w:cs="Calibri"/>
          <w:bdr w:val="none" w:sz="0" w:space="0" w:color="auto"/>
          <w:lang w:eastAsia="es-MX"/>
        </w:rPr>
        <w:lastRenderedPageBreak/>
        <w:t xml:space="preserve">aspectos técnicos necesarios para la definición e implementación de la Agenda de Promoción. Para ello, el Instituto podrá evaluar la creación de una figura similar al </w:t>
      </w:r>
      <w:r w:rsidRPr="007937BF">
        <w:rPr>
          <w:rFonts w:ascii="Calibri" w:eastAsia="Questrial" w:hAnsi="Calibri" w:cs="Calibri"/>
          <w:i/>
          <w:bdr w:val="none" w:sz="0" w:space="0" w:color="auto"/>
          <w:lang w:eastAsia="es-MX"/>
        </w:rPr>
        <w:t xml:space="preserve">Chief Data and Digital Insights Officer </w:t>
      </w:r>
      <w:r w:rsidRPr="007937BF">
        <w:rPr>
          <w:rFonts w:ascii="Calibri" w:eastAsia="Questrial" w:hAnsi="Calibri" w:cs="Calibri"/>
          <w:bdr w:val="none" w:sz="0" w:space="0" w:color="auto"/>
          <w:lang w:eastAsia="es-MX"/>
        </w:rPr>
        <w:t xml:space="preserve">(CDDIO) adoptada por la </w:t>
      </w:r>
      <w:r w:rsidRPr="007937BF">
        <w:rPr>
          <w:rFonts w:ascii="Calibri" w:eastAsia="Questrial" w:hAnsi="Calibri" w:cs="Calibri"/>
          <w:i/>
          <w:bdr w:val="none" w:sz="0" w:space="0" w:color="auto"/>
          <w:lang w:eastAsia="es-MX"/>
        </w:rPr>
        <w:t>Competition and Markets Authority</w:t>
      </w:r>
      <w:r w:rsidRPr="007937BF">
        <w:rPr>
          <w:rFonts w:ascii="Calibri" w:eastAsia="Questrial" w:hAnsi="Calibri" w:cs="Calibri"/>
          <w:bdr w:val="none" w:sz="0" w:space="0" w:color="auto"/>
          <w:lang w:eastAsia="es-MX"/>
        </w:rPr>
        <w:t xml:space="preserve"> del Reino Unido o una unidad equivalente.</w:t>
      </w:r>
    </w:p>
    <w:p w:rsidR="007937BF" w:rsidRDefault="007937BF" w:rsidP="00356957">
      <w:pPr>
        <w:pBdr>
          <w:top w:val="none" w:sz="0" w:space="0" w:color="auto"/>
          <w:left w:val="none" w:sz="0" w:space="0" w:color="auto"/>
          <w:bottom w:val="none" w:sz="0" w:space="0" w:color="auto"/>
          <w:right w:val="none" w:sz="0" w:space="0" w:color="auto"/>
          <w:between w:val="none" w:sz="0" w:space="0" w:color="auto"/>
          <w:bar w:val="none" w:sz="0" w:color="auto"/>
        </w:pBdr>
        <w:spacing w:after="200"/>
        <w:ind w:left="2268" w:right="424" w:hanging="1701"/>
        <w:jc w:val="both"/>
        <w:rPr>
          <w:rFonts w:ascii="Questrial" w:eastAsia="Questrial" w:hAnsi="Questrial" w:cs="Questrial"/>
          <w:bdr w:val="none" w:sz="0" w:space="0" w:color="auto"/>
          <w:lang w:eastAsia="es-MX"/>
        </w:rPr>
      </w:pPr>
      <w:r w:rsidRPr="007937BF">
        <w:rPr>
          <w:rFonts w:ascii="Calibri" w:eastAsia="Questrial" w:hAnsi="Calibri" w:cs="Calibri"/>
          <w:b/>
          <w:bdr w:val="none" w:sz="0" w:space="0" w:color="auto"/>
          <w:lang w:eastAsia="es-MX"/>
        </w:rPr>
        <w:t xml:space="preserve">Quinta. - </w:t>
      </w:r>
      <w:r w:rsidRPr="007937BF">
        <w:rPr>
          <w:rFonts w:ascii="Calibri" w:eastAsia="Questrial" w:hAnsi="Calibri" w:cs="Calibri"/>
          <w:b/>
          <w:bdr w:val="none" w:sz="0" w:space="0" w:color="auto"/>
          <w:lang w:eastAsia="es-MX"/>
        </w:rPr>
        <w:tab/>
      </w:r>
      <w:r w:rsidR="003212F7">
        <w:rPr>
          <w:rFonts w:ascii="Calibri" w:eastAsia="Questrial" w:hAnsi="Calibri" w:cs="Calibri"/>
          <w:bdr w:val="none" w:sz="0" w:space="0" w:color="auto"/>
          <w:lang w:eastAsia="es-MX"/>
        </w:rPr>
        <w:t>Formar un grupo de trabajo en el</w:t>
      </w:r>
      <w:r w:rsidRPr="007937BF">
        <w:rPr>
          <w:rFonts w:ascii="Calibri" w:eastAsia="Questrial" w:hAnsi="Calibri" w:cs="Calibri"/>
          <w:bdr w:val="none" w:sz="0" w:space="0" w:color="auto"/>
          <w:lang w:eastAsia="es-MX"/>
        </w:rPr>
        <w:t xml:space="preserve"> que participen las diferentes áreas involucradas en la investigación y sustanciación de procedimientos correctivos del Instituto cuyo mandato sea </w:t>
      </w:r>
      <w:r w:rsidRPr="007937BF">
        <w:rPr>
          <w:rFonts w:ascii="Calibri" w:eastAsia="Questrial" w:hAnsi="Calibri" w:cs="Calibri"/>
          <w:b/>
          <w:bdr w:val="none" w:sz="0" w:space="0" w:color="auto"/>
          <w:lang w:eastAsia="es-MX"/>
        </w:rPr>
        <w:t>analizar mejoras a las procedimientos, prácticas y metodologías que involucran potenciales afectaciones a los mercados digitales</w:t>
      </w:r>
      <w:r w:rsidRPr="007937BF">
        <w:rPr>
          <w:rFonts w:ascii="Calibri" w:eastAsia="Questrial" w:hAnsi="Calibri" w:cs="Calibri"/>
          <w:bdr w:val="none" w:sz="0" w:space="0" w:color="auto"/>
          <w:lang w:eastAsia="es-MX"/>
        </w:rPr>
        <w:t>. Ello, con el objeto de asegurar tiempos de respuesta adecuados para, en su caso, la oportuna imposición de medidas correctivas y, así, evitar mayores daños en las condiciones de competencia del entorno digital. Para ello, el grupo deberá explorar criterios para el establecimiento de medidas cautelares, así como potenciales medidas que hagan más expedita la actuación de la autoridad en estos mercados tan dinámicos</w:t>
      </w:r>
      <w:r w:rsidRPr="007937BF">
        <w:rPr>
          <w:rFonts w:ascii="Questrial" w:eastAsia="Questrial" w:hAnsi="Questrial" w:cs="Questrial"/>
          <w:bdr w:val="none" w:sz="0" w:space="0" w:color="auto"/>
          <w:lang w:eastAsia="es-MX"/>
        </w:rPr>
        <w:t>.</w:t>
      </w:r>
    </w:p>
    <w:p w:rsidR="00356957" w:rsidRDefault="00356957" w:rsidP="00356957">
      <w:pPr>
        <w:pBdr>
          <w:top w:val="none" w:sz="0" w:space="0" w:color="auto"/>
          <w:left w:val="none" w:sz="0" w:space="0" w:color="auto"/>
          <w:bottom w:val="none" w:sz="0" w:space="0" w:color="auto"/>
          <w:right w:val="none" w:sz="0" w:space="0" w:color="auto"/>
          <w:between w:val="none" w:sz="0" w:space="0" w:color="auto"/>
          <w:bar w:val="none" w:sz="0" w:color="auto"/>
        </w:pBdr>
        <w:spacing w:after="200"/>
        <w:ind w:left="2268" w:right="424" w:hanging="1701"/>
        <w:jc w:val="both"/>
        <w:rPr>
          <w:rFonts w:ascii="Questrial" w:eastAsia="Questrial" w:hAnsi="Questrial" w:cs="Questrial"/>
          <w:bdr w:val="none" w:sz="0" w:space="0" w:color="auto"/>
          <w:lang w:eastAsia="es-MX"/>
        </w:rPr>
      </w:pPr>
    </w:p>
    <w:p w:rsidR="006209F4" w:rsidRDefault="006209F4" w:rsidP="00356957">
      <w:pPr>
        <w:pBdr>
          <w:top w:val="none" w:sz="0" w:space="0" w:color="auto"/>
          <w:left w:val="none" w:sz="0" w:space="0" w:color="auto"/>
          <w:bottom w:val="none" w:sz="0" w:space="0" w:color="auto"/>
          <w:right w:val="none" w:sz="0" w:space="0" w:color="auto"/>
          <w:between w:val="none" w:sz="0" w:space="0" w:color="auto"/>
          <w:bar w:val="none" w:sz="0" w:color="auto"/>
        </w:pBdr>
        <w:spacing w:after="200"/>
        <w:ind w:left="2268" w:right="424" w:hanging="1701"/>
        <w:jc w:val="both"/>
        <w:rPr>
          <w:rFonts w:ascii="Questrial" w:eastAsia="Questrial" w:hAnsi="Questrial" w:cs="Questrial"/>
          <w:bdr w:val="none" w:sz="0" w:space="0" w:color="auto"/>
          <w:lang w:eastAsia="es-MX"/>
        </w:rPr>
      </w:pPr>
    </w:p>
    <w:p w:rsidR="006209F4" w:rsidRPr="007937BF" w:rsidRDefault="006209F4" w:rsidP="00356957">
      <w:pPr>
        <w:pBdr>
          <w:top w:val="none" w:sz="0" w:space="0" w:color="auto"/>
          <w:left w:val="none" w:sz="0" w:space="0" w:color="auto"/>
          <w:bottom w:val="none" w:sz="0" w:space="0" w:color="auto"/>
          <w:right w:val="none" w:sz="0" w:space="0" w:color="auto"/>
          <w:between w:val="none" w:sz="0" w:space="0" w:color="auto"/>
          <w:bar w:val="none" w:sz="0" w:color="auto"/>
        </w:pBdr>
        <w:spacing w:after="200"/>
        <w:ind w:left="2268" w:right="424" w:hanging="1701"/>
        <w:jc w:val="both"/>
        <w:rPr>
          <w:rFonts w:ascii="Questrial" w:eastAsia="Questrial" w:hAnsi="Questrial" w:cs="Questrial"/>
          <w:bdr w:val="none" w:sz="0" w:space="0" w:color="auto"/>
          <w:lang w:eastAsia="es-MX"/>
        </w:rPr>
      </w:pPr>
      <w:bookmarkStart w:id="5" w:name="_GoBack"/>
      <w:bookmarkEnd w:id="5"/>
    </w:p>
    <w:p w:rsidR="000267D9" w:rsidRDefault="001E6155" w:rsidP="00B83A0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dr w:val="none" w:sz="0" w:space="0" w:color="auto"/>
        </w:rPr>
      </w:pPr>
      <w:r w:rsidRPr="001E6155">
        <w:rPr>
          <w:rFonts w:ascii="Calibri" w:eastAsia="Calibri" w:hAnsi="Calibri" w:cs="Calibri"/>
          <w:noProof/>
          <w:bdr w:val="none" w:sz="0" w:space="0" w:color="auto"/>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13335</wp:posOffset>
            </wp:positionV>
            <wp:extent cx="895350" cy="876300"/>
            <wp:effectExtent l="0" t="0" r="0" b="0"/>
            <wp:wrapTight wrapText="bothSides">
              <wp:wrapPolygon edited="0">
                <wp:start x="0" y="0"/>
                <wp:lineTo x="0" y="21130"/>
                <wp:lineTo x="21140" y="21130"/>
                <wp:lineTo x="21140" y="0"/>
                <wp:lineTo x="0" y="0"/>
              </wp:wrapPolygon>
            </wp:wrapTight>
            <wp:docPr id="1" name="Imagen 1" descr="d:\Users\arlene.ameneyro\AppData\Local\Microsoft\Windows\INetCache\Content.Outlook\AN2XQDMX\firma efloresro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rlene.ameneyro\AppData\Local\Microsoft\Windows\INetCache\Content.Outlook\AN2XQDMX\firma efloresrou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anchor>
        </w:drawing>
      </w:r>
    </w:p>
    <w:p w:rsidR="002F60D5" w:rsidRDefault="002F60D5" w:rsidP="00B83A0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dr w:val="none" w:sz="0" w:space="0" w:color="auto"/>
        </w:rPr>
      </w:pPr>
    </w:p>
    <w:p w:rsidR="002F60D5" w:rsidRDefault="002F60D5" w:rsidP="00B83A0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dr w:val="none" w:sz="0" w:space="0" w:color="auto"/>
        </w:rPr>
      </w:pPr>
    </w:p>
    <w:p w:rsidR="002F60D5" w:rsidRDefault="002F60D5" w:rsidP="00B83A0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dr w:val="none" w:sz="0" w:space="0" w:color="auto"/>
        </w:rPr>
      </w:pPr>
    </w:p>
    <w:p w:rsidR="002F60D5" w:rsidRPr="000267D9" w:rsidRDefault="002F60D5" w:rsidP="00B83A0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dr w:val="none" w:sz="0" w:space="0" w:color="auto"/>
        </w:rPr>
      </w:pPr>
    </w:p>
    <w:p w:rsidR="000267D9" w:rsidRPr="00BE45A8" w:rsidRDefault="000267D9" w:rsidP="00356957">
      <w:pPr>
        <w:autoSpaceDE w:val="0"/>
        <w:autoSpaceDN w:val="0"/>
        <w:adjustRightInd w:val="0"/>
        <w:jc w:val="center"/>
        <w:rPr>
          <w:rFonts w:ascii="Calibri" w:eastAsia="Calibri" w:hAnsi="Calibri" w:cs="Calibri"/>
          <w:b/>
          <w:bCs/>
        </w:rPr>
      </w:pPr>
      <w:r w:rsidRPr="00BE45A8">
        <w:rPr>
          <w:rFonts w:ascii="Calibri" w:eastAsia="Calibri" w:hAnsi="Calibri" w:cs="Calibri"/>
          <w:b/>
          <w:bCs/>
        </w:rPr>
        <w:t xml:space="preserve">Dr. Ernesto M. Flores-Roux </w:t>
      </w:r>
    </w:p>
    <w:p w:rsidR="000267D9" w:rsidRDefault="000267D9" w:rsidP="00356957">
      <w:pPr>
        <w:autoSpaceDE w:val="0"/>
        <w:autoSpaceDN w:val="0"/>
        <w:adjustRightInd w:val="0"/>
        <w:jc w:val="center"/>
        <w:rPr>
          <w:rFonts w:ascii="Calibri" w:eastAsia="Calibri" w:hAnsi="Calibri" w:cs="Calibri"/>
          <w:b/>
          <w:bCs/>
        </w:rPr>
      </w:pPr>
      <w:r w:rsidRPr="00BE45A8">
        <w:rPr>
          <w:rFonts w:ascii="Calibri" w:eastAsia="Calibri" w:hAnsi="Calibri" w:cs="Calibri"/>
          <w:b/>
          <w:bCs/>
        </w:rPr>
        <w:t>Presidente</w:t>
      </w:r>
    </w:p>
    <w:p w:rsidR="00B83A00" w:rsidRDefault="00B83A00" w:rsidP="00265683">
      <w:pPr>
        <w:autoSpaceDE w:val="0"/>
        <w:autoSpaceDN w:val="0"/>
        <w:adjustRightInd w:val="0"/>
        <w:spacing w:before="240"/>
        <w:rPr>
          <w:rFonts w:ascii="Calibri" w:eastAsia="Calibri" w:hAnsi="Calibri" w:cs="Calibri"/>
          <w:b/>
          <w:bCs/>
        </w:rPr>
      </w:pPr>
    </w:p>
    <w:p w:rsidR="002F60D5" w:rsidRDefault="002F60D5" w:rsidP="00265683">
      <w:pPr>
        <w:autoSpaceDE w:val="0"/>
        <w:autoSpaceDN w:val="0"/>
        <w:adjustRightInd w:val="0"/>
        <w:spacing w:before="240"/>
        <w:rPr>
          <w:rFonts w:ascii="Calibri" w:eastAsia="Calibri" w:hAnsi="Calibri" w:cs="Calibri"/>
          <w:b/>
          <w:bCs/>
        </w:rPr>
      </w:pPr>
    </w:p>
    <w:p w:rsidR="00356957" w:rsidRPr="00BE45A8" w:rsidRDefault="00356957" w:rsidP="00265683">
      <w:pPr>
        <w:autoSpaceDE w:val="0"/>
        <w:autoSpaceDN w:val="0"/>
        <w:adjustRightInd w:val="0"/>
        <w:spacing w:before="240"/>
        <w:rPr>
          <w:rFonts w:ascii="Calibri" w:eastAsia="Calibri" w:hAnsi="Calibri" w:cs="Calibri"/>
          <w:b/>
          <w:bCs/>
        </w:rPr>
      </w:pPr>
    </w:p>
    <w:p w:rsidR="000267D9" w:rsidRPr="00BE45A8" w:rsidRDefault="000267D9" w:rsidP="00356957">
      <w:pPr>
        <w:autoSpaceDE w:val="0"/>
        <w:autoSpaceDN w:val="0"/>
        <w:adjustRightInd w:val="0"/>
        <w:jc w:val="center"/>
        <w:rPr>
          <w:rFonts w:ascii="Calibri" w:eastAsia="Calibri" w:hAnsi="Calibri" w:cs="Calibri"/>
          <w:b/>
          <w:bCs/>
        </w:rPr>
      </w:pPr>
      <w:r w:rsidRPr="00BE45A8">
        <w:rPr>
          <w:rFonts w:ascii="Calibri" w:eastAsia="Calibri" w:hAnsi="Calibri" w:cs="Calibri"/>
          <w:b/>
          <w:bCs/>
        </w:rPr>
        <w:t>Lic. Juan José Crispín Borbolla</w:t>
      </w:r>
    </w:p>
    <w:p w:rsidR="000267D9" w:rsidRPr="00BE45A8" w:rsidRDefault="000267D9" w:rsidP="00356957">
      <w:pPr>
        <w:autoSpaceDE w:val="0"/>
        <w:autoSpaceDN w:val="0"/>
        <w:adjustRightInd w:val="0"/>
        <w:jc w:val="center"/>
        <w:rPr>
          <w:rFonts w:ascii="Calibri" w:eastAsia="Calibri" w:hAnsi="Calibri" w:cs="Calibri"/>
          <w:b/>
          <w:bCs/>
        </w:rPr>
      </w:pPr>
      <w:r w:rsidRPr="00BE45A8">
        <w:rPr>
          <w:rFonts w:ascii="Calibri" w:eastAsia="Calibri" w:hAnsi="Calibri" w:cs="Calibri"/>
          <w:b/>
          <w:bCs/>
        </w:rPr>
        <w:t>Secretario</w:t>
      </w:r>
    </w:p>
    <w:p w:rsidR="001F0973" w:rsidRDefault="001F0973" w:rsidP="001F0973">
      <w:pPr>
        <w:spacing w:before="240" w:line="276" w:lineRule="auto"/>
        <w:jc w:val="both"/>
        <w:rPr>
          <w:rFonts w:ascii="Calibri" w:hAnsi="Calibri" w:cs="Calibri"/>
          <w:sz w:val="18"/>
          <w:szCs w:val="18"/>
          <w:lang w:val="es-ES"/>
        </w:rPr>
      </w:pPr>
    </w:p>
    <w:p w:rsidR="001B53D7" w:rsidRPr="001E6155" w:rsidRDefault="001F0973" w:rsidP="001E6155">
      <w:pPr>
        <w:spacing w:before="240" w:line="276" w:lineRule="auto"/>
        <w:jc w:val="both"/>
        <w:rPr>
          <w:rFonts w:ascii="Calibri" w:hAnsi="Calibri" w:cs="Calibri"/>
          <w:sz w:val="18"/>
          <w:szCs w:val="18"/>
        </w:rPr>
      </w:pPr>
      <w:r w:rsidRPr="001F0973">
        <w:rPr>
          <w:rFonts w:ascii="Calibri" w:hAnsi="Calibri" w:cs="Calibri"/>
          <w:sz w:val="18"/>
          <w:szCs w:val="18"/>
          <w:lang w:val="es-ES"/>
        </w:rPr>
        <w:t>La Recomendación fue aprobada por el Consejo Consultivo del Instituto Federal de Telecomunicaciones por unanimidad de v</w:t>
      </w:r>
      <w:r>
        <w:rPr>
          <w:rFonts w:ascii="Calibri" w:hAnsi="Calibri" w:cs="Calibri"/>
          <w:sz w:val="18"/>
          <w:szCs w:val="18"/>
          <w:lang w:val="es-ES"/>
        </w:rPr>
        <w:t>otos de los Consejeros</w:t>
      </w:r>
      <w:r w:rsidRPr="001F0973">
        <w:rPr>
          <w:rFonts w:ascii="Calibri" w:hAnsi="Calibri" w:cs="Calibri"/>
          <w:sz w:val="18"/>
          <w:szCs w:val="18"/>
          <w:lang w:val="es-ES"/>
        </w:rPr>
        <w:t>:</w:t>
      </w:r>
      <w:r>
        <w:rPr>
          <w:rFonts w:ascii="Calibri" w:hAnsi="Calibri" w:cs="Calibri"/>
          <w:sz w:val="18"/>
          <w:szCs w:val="18"/>
          <w:lang w:val="es-ES"/>
        </w:rPr>
        <w:t xml:space="preserve"> María Cristina Capelo Lanz, María Cristina Cárdenas Peralta,</w:t>
      </w:r>
      <w:r w:rsidRPr="001F0973">
        <w:rPr>
          <w:rFonts w:ascii="Calibri" w:hAnsi="Calibri" w:cs="Calibri"/>
          <w:sz w:val="18"/>
          <w:szCs w:val="18"/>
          <w:lang w:val="es-ES"/>
        </w:rPr>
        <w:t xml:space="preserve"> </w:t>
      </w:r>
      <w:r w:rsidRPr="001F0973">
        <w:rPr>
          <w:rFonts w:ascii="Calibri" w:hAnsi="Calibri" w:cs="Calibri"/>
          <w:sz w:val="18"/>
          <w:szCs w:val="18"/>
        </w:rPr>
        <w:t>Sara Gabriela Castellanos Pascacio, Ernesto M. Flores-Roux, Luis Fernando García Muñoz, Gerardo Francisco González Abarca,</w:t>
      </w:r>
      <w:r>
        <w:rPr>
          <w:rFonts w:ascii="Calibri" w:hAnsi="Calibri" w:cs="Calibri"/>
          <w:sz w:val="18"/>
          <w:szCs w:val="18"/>
        </w:rPr>
        <w:t xml:space="preserve"> Santiago Gutiérrez Fernández,</w:t>
      </w:r>
      <w:r w:rsidRPr="001F0973">
        <w:rPr>
          <w:rFonts w:ascii="Calibri" w:hAnsi="Calibri" w:cs="Calibri"/>
          <w:sz w:val="18"/>
          <w:szCs w:val="18"/>
        </w:rPr>
        <w:t xml:space="preserve"> Erik Huesca Morales, Elisa V. Mariscal Medina, Luis Miguel Martínez Cervantes, Alejandro Ulises Mendoza Pérez, Jorge Fernando Negrete Pacheco, Lucía </w:t>
      </w:r>
      <w:r w:rsidRPr="001F0973">
        <w:rPr>
          <w:rFonts w:ascii="Calibri" w:hAnsi="Calibri" w:cs="Calibri"/>
          <w:sz w:val="18"/>
          <w:szCs w:val="18"/>
        </w:rPr>
        <w:lastRenderedPageBreak/>
        <w:t>Ojeda Cárdenas, Armida Sánchez Arellano y Primavera Téllez Girón García, en su VI Sesión Ordinaria celebrada el 8 de agosto de 2019, mediante Acuerdo CC/IFT/080819/10.</w:t>
      </w:r>
    </w:p>
    <w:sectPr w:rsidR="001B53D7" w:rsidRPr="001E6155" w:rsidSect="007937BF">
      <w:headerReference w:type="default" r:id="rId9"/>
      <w:footerReference w:type="default" r:id="rId10"/>
      <w:pgSz w:w="11900" w:h="16840"/>
      <w:pgMar w:top="2410" w:right="1200" w:bottom="1843" w:left="1200" w:header="720" w:footer="1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A9D" w:rsidRDefault="009E1A9D">
      <w:r>
        <w:separator/>
      </w:r>
    </w:p>
  </w:endnote>
  <w:endnote w:type="continuationSeparator" w:id="0">
    <w:p w:rsidR="009E1A9D" w:rsidRDefault="009E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Questria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Neue UltraLight">
    <w:altName w:val="ITC Avant Garde Std Bk Cn"/>
    <w:charset w:val="00"/>
    <w:family w:val="auto"/>
    <w:pitch w:val="variable"/>
    <w:sig w:usb0="A00002FF" w:usb1="5000205B" w:usb2="00000002" w:usb3="00000000" w:csb0="00000001" w:csb1="00000000"/>
  </w:font>
  <w:font w:name="Helvetica Neue Medium">
    <w:altName w:val="Arial"/>
    <w:charset w:val="4D"/>
    <w:family w:val="swiss"/>
    <w:pitch w:val="variable"/>
    <w:sig w:usb0="A00002FF" w:usb1="5000205B" w:usb2="00000002" w:usb3="00000000" w:csb0="0000009B" w:csb1="00000000"/>
  </w:font>
  <w:font w:name="Helvetica Neue Light">
    <w:altName w:val="Helvetica Neue"/>
    <w:charset w:val="00"/>
    <w:family w:val="auto"/>
    <w:pitch w:val="variable"/>
    <w:sig w:usb0="A00002FF" w:usb1="5000205B" w:usb2="00000002" w:usb3="00000000" w:csb0="00000007" w:csb1="00000000"/>
  </w:font>
  <w:font w:name="Helvetica Neue">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92" w:rsidRDefault="00160992">
    <w:pPr>
      <w:pStyle w:val="Cabeceraypie"/>
      <w:tabs>
        <w:tab w:val="clear" w:pos="9020"/>
        <w:tab w:val="center" w:pos="4750"/>
        <w:tab w:val="right" w:pos="9500"/>
      </w:tabs>
    </w:pPr>
    <w:r>
      <w:tab/>
    </w:r>
    <w:r>
      <w:fldChar w:fldCharType="begin"/>
    </w:r>
    <w:r>
      <w:instrText xml:space="preserve"> PAGE </w:instrText>
    </w:r>
    <w:r>
      <w:fldChar w:fldCharType="separate"/>
    </w:r>
    <w:r w:rsidR="006209F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A9D" w:rsidRDefault="009E1A9D">
      <w:r>
        <w:separator/>
      </w:r>
    </w:p>
  </w:footnote>
  <w:footnote w:type="continuationSeparator" w:id="0">
    <w:p w:rsidR="009E1A9D" w:rsidRDefault="009E1A9D">
      <w:r>
        <w:continuationSeparator/>
      </w:r>
    </w:p>
  </w:footnote>
  <w:footnote w:id="1">
    <w:p w:rsidR="007937BF" w:rsidRPr="007937BF" w:rsidRDefault="007937BF" w:rsidP="007937BF">
      <w:pPr>
        <w:rPr>
          <w:rFonts w:ascii="Calibri" w:eastAsia="Questrial" w:hAnsi="Calibri" w:cs="Calibri"/>
          <w:color w:val="000000"/>
          <w:sz w:val="16"/>
          <w:szCs w:val="16"/>
        </w:rPr>
      </w:pPr>
      <w:r w:rsidRPr="007937BF">
        <w:rPr>
          <w:rFonts w:ascii="Calibri" w:hAnsi="Calibri" w:cs="Calibri"/>
          <w:sz w:val="16"/>
          <w:szCs w:val="16"/>
          <w:vertAlign w:val="superscript"/>
        </w:rPr>
        <w:footnoteRef/>
      </w:r>
      <w:r w:rsidRPr="007937BF">
        <w:rPr>
          <w:rFonts w:ascii="Calibri" w:eastAsia="Questrial" w:hAnsi="Calibri" w:cs="Calibri"/>
          <w:color w:val="000000"/>
          <w:sz w:val="16"/>
          <w:szCs w:val="16"/>
          <w:vertAlign w:val="superscript"/>
        </w:rPr>
        <w:t xml:space="preserve">  </w:t>
      </w:r>
      <w:r w:rsidRPr="007937BF">
        <w:rPr>
          <w:rFonts w:ascii="Calibri" w:eastAsia="Questrial" w:hAnsi="Calibri" w:cs="Calibri"/>
          <w:color w:val="000000"/>
          <w:sz w:val="16"/>
          <w:szCs w:val="16"/>
        </w:rPr>
        <w:t>Véase https://www.accc.gov.au/publications/digital-platforms-inquiry-final-report</w:t>
      </w:r>
    </w:p>
  </w:footnote>
  <w:footnote w:id="2">
    <w:p w:rsidR="007937BF" w:rsidRDefault="007937BF" w:rsidP="007937BF">
      <w:pPr>
        <w:rPr>
          <w:rFonts w:ascii="Questrial" w:eastAsia="Questrial" w:hAnsi="Questrial" w:cs="Questrial"/>
          <w:color w:val="000000"/>
          <w:sz w:val="20"/>
          <w:szCs w:val="20"/>
        </w:rPr>
      </w:pPr>
      <w:r w:rsidRPr="007937BF">
        <w:rPr>
          <w:rFonts w:ascii="Calibri" w:hAnsi="Calibri" w:cs="Calibri"/>
          <w:sz w:val="16"/>
          <w:szCs w:val="16"/>
          <w:vertAlign w:val="superscript"/>
        </w:rPr>
        <w:footnoteRef/>
      </w:r>
      <w:r w:rsidRPr="007937BF">
        <w:rPr>
          <w:rFonts w:ascii="Calibri" w:eastAsia="Questrial" w:hAnsi="Calibri" w:cs="Calibri"/>
          <w:color w:val="000000"/>
          <w:sz w:val="16"/>
          <w:szCs w:val="16"/>
          <w:vertAlign w:val="superscript"/>
        </w:rPr>
        <w:t xml:space="preserve"> </w:t>
      </w:r>
      <w:r w:rsidRPr="007937BF">
        <w:rPr>
          <w:rFonts w:ascii="Calibri" w:eastAsia="Questrial" w:hAnsi="Calibri" w:cs="Calibri"/>
          <w:color w:val="000000"/>
          <w:sz w:val="16"/>
          <w:szCs w:val="16"/>
        </w:rPr>
        <w:t xml:space="preserve"> Véase </w:t>
      </w:r>
      <w:hyperlink r:id="rId1">
        <w:r w:rsidRPr="007937BF">
          <w:rPr>
            <w:rFonts w:ascii="Calibri" w:eastAsia="Questrial" w:hAnsi="Calibri" w:cs="Calibri"/>
            <w:color w:val="000000"/>
            <w:sz w:val="16"/>
            <w:szCs w:val="16"/>
          </w:rPr>
          <w:t>http://ec.europa.eu/competition/publications/reports/kd0419345enn.pdf</w:t>
        </w:r>
      </w:hyperlink>
    </w:p>
  </w:footnote>
  <w:footnote w:id="3">
    <w:p w:rsidR="007937BF" w:rsidRPr="007937BF" w:rsidRDefault="007937BF" w:rsidP="007937BF">
      <w:pPr>
        <w:ind w:left="142" w:hanging="142"/>
        <w:rPr>
          <w:rFonts w:ascii="Calibri" w:eastAsia="Questrial" w:hAnsi="Calibri" w:cs="Calibri"/>
          <w:sz w:val="16"/>
          <w:szCs w:val="16"/>
        </w:rPr>
      </w:pPr>
      <w:r w:rsidRPr="007937BF">
        <w:rPr>
          <w:rFonts w:ascii="Calibri" w:hAnsi="Calibri" w:cs="Calibri"/>
          <w:sz w:val="16"/>
          <w:szCs w:val="16"/>
          <w:vertAlign w:val="superscript"/>
        </w:rPr>
        <w:footnoteRef/>
      </w:r>
      <w:r w:rsidRPr="007937BF">
        <w:rPr>
          <w:rFonts w:ascii="Calibri" w:eastAsia="Questrial" w:hAnsi="Calibri" w:cs="Calibri"/>
          <w:sz w:val="16"/>
          <w:szCs w:val="16"/>
        </w:rPr>
        <w:t xml:space="preserve"> Véase  </w:t>
      </w:r>
      <w:hyperlink r:id="rId2">
        <w:r w:rsidRPr="007937BF">
          <w:rPr>
            <w:rFonts w:ascii="Calibri" w:eastAsia="Questrial" w:hAnsi="Calibri" w:cs="Calibri"/>
            <w:color w:val="0000FF"/>
            <w:sz w:val="16"/>
            <w:szCs w:val="16"/>
            <w:u w:val="single"/>
          </w:rPr>
          <w:t>https://www.gov.uk/government/publications/unlocking-digital-competition-report-of-the-digital-competition-expert-panel</w:t>
        </w:r>
      </w:hyperlink>
    </w:p>
  </w:footnote>
  <w:footnote w:id="4">
    <w:p w:rsidR="007937BF" w:rsidRPr="007937BF" w:rsidRDefault="007937BF" w:rsidP="007937BF">
      <w:pPr>
        <w:rPr>
          <w:rFonts w:ascii="Calibri" w:eastAsia="Questrial" w:hAnsi="Calibri" w:cs="Calibri"/>
          <w:color w:val="000000"/>
          <w:sz w:val="16"/>
          <w:szCs w:val="16"/>
        </w:rPr>
      </w:pPr>
      <w:r w:rsidRPr="007937BF">
        <w:rPr>
          <w:rFonts w:ascii="Calibri" w:hAnsi="Calibri" w:cs="Calibri"/>
          <w:sz w:val="16"/>
          <w:szCs w:val="16"/>
          <w:vertAlign w:val="superscript"/>
        </w:rPr>
        <w:footnoteRef/>
      </w:r>
      <w:r w:rsidRPr="007937BF">
        <w:rPr>
          <w:rFonts w:ascii="Calibri" w:eastAsia="Questrial" w:hAnsi="Calibri" w:cs="Calibri"/>
          <w:color w:val="000000"/>
          <w:sz w:val="16"/>
          <w:szCs w:val="16"/>
        </w:rPr>
        <w:t xml:space="preserve"> Véase </w:t>
      </w:r>
      <w:hyperlink r:id="rId3">
        <w:r w:rsidRPr="007937BF">
          <w:rPr>
            <w:rFonts w:ascii="Calibri" w:eastAsia="Questrial" w:hAnsi="Calibri" w:cs="Calibri"/>
            <w:color w:val="0000FF"/>
            <w:sz w:val="16"/>
            <w:szCs w:val="16"/>
            <w:u w:val="single"/>
          </w:rPr>
          <w:t>https://www.canada.ca/en/competition-bureau/news/2019/07/competition-bureaus-2019-2020-annual-plan-places-focus-on-digital-economy.html</w:t>
        </w:r>
      </w:hyperlink>
      <w:r w:rsidRPr="007937BF">
        <w:rPr>
          <w:rFonts w:ascii="Calibri" w:eastAsia="Questrial" w:hAnsi="Calibri" w:cs="Calibri"/>
          <w:color w:val="000000"/>
          <w:sz w:val="16"/>
          <w:szCs w:val="16"/>
        </w:rPr>
        <w:t xml:space="preserve"> y </w:t>
      </w:r>
      <w:hyperlink r:id="rId4">
        <w:r w:rsidRPr="007937BF">
          <w:rPr>
            <w:rFonts w:ascii="Calibri" w:eastAsia="Questrial" w:hAnsi="Calibri" w:cs="Calibri"/>
            <w:color w:val="0000FF"/>
            <w:sz w:val="16"/>
            <w:szCs w:val="16"/>
            <w:u w:val="single"/>
          </w:rPr>
          <w:t>https://www.competitionbureau.gc.ca/eic/site/cb-bc.nsf/eng/04480.html</w:t>
        </w:r>
      </w:hyperlink>
    </w:p>
  </w:footnote>
  <w:footnote w:id="5">
    <w:p w:rsidR="007937BF" w:rsidRPr="007937BF" w:rsidRDefault="007937BF" w:rsidP="007937BF">
      <w:pPr>
        <w:pStyle w:val="Textonotapie"/>
        <w:rPr>
          <w:rFonts w:ascii="Calibri" w:hAnsi="Calibri" w:cs="Calibri"/>
          <w:sz w:val="16"/>
          <w:szCs w:val="16"/>
        </w:rPr>
      </w:pPr>
      <w:r w:rsidRPr="007937BF">
        <w:rPr>
          <w:rFonts w:ascii="Calibri" w:eastAsia="Questrial" w:hAnsi="Calibri" w:cs="Calibri"/>
          <w:color w:val="000000"/>
          <w:sz w:val="16"/>
          <w:szCs w:val="16"/>
          <w:vertAlign w:val="superscript"/>
        </w:rPr>
        <w:footnoteRef/>
      </w:r>
      <w:r w:rsidRPr="007937BF">
        <w:rPr>
          <w:rFonts w:ascii="Calibri" w:eastAsia="Questrial" w:hAnsi="Calibri" w:cs="Calibri"/>
          <w:color w:val="000000"/>
          <w:sz w:val="16"/>
          <w:szCs w:val="16"/>
          <w:vertAlign w:val="superscript"/>
        </w:rPr>
        <w:t xml:space="preserve"> </w:t>
      </w:r>
      <w:r w:rsidRPr="007937BF">
        <w:rPr>
          <w:rFonts w:ascii="Calibri" w:eastAsia="Questrial" w:hAnsi="Calibri" w:cs="Calibri"/>
          <w:color w:val="000000"/>
          <w:sz w:val="16"/>
          <w:szCs w:val="16"/>
        </w:rPr>
        <w:t xml:space="preserve">Véase </w:t>
      </w:r>
      <w:hyperlink r:id="rId5" w:history="1">
        <w:r w:rsidRPr="007937BF">
          <w:rPr>
            <w:rStyle w:val="Hipervnculo"/>
            <w:rFonts w:ascii="Calibri" w:eastAsia="Questrial" w:hAnsi="Calibri" w:cs="Calibri"/>
            <w:sz w:val="16"/>
            <w:szCs w:val="16"/>
          </w:rPr>
          <w:t>https://www.un.org/en/pdfs/DigitalCooperation-report-for%20web.pdf</w:t>
        </w:r>
      </w:hyperlink>
    </w:p>
  </w:footnote>
  <w:footnote w:id="6">
    <w:p w:rsidR="007937BF" w:rsidRDefault="007937BF" w:rsidP="007937BF">
      <w:pPr>
        <w:jc w:val="both"/>
        <w:rPr>
          <w:rFonts w:ascii="Questrial" w:eastAsia="Questrial" w:hAnsi="Questrial" w:cs="Questrial"/>
          <w:color w:val="000000"/>
          <w:sz w:val="20"/>
          <w:szCs w:val="20"/>
        </w:rPr>
      </w:pPr>
      <w:r w:rsidRPr="007937BF">
        <w:rPr>
          <w:rFonts w:ascii="Calibri" w:hAnsi="Calibri" w:cs="Calibri"/>
          <w:sz w:val="16"/>
          <w:szCs w:val="16"/>
          <w:vertAlign w:val="superscript"/>
        </w:rPr>
        <w:footnoteRef/>
      </w:r>
      <w:r w:rsidRPr="007937BF">
        <w:rPr>
          <w:rFonts w:ascii="Calibri" w:eastAsia="Questrial" w:hAnsi="Calibri" w:cs="Calibri"/>
          <w:color w:val="000000"/>
          <w:sz w:val="16"/>
          <w:szCs w:val="16"/>
        </w:rPr>
        <w:t xml:space="preserve"> Ver, por ejemplo, Antitrust </w:t>
      </w:r>
      <w:proofErr w:type="spellStart"/>
      <w:r w:rsidRPr="007937BF">
        <w:rPr>
          <w:rFonts w:ascii="Calibri" w:eastAsia="Questrial" w:hAnsi="Calibri" w:cs="Calibri"/>
          <w:color w:val="000000"/>
          <w:sz w:val="16"/>
          <w:szCs w:val="16"/>
        </w:rPr>
        <w:t>Chronicle</w:t>
      </w:r>
      <w:proofErr w:type="spellEnd"/>
      <w:r w:rsidRPr="007937BF">
        <w:rPr>
          <w:rFonts w:ascii="Calibri" w:eastAsia="Questrial" w:hAnsi="Calibri" w:cs="Calibri"/>
          <w:color w:val="000000"/>
          <w:sz w:val="16"/>
          <w:szCs w:val="16"/>
        </w:rPr>
        <w:t xml:space="preserve"> </w:t>
      </w:r>
      <w:proofErr w:type="spellStart"/>
      <w:r w:rsidRPr="007937BF">
        <w:rPr>
          <w:rFonts w:ascii="Calibri" w:eastAsia="Questrial" w:hAnsi="Calibri" w:cs="Calibri"/>
          <w:color w:val="000000"/>
          <w:sz w:val="16"/>
          <w:szCs w:val="16"/>
        </w:rPr>
        <w:t>special</w:t>
      </w:r>
      <w:proofErr w:type="spellEnd"/>
      <w:r w:rsidRPr="007937BF">
        <w:rPr>
          <w:rFonts w:ascii="Calibri" w:eastAsia="Questrial" w:hAnsi="Calibri" w:cs="Calibri"/>
          <w:color w:val="000000"/>
          <w:sz w:val="16"/>
          <w:szCs w:val="16"/>
        </w:rPr>
        <w:t xml:space="preserve"> </w:t>
      </w:r>
      <w:proofErr w:type="spellStart"/>
      <w:r w:rsidRPr="007937BF">
        <w:rPr>
          <w:rFonts w:ascii="Calibri" w:eastAsia="Questrial" w:hAnsi="Calibri" w:cs="Calibri"/>
          <w:color w:val="000000"/>
          <w:sz w:val="16"/>
          <w:szCs w:val="16"/>
        </w:rPr>
        <w:t>edition</w:t>
      </w:r>
      <w:proofErr w:type="spellEnd"/>
      <w:r w:rsidRPr="007937BF">
        <w:rPr>
          <w:rFonts w:ascii="Calibri" w:eastAsia="Questrial" w:hAnsi="Calibri" w:cs="Calibri"/>
          <w:color w:val="000000"/>
          <w:sz w:val="16"/>
          <w:szCs w:val="16"/>
        </w:rPr>
        <w:t>, “</w:t>
      </w:r>
      <w:proofErr w:type="spellStart"/>
      <w:r w:rsidRPr="007937BF">
        <w:rPr>
          <w:rFonts w:ascii="Calibri" w:eastAsia="Questrial" w:hAnsi="Calibri" w:cs="Calibri"/>
          <w:color w:val="000000"/>
          <w:sz w:val="16"/>
          <w:szCs w:val="16"/>
        </w:rPr>
        <w:t>The</w:t>
      </w:r>
      <w:proofErr w:type="spellEnd"/>
      <w:r w:rsidRPr="007937BF">
        <w:rPr>
          <w:rFonts w:ascii="Calibri" w:eastAsia="Questrial" w:hAnsi="Calibri" w:cs="Calibri"/>
          <w:color w:val="000000"/>
          <w:sz w:val="16"/>
          <w:szCs w:val="16"/>
        </w:rPr>
        <w:t xml:space="preserve"> Digital </w:t>
      </w:r>
      <w:proofErr w:type="spellStart"/>
      <w:r w:rsidRPr="007937BF">
        <w:rPr>
          <w:rFonts w:ascii="Calibri" w:eastAsia="Questrial" w:hAnsi="Calibri" w:cs="Calibri"/>
          <w:color w:val="000000"/>
          <w:sz w:val="16"/>
          <w:szCs w:val="16"/>
        </w:rPr>
        <w:t>Economy</w:t>
      </w:r>
      <w:proofErr w:type="spellEnd"/>
      <w:r w:rsidRPr="007937BF">
        <w:rPr>
          <w:rFonts w:ascii="Calibri" w:eastAsia="Questrial" w:hAnsi="Calibri" w:cs="Calibri"/>
          <w:color w:val="000000"/>
          <w:sz w:val="16"/>
          <w:szCs w:val="16"/>
        </w:rPr>
        <w:t xml:space="preserve"> – 2018 </w:t>
      </w:r>
      <w:proofErr w:type="spellStart"/>
      <w:r w:rsidRPr="007937BF">
        <w:rPr>
          <w:rFonts w:ascii="Calibri" w:eastAsia="Questrial" w:hAnsi="Calibri" w:cs="Calibri"/>
          <w:color w:val="000000"/>
          <w:sz w:val="16"/>
          <w:szCs w:val="16"/>
        </w:rPr>
        <w:t>Highlights</w:t>
      </w:r>
      <w:proofErr w:type="spellEnd"/>
      <w:r w:rsidRPr="007937BF">
        <w:rPr>
          <w:rFonts w:ascii="Calibri" w:eastAsia="Questrial" w:hAnsi="Calibri" w:cs="Calibri"/>
          <w:color w:val="000000"/>
          <w:sz w:val="16"/>
          <w:szCs w:val="16"/>
        </w:rPr>
        <w:t xml:space="preserve">”. Enero 2019. </w:t>
      </w:r>
      <w:hyperlink r:id="rId6">
        <w:r w:rsidRPr="007937BF">
          <w:rPr>
            <w:rFonts w:ascii="Calibri" w:eastAsia="Questrial" w:hAnsi="Calibri" w:cs="Calibri"/>
            <w:color w:val="0000FF"/>
            <w:sz w:val="16"/>
            <w:szCs w:val="16"/>
            <w:u w:val="single"/>
          </w:rPr>
          <w:t>https://www.competitionpolicyinternational.com/wp-content/uploads/2019/01/CHRONICLE-CPI-DE-Special-FINAL.pdf?utm_source=CPI+Subscribers&amp;utm_campaign=efd3577c41-EMAIL_CAMPAIGN_2019_01_17_03_27&amp;utm_medium=email&amp;utm_term=0_0ea61134a5-efd3577c41-236476965</w:t>
        </w:r>
      </w:hyperlink>
      <w:r>
        <w:rPr>
          <w:rFonts w:ascii="Questrial" w:eastAsia="Questrial" w:hAnsi="Questrial" w:cs="Questrial"/>
          <w:color w:val="000000"/>
          <w:sz w:val="20"/>
          <w:szCs w:val="20"/>
        </w:rPr>
        <w:t xml:space="preserve">  </w:t>
      </w:r>
    </w:p>
  </w:footnote>
  <w:footnote w:id="7">
    <w:p w:rsidR="007937BF" w:rsidRPr="007937BF" w:rsidRDefault="007937BF" w:rsidP="007937BF">
      <w:pPr>
        <w:rPr>
          <w:rFonts w:ascii="Calibri" w:eastAsia="Questrial" w:hAnsi="Calibri" w:cs="Calibri"/>
          <w:sz w:val="16"/>
          <w:szCs w:val="16"/>
        </w:rPr>
      </w:pPr>
      <w:r w:rsidRPr="007937BF">
        <w:rPr>
          <w:rFonts w:ascii="Calibri" w:hAnsi="Calibri" w:cs="Calibri"/>
          <w:sz w:val="16"/>
          <w:szCs w:val="16"/>
          <w:vertAlign w:val="superscript"/>
        </w:rPr>
        <w:footnoteRef/>
      </w:r>
      <w:r w:rsidRPr="007937BF">
        <w:rPr>
          <w:rFonts w:ascii="Calibri" w:eastAsia="Questrial" w:hAnsi="Calibri" w:cs="Calibri"/>
          <w:sz w:val="16"/>
          <w:szCs w:val="16"/>
        </w:rPr>
        <w:t xml:space="preserve"> Véase  </w:t>
      </w:r>
      <w:hyperlink r:id="rId7">
        <w:r w:rsidRPr="007937BF">
          <w:rPr>
            <w:rFonts w:ascii="Calibri" w:eastAsia="Questrial" w:hAnsi="Calibri" w:cs="Calibri"/>
            <w:color w:val="0000FF"/>
            <w:sz w:val="16"/>
            <w:szCs w:val="16"/>
            <w:u w:val="single"/>
          </w:rPr>
          <w:t>http://www.ift.org.mx/transparencia/planeacion-estrategica/vision19-23#</w:t>
        </w:r>
      </w:hyperlink>
    </w:p>
  </w:footnote>
  <w:footnote w:id="8">
    <w:p w:rsidR="007937BF" w:rsidRDefault="007937BF" w:rsidP="007937BF">
      <w:pPr>
        <w:ind w:left="142" w:hanging="142"/>
        <w:rPr>
          <w:rFonts w:ascii="Questrial" w:eastAsia="Questrial" w:hAnsi="Questrial" w:cs="Questrial"/>
          <w:sz w:val="20"/>
          <w:szCs w:val="20"/>
        </w:rPr>
      </w:pPr>
      <w:r w:rsidRPr="007937BF">
        <w:rPr>
          <w:rFonts w:ascii="Calibri" w:hAnsi="Calibri" w:cs="Calibri"/>
          <w:sz w:val="16"/>
          <w:szCs w:val="16"/>
          <w:vertAlign w:val="superscript"/>
        </w:rPr>
        <w:footnoteRef/>
      </w:r>
      <w:r w:rsidRPr="007937BF">
        <w:rPr>
          <w:rFonts w:ascii="Calibri" w:eastAsia="Questrial" w:hAnsi="Calibri" w:cs="Calibri"/>
          <w:sz w:val="16"/>
          <w:szCs w:val="16"/>
        </w:rPr>
        <w:t xml:space="preserve"> Véase </w:t>
      </w:r>
      <w:hyperlink r:id="rId8">
        <w:r w:rsidRPr="007937BF">
          <w:rPr>
            <w:rFonts w:ascii="Calibri" w:eastAsia="Questrial" w:hAnsi="Calibri" w:cs="Calibri"/>
            <w:color w:val="0000FF"/>
            <w:sz w:val="16"/>
            <w:szCs w:val="16"/>
            <w:u w:val="single"/>
          </w:rPr>
          <w:t>https://www.cofece.mx/wp-content/uploads/2018/03/RepensarlaCompetenciaenlaEconomiaDigital_01022018.pdf</w:t>
        </w:r>
      </w:hyperlink>
    </w:p>
  </w:footnote>
  <w:footnote w:id="9">
    <w:p w:rsidR="007937BF" w:rsidRPr="007937BF" w:rsidRDefault="007937BF" w:rsidP="007937BF">
      <w:pPr>
        <w:jc w:val="both"/>
        <w:rPr>
          <w:rFonts w:ascii="Calibri" w:eastAsia="Questrial" w:hAnsi="Calibri" w:cs="Calibri"/>
          <w:color w:val="000000"/>
          <w:sz w:val="16"/>
          <w:szCs w:val="16"/>
        </w:rPr>
      </w:pPr>
      <w:r w:rsidRPr="007937BF">
        <w:rPr>
          <w:rFonts w:ascii="Calibri" w:hAnsi="Calibri" w:cs="Calibri"/>
          <w:sz w:val="16"/>
          <w:szCs w:val="16"/>
          <w:vertAlign w:val="superscript"/>
        </w:rPr>
        <w:footnoteRef/>
      </w:r>
      <w:r w:rsidRPr="007937BF">
        <w:rPr>
          <w:rFonts w:ascii="Calibri" w:eastAsia="Questrial" w:hAnsi="Calibri" w:cs="Calibri"/>
          <w:color w:val="000000"/>
          <w:sz w:val="16"/>
          <w:szCs w:val="16"/>
        </w:rPr>
        <w:t xml:space="preserve"> Por </w:t>
      </w:r>
      <w:r w:rsidRPr="009959E2">
        <w:rPr>
          <w:rFonts w:ascii="Calibri" w:eastAsia="Questrial" w:hAnsi="Calibri" w:cs="Calibri"/>
          <w:color w:val="000000"/>
          <w:sz w:val="16"/>
          <w:szCs w:val="16"/>
        </w:rPr>
        <w:t>ejemplo</w:t>
      </w:r>
      <w:r w:rsidRPr="007937BF">
        <w:rPr>
          <w:rFonts w:ascii="Calibri" w:eastAsia="Questrial" w:hAnsi="Calibri" w:cs="Calibri"/>
          <w:color w:val="000000"/>
          <w:sz w:val="16"/>
          <w:szCs w:val="16"/>
        </w:rPr>
        <w:t>, la materia de competencia económica está dividida entre COFECE e IFT; la protección al consumidor compete a la Procurad</w:t>
      </w:r>
      <w:r>
        <w:rPr>
          <w:rFonts w:ascii="Calibri" w:eastAsia="Questrial" w:hAnsi="Calibri" w:cs="Calibri"/>
          <w:color w:val="000000"/>
          <w:sz w:val="16"/>
          <w:szCs w:val="16"/>
        </w:rPr>
        <w:t xml:space="preserve">uría Federal del Consumidor; y </w:t>
      </w:r>
      <w:r w:rsidRPr="007937BF">
        <w:rPr>
          <w:rFonts w:ascii="Calibri" w:eastAsia="Questrial" w:hAnsi="Calibri" w:cs="Calibri"/>
          <w:color w:val="000000"/>
          <w:sz w:val="16"/>
          <w:szCs w:val="16"/>
        </w:rPr>
        <w:t>la protección de la privacidad de datos personales depende del Instituto Nacional de Transparencia, Acceso a la Información y Protección de Datos Personales.</w:t>
      </w:r>
    </w:p>
  </w:footnote>
  <w:footnote w:id="10">
    <w:p w:rsidR="007937BF" w:rsidRPr="007937BF" w:rsidRDefault="007937BF" w:rsidP="007937BF">
      <w:pPr>
        <w:jc w:val="both"/>
        <w:rPr>
          <w:rFonts w:ascii="Calibri" w:eastAsia="Questrial" w:hAnsi="Calibri" w:cs="Questrial"/>
          <w:sz w:val="16"/>
          <w:szCs w:val="20"/>
        </w:rPr>
      </w:pPr>
      <w:r w:rsidRPr="007937BF">
        <w:rPr>
          <w:rFonts w:ascii="Calibri" w:hAnsi="Calibri"/>
          <w:sz w:val="16"/>
          <w:vertAlign w:val="superscript"/>
        </w:rPr>
        <w:footnoteRef/>
      </w:r>
      <w:r w:rsidRPr="007937BF">
        <w:rPr>
          <w:rFonts w:ascii="Calibri" w:eastAsia="Questrial" w:hAnsi="Calibri" w:cs="Questrial"/>
          <w:sz w:val="16"/>
          <w:szCs w:val="20"/>
        </w:rPr>
        <w:t xml:space="preserve"> Véase artículo transitorio décimo cuarto del Decreto por el que se reforman y adicionan diversas disposiciones de los artículos 6o., 7o., 27, 28, 73, 78, 94 y 105 de la Constitución Política de los Estados Unidos Mexicanos, en materia de telecomunicaciones. Publicado en el DOF el 11 de junio de 2013.</w:t>
      </w:r>
    </w:p>
    <w:p w:rsidR="007937BF" w:rsidRDefault="007937BF" w:rsidP="007937BF">
      <w:pPr>
        <w:rPr>
          <w:rFonts w:ascii="Questrial" w:eastAsia="Questrial" w:hAnsi="Questrial" w:cs="Questrial"/>
          <w:color w:val="000000"/>
          <w:sz w:val="20"/>
          <w:szCs w:val="20"/>
        </w:rPr>
      </w:pPr>
    </w:p>
  </w:footnote>
  <w:footnote w:id="11">
    <w:p w:rsidR="007937BF" w:rsidRDefault="007937BF" w:rsidP="007937BF">
      <w:pPr>
        <w:rPr>
          <w:rFonts w:ascii="Questrial" w:eastAsia="Questrial" w:hAnsi="Questrial" w:cs="Questrial"/>
          <w:color w:val="000000"/>
          <w:sz w:val="20"/>
          <w:szCs w:val="20"/>
        </w:rPr>
      </w:pPr>
      <w:r w:rsidRPr="002F60D5">
        <w:rPr>
          <w:rFonts w:ascii="Calibri" w:hAnsi="Calibri" w:cs="Calibri"/>
          <w:sz w:val="16"/>
          <w:szCs w:val="16"/>
          <w:vertAlign w:val="superscript"/>
        </w:rPr>
        <w:footnoteRef/>
      </w:r>
      <w:r w:rsidRPr="002F60D5">
        <w:rPr>
          <w:rFonts w:ascii="Calibri" w:eastAsia="Questrial" w:hAnsi="Calibri" w:cs="Calibri"/>
          <w:color w:val="000000"/>
          <w:sz w:val="16"/>
          <w:szCs w:val="16"/>
        </w:rPr>
        <w:t xml:space="preserve"> El sitio</w:t>
      </w:r>
      <w:r w:rsidRPr="007937BF">
        <w:rPr>
          <w:rFonts w:ascii="Calibri" w:eastAsia="Questrial" w:hAnsi="Calibri" w:cs="Calibri"/>
          <w:color w:val="000000"/>
          <w:sz w:val="16"/>
          <w:szCs w:val="16"/>
        </w:rPr>
        <w:t xml:space="preserve"> está disponible en: </w:t>
      </w:r>
      <w:hyperlink r:id="rId9">
        <w:r w:rsidRPr="007937BF">
          <w:rPr>
            <w:rFonts w:ascii="Calibri" w:eastAsia="Questrial" w:hAnsi="Calibri" w:cs="Calibri"/>
            <w:color w:val="0000FF"/>
            <w:sz w:val="16"/>
            <w:szCs w:val="16"/>
            <w:u w:val="single"/>
          </w:rPr>
          <w:t>http://cter.ift.org.mx/dashboard</w:t>
        </w:r>
      </w:hyperlink>
      <w:r>
        <w:rPr>
          <w:rFonts w:ascii="Questrial" w:eastAsia="Questrial" w:hAnsi="Questrial" w:cs="Quest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92" w:rsidRPr="00A955AB" w:rsidRDefault="001329F2" w:rsidP="00A955AB">
    <w:pPr>
      <w:pStyle w:val="Encabezado"/>
      <w:tabs>
        <w:tab w:val="clear" w:pos="4419"/>
        <w:tab w:val="clear" w:pos="8838"/>
        <w:tab w:val="left" w:pos="4035"/>
      </w:tabs>
    </w:pPr>
    <w:r>
      <w:rPr>
        <w:noProof/>
        <w:lang w:eastAsia="es-MX"/>
      </w:rPr>
      <w:drawing>
        <wp:inline distT="0" distB="0" distL="0" distR="0" wp14:anchorId="2FEF6638">
          <wp:extent cx="3657600" cy="854091"/>
          <wp:effectExtent l="0" t="0" r="0" b="31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4267" cy="8603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25B"/>
    <w:multiLevelType w:val="hybridMultilevel"/>
    <w:tmpl w:val="A07A18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A5362"/>
    <w:multiLevelType w:val="hybridMultilevel"/>
    <w:tmpl w:val="D9BA6846"/>
    <w:lvl w:ilvl="0" w:tplc="A8683E5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00B3A8B"/>
    <w:multiLevelType w:val="hybridMultilevel"/>
    <w:tmpl w:val="2750AEB2"/>
    <w:styleLink w:val="Estiloimportado2"/>
    <w:lvl w:ilvl="0" w:tplc="75BC405A">
      <w:start w:val="1"/>
      <w:numFmt w:val="decimal"/>
      <w:lvlText w:val="%1."/>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438A809A">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F19C8C22">
      <w:start w:val="1"/>
      <w:numFmt w:val="lowerRoman"/>
      <w:lvlText w:val="%3."/>
      <w:lvlJc w:val="left"/>
      <w:pPr>
        <w:ind w:left="283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86806E6E">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AD21ACE">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0F0C99E">
      <w:start w:val="1"/>
      <w:numFmt w:val="lowerRoman"/>
      <w:lvlText w:val="%6."/>
      <w:lvlJc w:val="left"/>
      <w:pPr>
        <w:ind w:left="499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44D408FA">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E3D623AE">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212FDA2">
      <w:start w:val="1"/>
      <w:numFmt w:val="lowerRoman"/>
      <w:lvlText w:val="%9."/>
      <w:lvlJc w:val="left"/>
      <w:pPr>
        <w:ind w:left="715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587B6A"/>
    <w:multiLevelType w:val="hybridMultilevel"/>
    <w:tmpl w:val="2750AEB2"/>
    <w:numStyleLink w:val="Estiloimportado2"/>
  </w:abstractNum>
  <w:abstractNum w:abstractNumId="4" w15:restartNumberingAfterBreak="0">
    <w:nsid w:val="2A69304D"/>
    <w:multiLevelType w:val="multilevel"/>
    <w:tmpl w:val="923A6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3C0C4D"/>
    <w:multiLevelType w:val="multilevel"/>
    <w:tmpl w:val="10422B8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161A49"/>
    <w:multiLevelType w:val="multilevel"/>
    <w:tmpl w:val="4D7E5588"/>
    <w:lvl w:ilvl="0">
      <w:start w:val="1"/>
      <w:numFmt w:val="lowerLetter"/>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0FD24A3"/>
    <w:multiLevelType w:val="hybridMultilevel"/>
    <w:tmpl w:val="6EA2B5EA"/>
    <w:styleLink w:val="Vieta"/>
    <w:lvl w:ilvl="0" w:tplc="786ADD26">
      <w:start w:val="1"/>
      <w:numFmt w:val="bullet"/>
      <w:lvlText w:val="•"/>
      <w:lvlJc w:val="left"/>
      <w:pPr>
        <w:ind w:left="216" w:hanging="216"/>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1" w:tplc="81B43E0C">
      <w:start w:val="1"/>
      <w:numFmt w:val="bullet"/>
      <w:lvlText w:val="•"/>
      <w:lvlJc w:val="left"/>
      <w:pPr>
        <w:ind w:left="4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2" w:tplc="B8C02380">
      <w:start w:val="1"/>
      <w:numFmt w:val="bullet"/>
      <w:lvlText w:val="•"/>
      <w:lvlJc w:val="left"/>
      <w:pPr>
        <w:ind w:left="6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3" w:tplc="47420096">
      <w:start w:val="1"/>
      <w:numFmt w:val="bullet"/>
      <w:lvlText w:val="•"/>
      <w:lvlJc w:val="left"/>
      <w:pPr>
        <w:ind w:left="8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4" w:tplc="B124515A">
      <w:start w:val="1"/>
      <w:numFmt w:val="bullet"/>
      <w:lvlText w:val="•"/>
      <w:lvlJc w:val="left"/>
      <w:pPr>
        <w:ind w:left="110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5" w:tplc="70840E46">
      <w:start w:val="1"/>
      <w:numFmt w:val="bullet"/>
      <w:lvlText w:val="•"/>
      <w:lvlJc w:val="left"/>
      <w:pPr>
        <w:ind w:left="132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6" w:tplc="09F4232A">
      <w:start w:val="1"/>
      <w:numFmt w:val="bullet"/>
      <w:lvlText w:val="•"/>
      <w:lvlJc w:val="left"/>
      <w:pPr>
        <w:ind w:left="15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7" w:tplc="6A7EF602">
      <w:start w:val="1"/>
      <w:numFmt w:val="bullet"/>
      <w:lvlText w:val="•"/>
      <w:lvlJc w:val="left"/>
      <w:pPr>
        <w:ind w:left="17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8" w:tplc="637E5C68">
      <w:start w:val="1"/>
      <w:numFmt w:val="bullet"/>
      <w:lvlText w:val="•"/>
      <w:lvlJc w:val="left"/>
      <w:pPr>
        <w:ind w:left="19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abstractNum>
  <w:abstractNum w:abstractNumId="8" w15:restartNumberingAfterBreak="0">
    <w:nsid w:val="31024DE7"/>
    <w:multiLevelType w:val="hybridMultilevel"/>
    <w:tmpl w:val="9F32E4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D63DCC"/>
    <w:multiLevelType w:val="hybridMultilevel"/>
    <w:tmpl w:val="BF1C4DDA"/>
    <w:numStyleLink w:val="Estiloimportado1"/>
  </w:abstractNum>
  <w:abstractNum w:abstractNumId="10" w15:restartNumberingAfterBreak="0">
    <w:nsid w:val="4DF278EE"/>
    <w:multiLevelType w:val="hybridMultilevel"/>
    <w:tmpl w:val="5D9223E0"/>
    <w:lvl w:ilvl="0" w:tplc="080A0019">
      <w:start w:val="1"/>
      <w:numFmt w:val="lowerLetter"/>
      <w:lvlText w:val="%1."/>
      <w:lvlJc w:val="left"/>
      <w:pPr>
        <w:ind w:left="1407" w:hanging="327"/>
      </w:pPr>
      <w:rPr>
        <w:caps w:val="0"/>
        <w:smallCaps w:val="0"/>
        <w:strike w:val="0"/>
        <w:dstrike w:val="0"/>
        <w:outline w:val="0"/>
        <w:emboss w:val="0"/>
        <w:imprint w:val="0"/>
        <w:spacing w:val="0"/>
        <w:w w:val="100"/>
        <w:kern w:val="0"/>
        <w:position w:val="0"/>
        <w:highlight w:val="none"/>
        <w:vertAlign w:val="baseline"/>
      </w:rPr>
    </w:lvl>
    <w:lvl w:ilvl="1" w:tplc="3E8E5EF4">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0C743CE8">
      <w:start w:val="1"/>
      <w:numFmt w:val="lowerRoman"/>
      <w:lvlText w:val="%3."/>
      <w:lvlJc w:val="left"/>
      <w:pPr>
        <w:ind w:left="283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E6142682">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CD8AD7DA">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68E0CCC0">
      <w:start w:val="1"/>
      <w:numFmt w:val="lowerRoman"/>
      <w:lvlText w:val="%6."/>
      <w:lvlJc w:val="left"/>
      <w:pPr>
        <w:ind w:left="499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92BC9BC0">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3CC8B42">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E3442D00">
      <w:start w:val="1"/>
      <w:numFmt w:val="lowerRoman"/>
      <w:lvlText w:val="%9."/>
      <w:lvlJc w:val="left"/>
      <w:pPr>
        <w:ind w:left="715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E8A4548"/>
    <w:multiLevelType w:val="multilevel"/>
    <w:tmpl w:val="5706E3F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52D2082C"/>
    <w:multiLevelType w:val="hybridMultilevel"/>
    <w:tmpl w:val="2A16E7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FA2A79"/>
    <w:multiLevelType w:val="hybridMultilevel"/>
    <w:tmpl w:val="6EA2B5EA"/>
    <w:numStyleLink w:val="Vieta"/>
  </w:abstractNum>
  <w:abstractNum w:abstractNumId="14" w15:restartNumberingAfterBreak="0">
    <w:nsid w:val="5EA11832"/>
    <w:multiLevelType w:val="hybridMultilevel"/>
    <w:tmpl w:val="65C8376E"/>
    <w:lvl w:ilvl="0" w:tplc="3842B140">
      <w:start w:val="1"/>
      <w:numFmt w:val="upperLetter"/>
      <w:lvlText w:val="%1."/>
      <w:lvlJc w:val="left"/>
      <w:pPr>
        <w:ind w:left="746" w:hanging="360"/>
      </w:pPr>
      <w:rPr>
        <w:rFonts w:eastAsia="Questrial" w:cs="Calibri" w:hint="default"/>
        <w:u w:val="single"/>
      </w:rPr>
    </w:lvl>
    <w:lvl w:ilvl="1" w:tplc="080A0019" w:tentative="1">
      <w:start w:val="1"/>
      <w:numFmt w:val="lowerLetter"/>
      <w:lvlText w:val="%2."/>
      <w:lvlJc w:val="left"/>
      <w:pPr>
        <w:ind w:left="1466" w:hanging="360"/>
      </w:pPr>
    </w:lvl>
    <w:lvl w:ilvl="2" w:tplc="080A001B" w:tentative="1">
      <w:start w:val="1"/>
      <w:numFmt w:val="lowerRoman"/>
      <w:lvlText w:val="%3."/>
      <w:lvlJc w:val="right"/>
      <w:pPr>
        <w:ind w:left="2186" w:hanging="180"/>
      </w:pPr>
    </w:lvl>
    <w:lvl w:ilvl="3" w:tplc="080A000F" w:tentative="1">
      <w:start w:val="1"/>
      <w:numFmt w:val="decimal"/>
      <w:lvlText w:val="%4."/>
      <w:lvlJc w:val="left"/>
      <w:pPr>
        <w:ind w:left="2906" w:hanging="360"/>
      </w:pPr>
    </w:lvl>
    <w:lvl w:ilvl="4" w:tplc="080A0019" w:tentative="1">
      <w:start w:val="1"/>
      <w:numFmt w:val="lowerLetter"/>
      <w:lvlText w:val="%5."/>
      <w:lvlJc w:val="left"/>
      <w:pPr>
        <w:ind w:left="3626" w:hanging="360"/>
      </w:pPr>
    </w:lvl>
    <w:lvl w:ilvl="5" w:tplc="080A001B" w:tentative="1">
      <w:start w:val="1"/>
      <w:numFmt w:val="lowerRoman"/>
      <w:lvlText w:val="%6."/>
      <w:lvlJc w:val="right"/>
      <w:pPr>
        <w:ind w:left="4346" w:hanging="180"/>
      </w:pPr>
    </w:lvl>
    <w:lvl w:ilvl="6" w:tplc="080A000F" w:tentative="1">
      <w:start w:val="1"/>
      <w:numFmt w:val="decimal"/>
      <w:lvlText w:val="%7."/>
      <w:lvlJc w:val="left"/>
      <w:pPr>
        <w:ind w:left="5066" w:hanging="360"/>
      </w:pPr>
    </w:lvl>
    <w:lvl w:ilvl="7" w:tplc="080A0019" w:tentative="1">
      <w:start w:val="1"/>
      <w:numFmt w:val="lowerLetter"/>
      <w:lvlText w:val="%8."/>
      <w:lvlJc w:val="left"/>
      <w:pPr>
        <w:ind w:left="5786" w:hanging="360"/>
      </w:pPr>
    </w:lvl>
    <w:lvl w:ilvl="8" w:tplc="080A001B" w:tentative="1">
      <w:start w:val="1"/>
      <w:numFmt w:val="lowerRoman"/>
      <w:lvlText w:val="%9."/>
      <w:lvlJc w:val="right"/>
      <w:pPr>
        <w:ind w:left="6506" w:hanging="180"/>
      </w:pPr>
    </w:lvl>
  </w:abstractNum>
  <w:abstractNum w:abstractNumId="15" w15:restartNumberingAfterBreak="0">
    <w:nsid w:val="6FA02E46"/>
    <w:multiLevelType w:val="hybridMultilevel"/>
    <w:tmpl w:val="4E3CE3A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C227297"/>
    <w:multiLevelType w:val="hybridMultilevel"/>
    <w:tmpl w:val="BF1C4DDA"/>
    <w:styleLink w:val="Estiloimportado1"/>
    <w:lvl w:ilvl="0" w:tplc="FBCE9646">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85488810">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3EED66A">
      <w:start w:val="1"/>
      <w:numFmt w:val="lowerRoman"/>
      <w:lvlText w:val="%3."/>
      <w:lvlJc w:val="left"/>
      <w:pPr>
        <w:ind w:left="211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5BF084C0">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5B0445C6">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4E2C8118">
      <w:start w:val="1"/>
      <w:numFmt w:val="lowerRoman"/>
      <w:lvlText w:val="%6."/>
      <w:lvlJc w:val="left"/>
      <w:pPr>
        <w:ind w:left="427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06AA1EB0">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800ED78">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93D861AA">
      <w:start w:val="1"/>
      <w:numFmt w:val="lowerRoman"/>
      <w:lvlText w:val="%9."/>
      <w:lvlJc w:val="left"/>
      <w:pPr>
        <w:ind w:left="643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D6601AD"/>
    <w:multiLevelType w:val="hybridMultilevel"/>
    <w:tmpl w:val="09988D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6"/>
  </w:num>
  <w:num w:numId="4">
    <w:abstractNumId w:val="9"/>
  </w:num>
  <w:num w:numId="5">
    <w:abstractNumId w:val="2"/>
  </w:num>
  <w:num w:numId="6">
    <w:abstractNumId w:val="3"/>
  </w:num>
  <w:num w:numId="7">
    <w:abstractNumId w:val="10"/>
  </w:num>
  <w:num w:numId="8">
    <w:abstractNumId w:val="0"/>
  </w:num>
  <w:num w:numId="9">
    <w:abstractNumId w:val="15"/>
  </w:num>
  <w:num w:numId="10">
    <w:abstractNumId w:val="1"/>
  </w:num>
  <w:num w:numId="11">
    <w:abstractNumId w:val="5"/>
  </w:num>
  <w:num w:numId="12">
    <w:abstractNumId w:val="6"/>
  </w:num>
  <w:num w:numId="13">
    <w:abstractNumId w:val="11"/>
  </w:num>
  <w:num w:numId="14">
    <w:abstractNumId w:val="4"/>
  </w:num>
  <w:num w:numId="15">
    <w:abstractNumId w:val="17"/>
  </w:num>
  <w:num w:numId="16">
    <w:abstractNumId w:val="12"/>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A5"/>
    <w:rsid w:val="000267D9"/>
    <w:rsid w:val="000A31C5"/>
    <w:rsid w:val="00113679"/>
    <w:rsid w:val="001329F2"/>
    <w:rsid w:val="001348EB"/>
    <w:rsid w:val="00143D77"/>
    <w:rsid w:val="00160992"/>
    <w:rsid w:val="001B53D7"/>
    <w:rsid w:val="001E359E"/>
    <w:rsid w:val="001E6155"/>
    <w:rsid w:val="001F0973"/>
    <w:rsid w:val="001F13D4"/>
    <w:rsid w:val="002239A3"/>
    <w:rsid w:val="0023651C"/>
    <w:rsid w:val="00245467"/>
    <w:rsid w:val="00265683"/>
    <w:rsid w:val="002B5621"/>
    <w:rsid w:val="002C7889"/>
    <w:rsid w:val="002D56AF"/>
    <w:rsid w:val="002F60D5"/>
    <w:rsid w:val="003212F7"/>
    <w:rsid w:val="00324D4D"/>
    <w:rsid w:val="00356957"/>
    <w:rsid w:val="003719F4"/>
    <w:rsid w:val="00382008"/>
    <w:rsid w:val="003F26FB"/>
    <w:rsid w:val="003F66A8"/>
    <w:rsid w:val="004278E2"/>
    <w:rsid w:val="00447A55"/>
    <w:rsid w:val="004560A5"/>
    <w:rsid w:val="004663AC"/>
    <w:rsid w:val="00486174"/>
    <w:rsid w:val="0049516A"/>
    <w:rsid w:val="004A2315"/>
    <w:rsid w:val="005B4740"/>
    <w:rsid w:val="005C2C90"/>
    <w:rsid w:val="005C6C7F"/>
    <w:rsid w:val="006209F4"/>
    <w:rsid w:val="006264F7"/>
    <w:rsid w:val="00626B27"/>
    <w:rsid w:val="006322D7"/>
    <w:rsid w:val="00646CDB"/>
    <w:rsid w:val="006B577A"/>
    <w:rsid w:val="006E0F55"/>
    <w:rsid w:val="006E6A6C"/>
    <w:rsid w:val="006F3C9E"/>
    <w:rsid w:val="00766F78"/>
    <w:rsid w:val="0077036B"/>
    <w:rsid w:val="00782022"/>
    <w:rsid w:val="007937BF"/>
    <w:rsid w:val="007E16AD"/>
    <w:rsid w:val="00802138"/>
    <w:rsid w:val="00803239"/>
    <w:rsid w:val="008439EC"/>
    <w:rsid w:val="008C61A3"/>
    <w:rsid w:val="008D3B24"/>
    <w:rsid w:val="008F4C1A"/>
    <w:rsid w:val="008F65F7"/>
    <w:rsid w:val="009649A9"/>
    <w:rsid w:val="00967293"/>
    <w:rsid w:val="009821BB"/>
    <w:rsid w:val="009959E2"/>
    <w:rsid w:val="009A2737"/>
    <w:rsid w:val="009E1A9D"/>
    <w:rsid w:val="00A10718"/>
    <w:rsid w:val="00A42320"/>
    <w:rsid w:val="00A57DB5"/>
    <w:rsid w:val="00A76434"/>
    <w:rsid w:val="00A955AB"/>
    <w:rsid w:val="00AB4947"/>
    <w:rsid w:val="00AB49B0"/>
    <w:rsid w:val="00AE31BE"/>
    <w:rsid w:val="00B01B32"/>
    <w:rsid w:val="00B26B29"/>
    <w:rsid w:val="00B5173A"/>
    <w:rsid w:val="00B65DA5"/>
    <w:rsid w:val="00B83A00"/>
    <w:rsid w:val="00BE45A8"/>
    <w:rsid w:val="00C60CBA"/>
    <w:rsid w:val="00CA5F93"/>
    <w:rsid w:val="00CF2785"/>
    <w:rsid w:val="00CF4860"/>
    <w:rsid w:val="00D23478"/>
    <w:rsid w:val="00D27021"/>
    <w:rsid w:val="00D3160E"/>
    <w:rsid w:val="00D329A2"/>
    <w:rsid w:val="00D505DB"/>
    <w:rsid w:val="00D5399A"/>
    <w:rsid w:val="00D67324"/>
    <w:rsid w:val="00D67F10"/>
    <w:rsid w:val="00D71C1D"/>
    <w:rsid w:val="00DC6D60"/>
    <w:rsid w:val="00E04FA7"/>
    <w:rsid w:val="00E229F5"/>
    <w:rsid w:val="00E43281"/>
    <w:rsid w:val="00E546DB"/>
    <w:rsid w:val="00E67401"/>
    <w:rsid w:val="00EA4676"/>
    <w:rsid w:val="00F35339"/>
    <w:rsid w:val="00F4263D"/>
    <w:rsid w:val="00F81A03"/>
    <w:rsid w:val="00FB1C0B"/>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8F090"/>
  <w15:docId w15:val="{3DA10B9C-49BE-0941-9282-D6B350C6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MX"/>
    </w:rPr>
  </w:style>
  <w:style w:type="paragraph" w:styleId="Ttulo1">
    <w:name w:val="heading 1"/>
    <w:basedOn w:val="Normal"/>
    <w:next w:val="Normal"/>
    <w:link w:val="Ttulo1Car"/>
    <w:uiPriority w:val="9"/>
    <w:qFormat/>
    <w:rsid w:val="00B65DA5"/>
    <w:pPr>
      <w:keepNext/>
      <w:keepLines/>
      <w:spacing w:before="240"/>
      <w:outlineLvl w:val="0"/>
    </w:pPr>
    <w:rPr>
      <w:rFonts w:asciiTheme="majorHAnsi" w:eastAsiaTheme="majorEastAsia" w:hAnsiTheme="majorHAnsi" w:cstheme="majorBidi"/>
      <w:color w:val="4C96AD" w:themeColor="accent1" w:themeShade="BF"/>
      <w:sz w:val="32"/>
      <w:szCs w:val="32"/>
    </w:rPr>
  </w:style>
  <w:style w:type="paragraph" w:styleId="Ttulo2">
    <w:name w:val="heading 2"/>
    <w:basedOn w:val="Normal"/>
    <w:next w:val="Normal"/>
    <w:link w:val="Ttulo2Car"/>
    <w:uiPriority w:val="9"/>
    <w:unhideWhenUsed/>
    <w:qFormat/>
    <w:rsid w:val="00B65DA5"/>
    <w:pPr>
      <w:keepNext/>
      <w:keepLines/>
      <w:spacing w:before="40"/>
      <w:outlineLvl w:val="1"/>
    </w:pPr>
    <w:rPr>
      <w:rFonts w:asciiTheme="majorHAnsi" w:eastAsiaTheme="majorEastAsia" w:hAnsiTheme="majorHAnsi" w:cstheme="majorBidi"/>
      <w:color w:val="4C96AD" w:themeColor="accent1" w:themeShade="BF"/>
      <w:sz w:val="26"/>
      <w:szCs w:val="26"/>
    </w:rPr>
  </w:style>
  <w:style w:type="paragraph" w:styleId="Ttulo3">
    <w:name w:val="heading 3"/>
    <w:basedOn w:val="Normal"/>
    <w:next w:val="Normal"/>
    <w:link w:val="Ttulo3Car"/>
    <w:uiPriority w:val="9"/>
    <w:unhideWhenUsed/>
    <w:qFormat/>
    <w:rsid w:val="00B65DA5"/>
    <w:pPr>
      <w:keepNext/>
      <w:keepLines/>
      <w:spacing w:before="40"/>
      <w:outlineLvl w:val="2"/>
    </w:pPr>
    <w:rPr>
      <w:rFonts w:asciiTheme="majorHAnsi" w:eastAsiaTheme="majorEastAsia" w:hAnsiTheme="majorHAnsi" w:cstheme="majorBidi"/>
      <w:color w:val="33647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Cabeceraypie">
    <w:name w:val="Cabecera y pie"/>
    <w:pPr>
      <w:tabs>
        <w:tab w:val="right" w:pos="9020"/>
      </w:tabs>
      <w:spacing w:line="288" w:lineRule="auto"/>
    </w:pPr>
    <w:rPr>
      <w:rFonts w:ascii="Helvetica Neue Medium" w:hAnsi="Helvetica Neue Medium" w:cs="Arial Unicode MS"/>
      <w:color w:val="5F5F5F"/>
    </w:rPr>
  </w:style>
  <w:style w:type="paragraph" w:customStyle="1" w:styleId="Ttulo10">
    <w:name w:val="Título1"/>
    <w:next w:val="Cuerpo2"/>
    <w:pPr>
      <w:keepNext/>
      <w:spacing w:line="288" w:lineRule="auto"/>
    </w:pPr>
    <w:rPr>
      <w:rFonts w:ascii="Helvetica Neue UltraLight" w:hAnsi="Helvetica Neue UltraLight" w:cs="Arial Unicode MS"/>
      <w:color w:val="000000"/>
      <w:spacing w:val="16"/>
      <w:sz w:val="56"/>
      <w:szCs w:val="56"/>
      <w:lang w:val="es-ES_tradnl"/>
    </w:rPr>
  </w:style>
  <w:style w:type="paragraph" w:customStyle="1" w:styleId="Cuerpo2">
    <w:name w:val="Cuerpo 2"/>
    <w:pPr>
      <w:suppressAutoHyphens/>
      <w:spacing w:after="180" w:line="288" w:lineRule="auto"/>
    </w:pPr>
    <w:rPr>
      <w:rFonts w:ascii="Helvetica Neue Light" w:hAnsi="Helvetica Neue Light" w:cs="Arial Unicode MS"/>
      <w:color w:val="000000"/>
      <w:lang w:val="es-ES_tradnl"/>
    </w:rPr>
  </w:style>
  <w:style w:type="paragraph" w:customStyle="1" w:styleId="Cuerpo">
    <w:name w:val="Cuerpo"/>
    <w:pPr>
      <w:spacing w:line="312" w:lineRule="auto"/>
    </w:pPr>
    <w:rPr>
      <w:rFonts w:ascii="Helvetica Neue Light" w:hAnsi="Helvetica Neue Light" w:cs="Arial Unicode MS"/>
      <w:color w:val="000000"/>
      <w:lang w:val="es-ES_tradnl"/>
    </w:rPr>
  </w:style>
  <w:style w:type="paragraph" w:customStyle="1" w:styleId="Encabezamiento">
    <w:name w:val="Encabezamiento"/>
    <w:next w:val="Cuerpo2"/>
    <w:pPr>
      <w:outlineLvl w:val="0"/>
    </w:pPr>
    <w:rPr>
      <w:rFonts w:ascii="Helvetica Neue Light" w:hAnsi="Helvetica Neue Light" w:cs="Arial Unicode MS"/>
      <w:caps/>
      <w:color w:val="434343"/>
      <w:spacing w:val="7"/>
      <w:sz w:val="36"/>
      <w:szCs w:val="36"/>
      <w:lang w:val="de-DE"/>
    </w:rPr>
  </w:style>
  <w:style w:type="paragraph" w:customStyle="1" w:styleId="Encabezamiento2">
    <w:name w:val="Encabezamiento 2"/>
    <w:next w:val="Cuerpo2"/>
    <w:pPr>
      <w:spacing w:before="200" w:after="140"/>
      <w:outlineLvl w:val="1"/>
    </w:pPr>
    <w:rPr>
      <w:rFonts w:ascii="Helvetica Neue" w:eastAsia="Helvetica Neue" w:hAnsi="Helvetica Neue" w:cs="Helvetica Neue"/>
      <w:b/>
      <w:bCs/>
      <w:color w:val="357CA2"/>
      <w:sz w:val="22"/>
      <w:szCs w:val="22"/>
    </w:rPr>
  </w:style>
  <w:style w:type="paragraph" w:customStyle="1" w:styleId="Formatolibre">
    <w:name w:val="Formato libre"/>
    <w:rPr>
      <w:rFonts w:ascii="Helvetica Neue Light" w:eastAsia="Helvetica Neue Light" w:hAnsi="Helvetica Neue Light" w:cs="Helvetica Neue Light"/>
      <w:color w:val="000000"/>
    </w:rPr>
  </w:style>
  <w:style w:type="character" w:customStyle="1" w:styleId="Ninguno">
    <w:name w:val="Ninguno"/>
  </w:style>
  <w:style w:type="numbering" w:customStyle="1" w:styleId="Vieta">
    <w:name w:val="Viñeta"/>
    <w:pPr>
      <w:numPr>
        <w:numId w:val="1"/>
      </w:numPr>
    </w:pPr>
  </w:style>
  <w:style w:type="numbering" w:customStyle="1" w:styleId="Estiloimportado1">
    <w:name w:val="Estilo importado 1"/>
    <w:pPr>
      <w:numPr>
        <w:numId w:val="3"/>
      </w:numPr>
    </w:pPr>
  </w:style>
  <w:style w:type="numbering" w:customStyle="1" w:styleId="Estiloimportado2">
    <w:name w:val="Estilo importado 2"/>
    <w:pPr>
      <w:numPr>
        <w:numId w:val="5"/>
      </w:numPr>
    </w:pPr>
  </w:style>
  <w:style w:type="paragraph" w:styleId="Encabezado">
    <w:name w:val="header"/>
    <w:basedOn w:val="Normal"/>
    <w:link w:val="EncabezadoCar"/>
    <w:uiPriority w:val="99"/>
    <w:unhideWhenUsed/>
    <w:rsid w:val="00A955AB"/>
    <w:pPr>
      <w:tabs>
        <w:tab w:val="center" w:pos="4419"/>
        <w:tab w:val="right" w:pos="8838"/>
      </w:tabs>
    </w:pPr>
  </w:style>
  <w:style w:type="character" w:customStyle="1" w:styleId="EncabezadoCar">
    <w:name w:val="Encabezado Car"/>
    <w:basedOn w:val="Fuentedeprrafopredeter"/>
    <w:link w:val="Encabezado"/>
    <w:uiPriority w:val="99"/>
    <w:rsid w:val="00A955AB"/>
    <w:rPr>
      <w:sz w:val="24"/>
      <w:szCs w:val="24"/>
    </w:rPr>
  </w:style>
  <w:style w:type="paragraph" w:styleId="Piedepgina">
    <w:name w:val="footer"/>
    <w:basedOn w:val="Normal"/>
    <w:link w:val="PiedepginaCar"/>
    <w:uiPriority w:val="99"/>
    <w:unhideWhenUsed/>
    <w:rsid w:val="00A955AB"/>
    <w:pPr>
      <w:tabs>
        <w:tab w:val="center" w:pos="4419"/>
        <w:tab w:val="right" w:pos="8838"/>
      </w:tabs>
    </w:pPr>
  </w:style>
  <w:style w:type="character" w:customStyle="1" w:styleId="PiedepginaCar">
    <w:name w:val="Pie de página Car"/>
    <w:basedOn w:val="Fuentedeprrafopredeter"/>
    <w:link w:val="Piedepgina"/>
    <w:uiPriority w:val="99"/>
    <w:rsid w:val="00A955AB"/>
    <w:rPr>
      <w:sz w:val="24"/>
      <w:szCs w:val="24"/>
    </w:rPr>
  </w:style>
  <w:style w:type="character" w:customStyle="1" w:styleId="Ttulo1Car">
    <w:name w:val="Título 1 Car"/>
    <w:basedOn w:val="Fuentedeprrafopredeter"/>
    <w:link w:val="Ttulo1"/>
    <w:uiPriority w:val="9"/>
    <w:rsid w:val="00B65DA5"/>
    <w:rPr>
      <w:rFonts w:asciiTheme="majorHAnsi" w:eastAsiaTheme="majorEastAsia" w:hAnsiTheme="majorHAnsi" w:cstheme="majorBidi"/>
      <w:color w:val="4C96AD" w:themeColor="accent1" w:themeShade="BF"/>
      <w:sz w:val="32"/>
      <w:szCs w:val="32"/>
    </w:rPr>
  </w:style>
  <w:style w:type="character" w:customStyle="1" w:styleId="Ttulo2Car">
    <w:name w:val="Título 2 Car"/>
    <w:basedOn w:val="Fuentedeprrafopredeter"/>
    <w:link w:val="Ttulo2"/>
    <w:uiPriority w:val="9"/>
    <w:rsid w:val="00B65DA5"/>
    <w:rPr>
      <w:rFonts w:asciiTheme="majorHAnsi" w:eastAsiaTheme="majorEastAsia" w:hAnsiTheme="majorHAnsi" w:cstheme="majorBidi"/>
      <w:color w:val="4C96AD" w:themeColor="accent1" w:themeShade="BF"/>
      <w:sz w:val="26"/>
      <w:szCs w:val="26"/>
    </w:rPr>
  </w:style>
  <w:style w:type="character" w:customStyle="1" w:styleId="Ttulo3Car">
    <w:name w:val="Título 3 Car"/>
    <w:basedOn w:val="Fuentedeprrafopredeter"/>
    <w:link w:val="Ttulo3"/>
    <w:uiPriority w:val="9"/>
    <w:rsid w:val="00B65DA5"/>
    <w:rPr>
      <w:rFonts w:asciiTheme="majorHAnsi" w:eastAsiaTheme="majorEastAsia" w:hAnsiTheme="majorHAnsi" w:cstheme="majorBidi"/>
      <w:color w:val="336473" w:themeColor="accent1" w:themeShade="7F"/>
      <w:sz w:val="24"/>
      <w:szCs w:val="24"/>
    </w:rPr>
  </w:style>
  <w:style w:type="table" w:styleId="Tablaconcuadrcula">
    <w:name w:val="Table Grid"/>
    <w:basedOn w:val="Tablanormal"/>
    <w:uiPriority w:val="39"/>
    <w:rsid w:val="008C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semiHidden/>
    <w:unhideWhenUsed/>
    <w:rsid w:val="000267D9"/>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rPr>
  </w:style>
  <w:style w:type="character" w:customStyle="1" w:styleId="TextonotapieCar">
    <w:name w:val="Texto nota pie Car"/>
    <w:basedOn w:val="Fuentedeprrafopredeter"/>
    <w:link w:val="Textonotapie1"/>
    <w:uiPriority w:val="99"/>
    <w:semiHidden/>
    <w:rsid w:val="000267D9"/>
    <w:rPr>
      <w:sz w:val="20"/>
      <w:szCs w:val="20"/>
    </w:rPr>
  </w:style>
  <w:style w:type="character" w:styleId="Refdenotaalpie">
    <w:name w:val="footnote reference"/>
    <w:basedOn w:val="Fuentedeprrafopredeter"/>
    <w:uiPriority w:val="99"/>
    <w:semiHidden/>
    <w:unhideWhenUsed/>
    <w:rsid w:val="000267D9"/>
    <w:rPr>
      <w:vertAlign w:val="superscript"/>
    </w:rPr>
  </w:style>
  <w:style w:type="paragraph" w:styleId="Textonotapie">
    <w:name w:val="footnote text"/>
    <w:basedOn w:val="Normal"/>
    <w:link w:val="TextonotapieCar1"/>
    <w:uiPriority w:val="99"/>
    <w:semiHidden/>
    <w:unhideWhenUsed/>
    <w:rsid w:val="000267D9"/>
    <w:rPr>
      <w:sz w:val="20"/>
      <w:szCs w:val="20"/>
    </w:rPr>
  </w:style>
  <w:style w:type="character" w:customStyle="1" w:styleId="TextonotapieCar1">
    <w:name w:val="Texto nota pie Car1"/>
    <w:basedOn w:val="Fuentedeprrafopredeter"/>
    <w:link w:val="Textonotapie"/>
    <w:uiPriority w:val="99"/>
    <w:semiHidden/>
    <w:rsid w:val="000267D9"/>
  </w:style>
  <w:style w:type="paragraph" w:styleId="TtuloTDC">
    <w:name w:val="TOC Heading"/>
    <w:basedOn w:val="Ttulo1"/>
    <w:next w:val="Normal"/>
    <w:uiPriority w:val="39"/>
    <w:unhideWhenUsed/>
    <w:qFormat/>
    <w:rsid w:val="008439EC"/>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ES_tradnl"/>
    </w:rPr>
  </w:style>
  <w:style w:type="paragraph" w:styleId="TDC1">
    <w:name w:val="toc 1"/>
    <w:basedOn w:val="Normal"/>
    <w:next w:val="Normal"/>
    <w:autoRedefine/>
    <w:uiPriority w:val="39"/>
    <w:unhideWhenUsed/>
    <w:rsid w:val="00CA5F93"/>
    <w:pPr>
      <w:tabs>
        <w:tab w:val="left" w:pos="348"/>
        <w:tab w:val="right" w:leader="dot" w:pos="9490"/>
      </w:tabs>
      <w:spacing w:before="360" w:after="360"/>
    </w:pPr>
    <w:rPr>
      <w:rFonts w:ascii="Calibri" w:hAnsi="Calibri"/>
      <w:bCs/>
      <w:szCs w:val="22"/>
    </w:rPr>
  </w:style>
  <w:style w:type="paragraph" w:styleId="TDC2">
    <w:name w:val="toc 2"/>
    <w:basedOn w:val="Normal"/>
    <w:next w:val="Normal"/>
    <w:autoRedefine/>
    <w:uiPriority w:val="39"/>
    <w:unhideWhenUsed/>
    <w:rsid w:val="00E67401"/>
    <w:pPr>
      <w:tabs>
        <w:tab w:val="left" w:pos="388"/>
        <w:tab w:val="left" w:pos="785"/>
        <w:tab w:val="right" w:leader="dot" w:pos="9490"/>
      </w:tabs>
    </w:pPr>
    <w:rPr>
      <w:rFonts w:ascii="Calibri" w:eastAsia="Questrial" w:hAnsi="Calibri" w:cs="Calibri"/>
      <w:bCs/>
      <w:smallCaps/>
      <w:noProof/>
      <w:szCs w:val="22"/>
      <w:lang w:eastAsia="es-MX"/>
    </w:rPr>
  </w:style>
  <w:style w:type="paragraph" w:styleId="TDC3">
    <w:name w:val="toc 3"/>
    <w:basedOn w:val="Normal"/>
    <w:next w:val="Normal"/>
    <w:autoRedefine/>
    <w:uiPriority w:val="39"/>
    <w:unhideWhenUsed/>
    <w:rsid w:val="008439EC"/>
    <w:rPr>
      <w:rFonts w:asciiTheme="minorHAnsi" w:hAnsiTheme="minorHAnsi"/>
      <w:smallCaps/>
      <w:sz w:val="22"/>
      <w:szCs w:val="22"/>
    </w:rPr>
  </w:style>
  <w:style w:type="paragraph" w:styleId="TDC4">
    <w:name w:val="toc 4"/>
    <w:basedOn w:val="Normal"/>
    <w:next w:val="Normal"/>
    <w:autoRedefine/>
    <w:uiPriority w:val="39"/>
    <w:semiHidden/>
    <w:unhideWhenUsed/>
    <w:rsid w:val="008439EC"/>
    <w:rPr>
      <w:rFonts w:asciiTheme="minorHAnsi" w:hAnsiTheme="minorHAnsi"/>
      <w:sz w:val="22"/>
      <w:szCs w:val="22"/>
    </w:rPr>
  </w:style>
  <w:style w:type="paragraph" w:styleId="TDC5">
    <w:name w:val="toc 5"/>
    <w:basedOn w:val="Normal"/>
    <w:next w:val="Normal"/>
    <w:autoRedefine/>
    <w:uiPriority w:val="39"/>
    <w:semiHidden/>
    <w:unhideWhenUsed/>
    <w:rsid w:val="008439EC"/>
    <w:rPr>
      <w:rFonts w:asciiTheme="minorHAnsi" w:hAnsiTheme="minorHAnsi"/>
      <w:sz w:val="22"/>
      <w:szCs w:val="22"/>
    </w:rPr>
  </w:style>
  <w:style w:type="paragraph" w:styleId="TDC6">
    <w:name w:val="toc 6"/>
    <w:basedOn w:val="Normal"/>
    <w:next w:val="Normal"/>
    <w:autoRedefine/>
    <w:uiPriority w:val="39"/>
    <w:semiHidden/>
    <w:unhideWhenUsed/>
    <w:rsid w:val="008439EC"/>
    <w:rPr>
      <w:rFonts w:asciiTheme="minorHAnsi" w:hAnsiTheme="minorHAnsi"/>
      <w:sz w:val="22"/>
      <w:szCs w:val="22"/>
    </w:rPr>
  </w:style>
  <w:style w:type="paragraph" w:styleId="TDC7">
    <w:name w:val="toc 7"/>
    <w:basedOn w:val="Normal"/>
    <w:next w:val="Normal"/>
    <w:autoRedefine/>
    <w:uiPriority w:val="39"/>
    <w:semiHidden/>
    <w:unhideWhenUsed/>
    <w:rsid w:val="008439EC"/>
    <w:rPr>
      <w:rFonts w:asciiTheme="minorHAnsi" w:hAnsiTheme="minorHAnsi"/>
      <w:sz w:val="22"/>
      <w:szCs w:val="22"/>
    </w:rPr>
  </w:style>
  <w:style w:type="paragraph" w:styleId="TDC8">
    <w:name w:val="toc 8"/>
    <w:basedOn w:val="Normal"/>
    <w:next w:val="Normal"/>
    <w:autoRedefine/>
    <w:uiPriority w:val="39"/>
    <w:semiHidden/>
    <w:unhideWhenUsed/>
    <w:rsid w:val="008439EC"/>
    <w:rPr>
      <w:rFonts w:asciiTheme="minorHAnsi" w:hAnsiTheme="minorHAnsi"/>
      <w:sz w:val="22"/>
      <w:szCs w:val="22"/>
    </w:rPr>
  </w:style>
  <w:style w:type="paragraph" w:styleId="TDC9">
    <w:name w:val="toc 9"/>
    <w:basedOn w:val="Normal"/>
    <w:next w:val="Normal"/>
    <w:autoRedefine/>
    <w:uiPriority w:val="39"/>
    <w:semiHidden/>
    <w:unhideWhenUsed/>
    <w:rsid w:val="008439EC"/>
    <w:rPr>
      <w:rFonts w:asciiTheme="minorHAnsi" w:hAnsiTheme="minorHAnsi"/>
      <w:sz w:val="22"/>
      <w:szCs w:val="22"/>
    </w:rPr>
  </w:style>
  <w:style w:type="paragraph" w:styleId="Prrafodelista">
    <w:name w:val="List Paragraph"/>
    <w:basedOn w:val="Normal"/>
    <w:uiPriority w:val="34"/>
    <w:qFormat/>
    <w:rsid w:val="008439EC"/>
    <w:pPr>
      <w:ind w:left="720"/>
      <w:contextualSpacing/>
    </w:pPr>
  </w:style>
  <w:style w:type="paragraph" w:styleId="Textodeglobo">
    <w:name w:val="Balloon Text"/>
    <w:basedOn w:val="Normal"/>
    <w:link w:val="TextodegloboCar"/>
    <w:uiPriority w:val="99"/>
    <w:semiHidden/>
    <w:unhideWhenUsed/>
    <w:rsid w:val="003719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fece.mx/wp-content/uploads/2018/03/RepensarlaCompetenciaenlaEconomiaDigital_01022018.pdf" TargetMode="External"/><Relationship Id="rId3" Type="http://schemas.openxmlformats.org/officeDocument/2006/relationships/hyperlink" Target="https://www.canada.ca/en/competition-bureau/news/2019/07/competition-bureaus-2019-2020-annual-plan-places-focus-on-digital-economy.html" TargetMode="External"/><Relationship Id="rId7" Type="http://schemas.openxmlformats.org/officeDocument/2006/relationships/hyperlink" Target="http://www.ift.org.mx/transparencia/planeacion-estrategica/vision19-23" TargetMode="External"/><Relationship Id="rId2" Type="http://schemas.openxmlformats.org/officeDocument/2006/relationships/hyperlink" Target="https://www.gov.uk/government/publications/unlocking-digital-competition-report-of-the-digital-competition-expert-panel" TargetMode="External"/><Relationship Id="rId1" Type="http://schemas.openxmlformats.org/officeDocument/2006/relationships/hyperlink" Target="http://ec.europa.eu/competition/publications/reports/kd0419345enn.pdf" TargetMode="External"/><Relationship Id="rId6" Type="http://schemas.openxmlformats.org/officeDocument/2006/relationships/hyperlink" Target="https://www.competitionpolicyinternational.com/wp-content/uploads/2019/01/CHRONICLE-CPI-DE-Special-FINAL.pdf?utm_source=CPI+Subscribers&amp;utm_campaign=efd3577c41-EMAIL_CAMPAIGN_2019_01_17_03_27&amp;utm_medium=email&amp;utm_term=0_0ea61134a5-efd3577c41-236476965" TargetMode="External"/><Relationship Id="rId5" Type="http://schemas.openxmlformats.org/officeDocument/2006/relationships/hyperlink" Target="https://www.un.org/en/pdfs/DigitalCooperation-report-for%20web.pdf" TargetMode="External"/><Relationship Id="rId4" Type="http://schemas.openxmlformats.org/officeDocument/2006/relationships/hyperlink" Target="https://www.competitionbureau.gc.ca/eic/site/cb-bc.nsf/eng/04480.html" TargetMode="External"/><Relationship Id="rId9" Type="http://schemas.openxmlformats.org/officeDocument/2006/relationships/hyperlink" Target="http://cter.ift.org.mx/dashbo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DAE32-34B6-44D8-A7E0-00E5FDD8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3495</Words>
  <Characters>19226</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FUNCO</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Yaratzet Funes Lopez</dc:creator>
  <cp:lastModifiedBy>Arlene Ameneyro Tapia</cp:lastModifiedBy>
  <cp:revision>6</cp:revision>
  <cp:lastPrinted>2019-08-27T19:16:00Z</cp:lastPrinted>
  <dcterms:created xsi:type="dcterms:W3CDTF">2019-08-27T17:10:00Z</dcterms:created>
  <dcterms:modified xsi:type="dcterms:W3CDTF">2019-08-27T19:39:00Z</dcterms:modified>
</cp:coreProperties>
</file>