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F2" w:rsidRPr="005276BC" w:rsidRDefault="005276BC" w:rsidP="00B94F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76BC">
        <w:rPr>
          <w:rFonts w:eastAsiaTheme="majorEastAsia" w:cstheme="minorHAnsi"/>
          <w:b/>
          <w:bCs/>
          <w:color w:val="000000" w:themeColor="text1"/>
          <w:sz w:val="24"/>
          <w:szCs w:val="24"/>
        </w:rPr>
        <w:t>RECOMENDACIÓN QUE EMITE EL CONSEJO CONSULTIVO DEL INSTITUTO FEDERAL DE TELECOMUNICACIONES RESPECTO CIBERSEGURIDAD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.</w:t>
      </w:r>
    </w:p>
    <w:p w:rsidR="002478B5" w:rsidRDefault="002478B5" w:rsidP="00B94F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276BC" w:rsidRPr="005276BC" w:rsidRDefault="005276BC" w:rsidP="00B94F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C402A" w:rsidRPr="005276BC" w:rsidRDefault="00CF2937" w:rsidP="006C402A">
      <w:pPr>
        <w:spacing w:after="0"/>
        <w:jc w:val="both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Concepto de c</w:t>
      </w:r>
      <w:r w:rsidR="006C402A" w:rsidRPr="005276BC">
        <w:rPr>
          <w:rFonts w:cstheme="minorHAnsi"/>
          <w:b/>
          <w:sz w:val="24"/>
          <w:szCs w:val="24"/>
        </w:rPr>
        <w:t>iberseguridad.</w:t>
      </w:r>
    </w:p>
    <w:p w:rsidR="006C402A" w:rsidRPr="005276BC" w:rsidRDefault="006C402A" w:rsidP="006C402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C402A" w:rsidRPr="005276BC" w:rsidRDefault="006C402A" w:rsidP="006C402A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sz w:val="24"/>
          <w:szCs w:val="24"/>
        </w:rPr>
        <w:t xml:space="preserve">La Unión Internacional de Telecomunicaciones </w:t>
      </w:r>
      <w:r w:rsidR="00CF2937" w:rsidRPr="005276BC">
        <w:rPr>
          <w:rFonts w:cstheme="minorHAnsi"/>
          <w:sz w:val="24"/>
          <w:szCs w:val="24"/>
        </w:rPr>
        <w:t>(</w:t>
      </w:r>
      <w:r w:rsidRPr="005276BC">
        <w:rPr>
          <w:rFonts w:cstheme="minorHAnsi"/>
          <w:sz w:val="24"/>
          <w:szCs w:val="24"/>
        </w:rPr>
        <w:t>UIT</w:t>
      </w:r>
      <w:r w:rsidR="00CF2937" w:rsidRPr="005276BC">
        <w:rPr>
          <w:rFonts w:cstheme="minorHAnsi"/>
          <w:sz w:val="24"/>
          <w:szCs w:val="24"/>
        </w:rPr>
        <w:t>)</w:t>
      </w:r>
      <w:r w:rsidRPr="005276BC">
        <w:rPr>
          <w:rFonts w:cstheme="minorHAnsi"/>
          <w:sz w:val="24"/>
          <w:szCs w:val="24"/>
        </w:rPr>
        <w:t xml:space="preserve">, en su </w:t>
      </w:r>
      <w:r w:rsidRPr="005276BC">
        <w:rPr>
          <w:rFonts w:cstheme="minorHAnsi"/>
          <w:color w:val="000000" w:themeColor="text1"/>
          <w:sz w:val="24"/>
          <w:szCs w:val="24"/>
        </w:rPr>
        <w:t>Recomendación UIT–T X.1205, define la ciberseguridad como:</w:t>
      </w:r>
    </w:p>
    <w:p w:rsidR="006C402A" w:rsidRPr="005276BC" w:rsidRDefault="006C402A" w:rsidP="006C402A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noProof/>
          <w:sz w:val="24"/>
          <w:szCs w:val="24"/>
        </w:rPr>
        <w:drawing>
          <wp:inline distT="0" distB="0" distL="0" distR="0" wp14:anchorId="7D24B712" wp14:editId="049039A9">
            <wp:extent cx="5508000" cy="1620704"/>
            <wp:effectExtent l="19050" t="19050" r="16510" b="177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96" t="37907" r="8430" b="25121"/>
                    <a:stretch/>
                  </pic:blipFill>
                  <pic:spPr bwMode="auto">
                    <a:xfrm>
                      <a:off x="0" y="0"/>
                      <a:ext cx="5508000" cy="16207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2A" w:rsidRPr="005912AE" w:rsidRDefault="006C402A" w:rsidP="006C402A">
      <w:pPr>
        <w:spacing w:after="0"/>
        <w:jc w:val="center"/>
        <w:rPr>
          <w:rStyle w:val="Hipervnculo"/>
          <w:rFonts w:cstheme="minorHAnsi"/>
          <w:sz w:val="18"/>
          <w:szCs w:val="18"/>
        </w:rPr>
      </w:pPr>
      <w:r w:rsidRPr="005912AE">
        <w:rPr>
          <w:rFonts w:cstheme="minorHAnsi"/>
          <w:color w:val="000000" w:themeColor="text1"/>
          <w:sz w:val="18"/>
          <w:szCs w:val="18"/>
        </w:rPr>
        <w:t xml:space="preserve">Fuente: </w:t>
      </w:r>
      <w:hyperlink r:id="rId9" w:history="1">
        <w:r w:rsidRPr="005912AE">
          <w:rPr>
            <w:rStyle w:val="Hipervnculo"/>
            <w:rFonts w:cstheme="minorHAnsi"/>
            <w:sz w:val="18"/>
            <w:szCs w:val="18"/>
          </w:rPr>
          <w:t>http://www.itu.int/net/itunews/issues/2010/09/20-es.aspx</w:t>
        </w:r>
      </w:hyperlink>
    </w:p>
    <w:p w:rsidR="00074555" w:rsidRPr="005276BC" w:rsidRDefault="00074555" w:rsidP="006C402A">
      <w:pPr>
        <w:spacing w:after="0"/>
        <w:jc w:val="center"/>
        <w:rPr>
          <w:rStyle w:val="Hipervnculo"/>
          <w:rFonts w:cstheme="minorHAnsi"/>
          <w:sz w:val="24"/>
          <w:szCs w:val="24"/>
        </w:rPr>
      </w:pPr>
    </w:p>
    <w:p w:rsidR="006C402A" w:rsidRPr="005276BC" w:rsidRDefault="006C402A" w:rsidP="006C402A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>En el glosario del Programa Sectorial de Marina 2013-2018 (Diario Oficial de la Federación, 16  de diciembre de 2013), se define a la ciberseguridad como: Conjunto de herramientas, políticas, conceptos de seguridad, salvaguardas de seguridad, directrices, métodos de gestión de riesgos, acciones, formación, prácticas idóneas, seguros y tecnologías que pueden utilizarse para proteger los activos de la organización y los usuarios en el ciberentorno (Se asume ciberentorno como sinónimo de ciberespacio).</w:t>
      </w:r>
    </w:p>
    <w:p w:rsidR="006C402A" w:rsidRPr="005276BC" w:rsidRDefault="006C402A" w:rsidP="006C402A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6C402A" w:rsidRPr="005276BC" w:rsidRDefault="006C402A" w:rsidP="006C402A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>En forma práctica y sencilla, puede considerarse</w:t>
      </w:r>
      <w:r w:rsidR="00CF2937" w:rsidRPr="005276BC">
        <w:rPr>
          <w:rFonts w:cstheme="minorHAnsi"/>
          <w:color w:val="000000" w:themeColor="text1"/>
          <w:sz w:val="24"/>
          <w:szCs w:val="24"/>
        </w:rPr>
        <w:t xml:space="preserve"> que ciberseguridad es la seguridad en el c</w:t>
      </w:r>
      <w:r w:rsidRPr="005276BC">
        <w:rPr>
          <w:rFonts w:cstheme="minorHAnsi"/>
          <w:color w:val="000000" w:themeColor="text1"/>
          <w:sz w:val="24"/>
          <w:szCs w:val="24"/>
        </w:rPr>
        <w:t>iberespacio.</w:t>
      </w:r>
    </w:p>
    <w:p w:rsidR="004560F7" w:rsidRPr="005276BC" w:rsidRDefault="004560F7" w:rsidP="00B94FF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B66E0" w:rsidRPr="005276BC" w:rsidRDefault="004B66E0" w:rsidP="00B94FF2">
      <w:pPr>
        <w:spacing w:after="0"/>
        <w:jc w:val="both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Los riesgos en el ciberespacio.</w:t>
      </w:r>
    </w:p>
    <w:p w:rsidR="00B94FF2" w:rsidRPr="005276BC" w:rsidRDefault="00B94FF2" w:rsidP="00B94FF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C402A" w:rsidRPr="005276BC" w:rsidRDefault="004B66E0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 xml:space="preserve">El ciberespacio proporciona amplios beneficios en todos los ámbitos de la vida, </w:t>
      </w:r>
      <w:r w:rsidR="006C402A" w:rsidRPr="005276BC">
        <w:rPr>
          <w:rFonts w:cstheme="minorHAnsi"/>
          <w:color w:val="000000" w:themeColor="text1"/>
          <w:sz w:val="24"/>
          <w:szCs w:val="24"/>
        </w:rPr>
        <w:t>no obstante, éste como cualquier otro espacio está sujeto a amenazas y vulnerabilidades.</w:t>
      </w:r>
    </w:p>
    <w:p w:rsidR="006C402A" w:rsidRPr="005276BC" w:rsidRDefault="006C402A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B94FF2" w:rsidRPr="005276BC" w:rsidRDefault="006C402A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 xml:space="preserve">A fin de lograr una mejor convivencia en el ciberespacio, </w:t>
      </w:r>
      <w:r w:rsidR="00886C3D" w:rsidRPr="005276BC">
        <w:rPr>
          <w:rFonts w:cstheme="minorHAnsi"/>
          <w:color w:val="000000" w:themeColor="text1"/>
          <w:sz w:val="24"/>
          <w:szCs w:val="24"/>
        </w:rPr>
        <w:t xml:space="preserve">es necesario conocer </w:t>
      </w:r>
      <w:r w:rsidRPr="005276BC">
        <w:rPr>
          <w:rFonts w:cstheme="minorHAnsi"/>
          <w:color w:val="000000" w:themeColor="text1"/>
          <w:sz w:val="24"/>
          <w:szCs w:val="24"/>
        </w:rPr>
        <w:t>l</w:t>
      </w:r>
      <w:r w:rsidR="004B66E0" w:rsidRPr="005276BC">
        <w:rPr>
          <w:rFonts w:cstheme="minorHAnsi"/>
          <w:color w:val="000000" w:themeColor="text1"/>
          <w:sz w:val="24"/>
          <w:szCs w:val="24"/>
        </w:rPr>
        <w:t>a triada amenaza-vulnerabilidad-riesgo</w:t>
      </w:r>
      <w:r w:rsidRPr="005276BC">
        <w:rPr>
          <w:rFonts w:cstheme="minorHAnsi"/>
          <w:color w:val="000000" w:themeColor="text1"/>
          <w:sz w:val="24"/>
          <w:szCs w:val="24"/>
        </w:rPr>
        <w:t>: A</w:t>
      </w:r>
      <w:r w:rsidR="004B66E0" w:rsidRPr="005276BC">
        <w:rPr>
          <w:rFonts w:cstheme="minorHAnsi"/>
          <w:color w:val="000000" w:themeColor="text1"/>
          <w:sz w:val="24"/>
          <w:szCs w:val="24"/>
        </w:rPr>
        <w:t xml:space="preserve">menaza </w:t>
      </w:r>
      <w:r w:rsidRPr="005276BC">
        <w:rPr>
          <w:rFonts w:cstheme="minorHAnsi"/>
          <w:color w:val="000000" w:themeColor="text1"/>
          <w:sz w:val="24"/>
          <w:szCs w:val="24"/>
        </w:rPr>
        <w:t>es c</w:t>
      </w:r>
      <w:r w:rsidR="004B66E0" w:rsidRPr="005276BC">
        <w:rPr>
          <w:rFonts w:cstheme="minorHAnsi"/>
          <w:color w:val="000000" w:themeColor="text1"/>
          <w:sz w:val="24"/>
          <w:szCs w:val="24"/>
        </w:rPr>
        <w:t>ualquier elemento o acción que pueda causar algún efecto negativo, pueden ser humanas, naturales, operaciona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les, tecnológicas o </w:t>
      </w:r>
      <w:r w:rsidR="005276BC" w:rsidRPr="005276BC">
        <w:rPr>
          <w:rFonts w:cstheme="minorHAnsi"/>
          <w:color w:val="000000" w:themeColor="text1"/>
          <w:sz w:val="24"/>
          <w:szCs w:val="24"/>
        </w:rPr>
        <w:t>sociales; vulnerabilidad</w:t>
      </w:r>
      <w:r w:rsidR="004B66E0" w:rsidRPr="005276BC">
        <w:rPr>
          <w:rFonts w:cstheme="minorHAnsi"/>
          <w:color w:val="000000" w:themeColor="text1"/>
          <w:sz w:val="24"/>
          <w:szCs w:val="24"/>
        </w:rPr>
        <w:t xml:space="preserve"> es la debilidad, falla o ausencia de controles de seguridad, que </w:t>
      </w:r>
      <w:r w:rsidR="005276BC" w:rsidRPr="005276BC">
        <w:rPr>
          <w:rFonts w:cstheme="minorHAnsi"/>
          <w:color w:val="000000" w:themeColor="text1"/>
          <w:sz w:val="24"/>
          <w:szCs w:val="24"/>
        </w:rPr>
        <w:t>puede ser</w:t>
      </w:r>
      <w:r w:rsidR="004B66E0" w:rsidRPr="005276BC">
        <w:rPr>
          <w:rFonts w:cstheme="minorHAnsi"/>
          <w:color w:val="000000" w:themeColor="text1"/>
          <w:sz w:val="24"/>
          <w:szCs w:val="24"/>
        </w:rPr>
        <w:t xml:space="preserve"> </w:t>
      </w:r>
      <w:r w:rsidR="004B66E0" w:rsidRPr="005276BC">
        <w:rPr>
          <w:rFonts w:cstheme="minorHAnsi"/>
          <w:color w:val="000000" w:themeColor="text1"/>
          <w:sz w:val="24"/>
          <w:szCs w:val="24"/>
        </w:rPr>
        <w:lastRenderedPageBreak/>
        <w:t>explotad</w:t>
      </w:r>
      <w:r w:rsidRPr="005276BC">
        <w:rPr>
          <w:rFonts w:cstheme="minorHAnsi"/>
          <w:color w:val="000000" w:themeColor="text1"/>
          <w:sz w:val="24"/>
          <w:szCs w:val="24"/>
        </w:rPr>
        <w:t>a o aprovechada por una amenaza. A</w:t>
      </w:r>
      <w:r w:rsidR="00886C3D" w:rsidRPr="005276BC">
        <w:rPr>
          <w:rFonts w:cstheme="minorHAnsi"/>
          <w:color w:val="000000" w:themeColor="text1"/>
          <w:sz w:val="24"/>
          <w:szCs w:val="24"/>
        </w:rPr>
        <w:t xml:space="preserve">l identificar, </w:t>
      </w:r>
      <w:r w:rsidR="004B66E0" w:rsidRPr="005276BC">
        <w:rPr>
          <w:rFonts w:cstheme="minorHAnsi"/>
          <w:color w:val="000000" w:themeColor="text1"/>
          <w:sz w:val="24"/>
          <w:szCs w:val="24"/>
        </w:rPr>
        <w:t xml:space="preserve">analizar y evaluar ambos conceptos, se 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determinan </w:t>
      </w:r>
      <w:r w:rsidR="004B66E0" w:rsidRPr="005276BC">
        <w:rPr>
          <w:rFonts w:cstheme="minorHAnsi"/>
          <w:color w:val="000000" w:themeColor="text1"/>
          <w:sz w:val="24"/>
          <w:szCs w:val="24"/>
        </w:rPr>
        <w:t xml:space="preserve">los riegos </w:t>
      </w:r>
      <w:r w:rsidR="00886C3D" w:rsidRPr="005276BC">
        <w:rPr>
          <w:rFonts w:cstheme="minorHAnsi"/>
          <w:color w:val="000000" w:themeColor="text1"/>
          <w:sz w:val="24"/>
          <w:szCs w:val="24"/>
        </w:rPr>
        <w:t xml:space="preserve">y </w:t>
      </w:r>
      <w:r w:rsidR="004B66E0" w:rsidRPr="005276BC">
        <w:rPr>
          <w:rFonts w:cstheme="minorHAnsi"/>
          <w:color w:val="000000" w:themeColor="text1"/>
          <w:sz w:val="24"/>
          <w:szCs w:val="24"/>
        </w:rPr>
        <w:t>sus niveles</w:t>
      </w:r>
      <w:r w:rsidR="00886C3D" w:rsidRPr="005276BC">
        <w:rPr>
          <w:rFonts w:cstheme="minorHAnsi"/>
          <w:color w:val="000000" w:themeColor="text1"/>
          <w:sz w:val="24"/>
          <w:szCs w:val="24"/>
        </w:rPr>
        <w:t>, así como posibles grados de afectación. S</w:t>
      </w:r>
      <w:r w:rsidR="004B66E0" w:rsidRPr="005276BC">
        <w:rPr>
          <w:rFonts w:cstheme="minorHAnsi"/>
          <w:color w:val="000000" w:themeColor="text1"/>
          <w:sz w:val="24"/>
          <w:szCs w:val="24"/>
        </w:rPr>
        <w:t xml:space="preserve">i el riego no fue debidamente atendido, el resultado </w:t>
      </w:r>
      <w:r w:rsidR="00886C3D" w:rsidRPr="005276BC">
        <w:rPr>
          <w:rFonts w:cstheme="minorHAnsi"/>
          <w:color w:val="000000" w:themeColor="text1"/>
          <w:sz w:val="24"/>
          <w:szCs w:val="24"/>
        </w:rPr>
        <w:t xml:space="preserve">podrían </w:t>
      </w:r>
      <w:r w:rsidR="004B66E0" w:rsidRPr="005276BC">
        <w:rPr>
          <w:rFonts w:cstheme="minorHAnsi"/>
          <w:color w:val="000000" w:themeColor="text1"/>
          <w:sz w:val="24"/>
          <w:szCs w:val="24"/>
        </w:rPr>
        <w:t xml:space="preserve">ser afectaciones de diversas magnitudes, que se pueden traducir en pérdidas económicas, robo de información, afectación de las operaciones, daño de la imagen pública, </w:t>
      </w:r>
      <w:r w:rsidR="00886C3D" w:rsidRPr="005276BC">
        <w:rPr>
          <w:rFonts w:cstheme="minorHAnsi"/>
          <w:color w:val="000000" w:themeColor="text1"/>
          <w:sz w:val="24"/>
          <w:szCs w:val="24"/>
        </w:rPr>
        <w:t>entre otros.</w:t>
      </w:r>
    </w:p>
    <w:p w:rsidR="00B94FF2" w:rsidRPr="005276BC" w:rsidRDefault="00B94FF2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C63901" w:rsidRPr="005276BC" w:rsidRDefault="0021079A" w:rsidP="00C6390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 xml:space="preserve">Los ataques en el ciberespacio van más allá de una afectación de carácter técnico o tecnológico a una infraestructura o dispositivo conectado, pueden transgredir incluso </w:t>
      </w:r>
      <w:r w:rsidR="00CF2937" w:rsidRPr="005276BC">
        <w:rPr>
          <w:rFonts w:cstheme="minorHAnsi"/>
          <w:color w:val="000000" w:themeColor="text1"/>
          <w:sz w:val="24"/>
          <w:szCs w:val="24"/>
        </w:rPr>
        <w:t>psicoló</w:t>
      </w:r>
      <w:r w:rsidRPr="005276BC">
        <w:rPr>
          <w:rFonts w:cstheme="minorHAnsi"/>
          <w:color w:val="000000" w:themeColor="text1"/>
          <w:sz w:val="24"/>
          <w:szCs w:val="24"/>
        </w:rPr>
        <w:t>gicamente a las personas que utilizan el ciberespacio para comunicarse, entretenerse o trabajar, ocasionado afectaciones como el ciberacoso, la cibermanipulación que son cada vez más evidentes en las redes sociales.</w:t>
      </w:r>
    </w:p>
    <w:p w:rsidR="0021079A" w:rsidRPr="005276BC" w:rsidRDefault="0021079A" w:rsidP="00C6390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4B66E0" w:rsidRPr="005276BC" w:rsidRDefault="004B66E0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 xml:space="preserve">A las actividades malintencionadas, ilícitas o delincuenciales a través del ciberespacio, se les ha acuñado con nuevos conceptos, muchos de ellos sin definición formal pero que se han adoptado en forma convencional; por ejemplo, terrorismo es el concepto en el mundo físico, ciberterrorismo es el concepto en el </w:t>
      </w:r>
      <w:r w:rsidR="00074555" w:rsidRPr="005276BC">
        <w:rPr>
          <w:rFonts w:cstheme="minorHAnsi"/>
          <w:color w:val="000000" w:themeColor="text1"/>
          <w:sz w:val="24"/>
          <w:szCs w:val="24"/>
        </w:rPr>
        <w:t>c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iberespacio. </w:t>
      </w:r>
    </w:p>
    <w:p w:rsidR="00074555" w:rsidRPr="005276BC" w:rsidRDefault="00074555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074555" w:rsidRPr="005276BC" w:rsidRDefault="00074555" w:rsidP="004F745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 xml:space="preserve">Recientemente, el </w:t>
      </w:r>
      <w:r w:rsidRPr="005276BC">
        <w:rPr>
          <w:rFonts w:cstheme="minorHAnsi"/>
          <w:b/>
          <w:i/>
          <w:color w:val="000000" w:themeColor="text1"/>
          <w:sz w:val="24"/>
          <w:szCs w:val="24"/>
        </w:rPr>
        <w:t>Foro Económico Mundial publicó su Informe de Riesgos Globales 2018</w:t>
      </w:r>
      <w:r w:rsidRPr="005276BC">
        <w:rPr>
          <w:rFonts w:cstheme="minorHAnsi"/>
          <w:color w:val="000000" w:themeColor="text1"/>
          <w:sz w:val="24"/>
          <w:szCs w:val="24"/>
        </w:rPr>
        <w:t>,</w:t>
      </w:r>
      <w:r w:rsidR="004F7451" w:rsidRPr="005276BC">
        <w:rPr>
          <w:rFonts w:cstheme="minorHAnsi"/>
          <w:color w:val="000000" w:themeColor="text1"/>
          <w:sz w:val="24"/>
          <w:szCs w:val="24"/>
        </w:rPr>
        <w:t xml:space="preserve"> </w:t>
      </w:r>
      <w:r w:rsidR="005912AE" w:rsidRPr="005276BC">
        <w:rPr>
          <w:rFonts w:cstheme="minorHAnsi"/>
          <w:color w:val="000000" w:themeColor="text1"/>
          <w:sz w:val="24"/>
          <w:szCs w:val="24"/>
        </w:rPr>
        <w:t>que aborda</w:t>
      </w:r>
      <w:r w:rsidR="004F7451" w:rsidRPr="005276BC">
        <w:rPr>
          <w:rFonts w:cstheme="minorHAnsi"/>
          <w:color w:val="000000" w:themeColor="text1"/>
          <w:sz w:val="24"/>
          <w:szCs w:val="24"/>
        </w:rPr>
        <w:t xml:space="preserve"> algunos de los retos más fuertes que enfrentamos, como la pérdida de biodiversidad, las amenazas para la ciberseguridad, el aumento de las tensiones geopolíticas y el riesgo de que estalle otra crisis financiera</w:t>
      </w:r>
      <w:r w:rsidR="007F07D4" w:rsidRPr="005276BC">
        <w:rPr>
          <w:rFonts w:cstheme="minorHAnsi"/>
          <w:color w:val="000000" w:themeColor="text1"/>
          <w:sz w:val="24"/>
          <w:szCs w:val="24"/>
        </w:rPr>
        <w:t xml:space="preserve">; en materia de ciberseguridad indica 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que los ciberataques ocupan el lugar 3 en probabilidad </w:t>
      </w:r>
      <w:r w:rsidR="007F07D4" w:rsidRPr="005276BC">
        <w:rPr>
          <w:rFonts w:cstheme="minorHAnsi"/>
          <w:color w:val="000000" w:themeColor="text1"/>
          <w:sz w:val="24"/>
          <w:szCs w:val="24"/>
        </w:rPr>
        <w:t xml:space="preserve">de ocurrencia 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y el lugar 6 por </w:t>
      </w:r>
      <w:r w:rsidR="007F07D4" w:rsidRPr="005276BC">
        <w:rPr>
          <w:rFonts w:cstheme="minorHAnsi"/>
          <w:color w:val="000000" w:themeColor="text1"/>
          <w:sz w:val="24"/>
          <w:szCs w:val="24"/>
        </w:rPr>
        <w:t xml:space="preserve">su </w:t>
      </w:r>
      <w:r w:rsidRPr="005276BC">
        <w:rPr>
          <w:rFonts w:cstheme="minorHAnsi"/>
          <w:color w:val="000000" w:themeColor="text1"/>
          <w:sz w:val="24"/>
          <w:szCs w:val="24"/>
        </w:rPr>
        <w:t>impacto</w:t>
      </w:r>
      <w:r w:rsidR="007F07D4" w:rsidRPr="005276BC">
        <w:rPr>
          <w:rFonts w:cstheme="minorHAnsi"/>
          <w:color w:val="000000" w:themeColor="text1"/>
          <w:sz w:val="24"/>
          <w:szCs w:val="24"/>
        </w:rPr>
        <w:t xml:space="preserve"> negativo</w:t>
      </w:r>
      <w:r w:rsidRPr="005276BC">
        <w:rPr>
          <w:rFonts w:cstheme="minorHAnsi"/>
          <w:color w:val="000000" w:themeColor="text1"/>
          <w:sz w:val="24"/>
          <w:szCs w:val="24"/>
        </w:rPr>
        <w:t>.</w:t>
      </w:r>
    </w:p>
    <w:p w:rsidR="004560F7" w:rsidRPr="005276BC" w:rsidRDefault="004560F7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DF7DEE" w:rsidRPr="005276BC" w:rsidRDefault="004B66E0" w:rsidP="00290F4B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276BC">
        <w:rPr>
          <w:rFonts w:cstheme="minorHAnsi"/>
          <w:b/>
          <w:color w:val="000000" w:themeColor="text1"/>
          <w:sz w:val="24"/>
          <w:szCs w:val="24"/>
        </w:rPr>
        <w:t>Estudios s</w:t>
      </w:r>
      <w:r w:rsidR="00CF2937" w:rsidRPr="005276BC">
        <w:rPr>
          <w:rFonts w:cstheme="minorHAnsi"/>
          <w:b/>
          <w:color w:val="000000" w:themeColor="text1"/>
          <w:sz w:val="24"/>
          <w:szCs w:val="24"/>
        </w:rPr>
        <w:t xml:space="preserve">obre </w:t>
      </w:r>
      <w:r w:rsidR="001276EF" w:rsidRPr="005276BC">
        <w:rPr>
          <w:rFonts w:cstheme="minorHAnsi"/>
          <w:b/>
          <w:color w:val="000000" w:themeColor="text1"/>
          <w:sz w:val="24"/>
          <w:szCs w:val="24"/>
        </w:rPr>
        <w:t>c</w:t>
      </w:r>
      <w:r w:rsidRPr="005276BC">
        <w:rPr>
          <w:rFonts w:cstheme="minorHAnsi"/>
          <w:b/>
          <w:color w:val="000000" w:themeColor="text1"/>
          <w:sz w:val="24"/>
          <w:szCs w:val="24"/>
        </w:rPr>
        <w:t>iberseguridad</w:t>
      </w:r>
      <w:r w:rsidR="00DF7DEE" w:rsidRPr="005276B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290F4B" w:rsidRPr="005276BC" w:rsidRDefault="00290F4B" w:rsidP="00290F4B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CF2937" w:rsidRPr="005276BC" w:rsidRDefault="00CF2937" w:rsidP="00290F4B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 xml:space="preserve">A fin de conocer el estado de la ciberseguridad en México, se hace referencia a estudios recientes elaborados por Organismos Internacionales: </w:t>
      </w:r>
    </w:p>
    <w:p w:rsidR="00290F4B" w:rsidRPr="005276BC" w:rsidRDefault="00290F4B" w:rsidP="00290F4B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AC1657" w:rsidRPr="005276BC" w:rsidRDefault="00AC1657" w:rsidP="00D16856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 xml:space="preserve">El </w:t>
      </w:r>
      <w:r w:rsidRPr="005276BC">
        <w:rPr>
          <w:rFonts w:cstheme="minorHAnsi"/>
          <w:b/>
          <w:i/>
          <w:color w:val="000000" w:themeColor="text1"/>
          <w:sz w:val="24"/>
          <w:szCs w:val="24"/>
        </w:rPr>
        <w:t>Informe de Ciberseguridad 2016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elaborado por la  Organ</w:t>
      </w:r>
      <w:r w:rsidR="001276EF" w:rsidRPr="005276BC">
        <w:rPr>
          <w:rFonts w:cstheme="minorHAnsi"/>
          <w:color w:val="000000" w:themeColor="text1"/>
          <w:sz w:val="24"/>
          <w:szCs w:val="24"/>
        </w:rPr>
        <w:t>ización de Estados Americanos  (</w:t>
      </w:r>
      <w:r w:rsidRPr="005276BC">
        <w:rPr>
          <w:rFonts w:cstheme="minorHAnsi"/>
          <w:color w:val="000000" w:themeColor="text1"/>
          <w:sz w:val="24"/>
          <w:szCs w:val="24"/>
        </w:rPr>
        <w:t>OEA</w:t>
      </w:r>
      <w:r w:rsidR="001276EF" w:rsidRPr="005276BC">
        <w:rPr>
          <w:rFonts w:cstheme="minorHAnsi"/>
          <w:color w:val="000000" w:themeColor="text1"/>
          <w:sz w:val="24"/>
          <w:szCs w:val="24"/>
        </w:rPr>
        <w:t>)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y el Banc</w:t>
      </w:r>
      <w:r w:rsidR="001276EF" w:rsidRPr="005276BC">
        <w:rPr>
          <w:rFonts w:cstheme="minorHAnsi"/>
          <w:color w:val="000000" w:themeColor="text1"/>
          <w:sz w:val="24"/>
          <w:szCs w:val="24"/>
        </w:rPr>
        <w:t>o Interamericano de Desarrollo (</w:t>
      </w:r>
      <w:r w:rsidRPr="005276BC">
        <w:rPr>
          <w:rFonts w:cstheme="minorHAnsi"/>
          <w:color w:val="000000" w:themeColor="text1"/>
          <w:sz w:val="24"/>
          <w:szCs w:val="24"/>
        </w:rPr>
        <w:t>BID</w:t>
      </w:r>
      <w:r w:rsidR="001276EF" w:rsidRPr="005276BC">
        <w:rPr>
          <w:rFonts w:cstheme="minorHAnsi"/>
          <w:color w:val="000000" w:themeColor="text1"/>
          <w:sz w:val="24"/>
          <w:szCs w:val="24"/>
        </w:rPr>
        <w:t>)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, se tienen </w:t>
      </w:r>
      <w:r w:rsidR="00D16856" w:rsidRPr="005276BC">
        <w:rPr>
          <w:rFonts w:cstheme="minorHAnsi"/>
          <w:color w:val="000000" w:themeColor="text1"/>
          <w:sz w:val="24"/>
          <w:szCs w:val="24"/>
        </w:rPr>
        <w:t xml:space="preserve">49 </w:t>
      </w:r>
      <w:r w:rsidRPr="005276BC">
        <w:rPr>
          <w:rFonts w:cstheme="minorHAnsi"/>
          <w:color w:val="000000" w:themeColor="text1"/>
          <w:sz w:val="24"/>
          <w:szCs w:val="24"/>
        </w:rPr>
        <w:t>indicadores</w:t>
      </w:r>
      <w:r w:rsidR="00D16856" w:rsidRPr="005276BC">
        <w:rPr>
          <w:rFonts w:cstheme="minorHAnsi"/>
          <w:color w:val="000000" w:themeColor="text1"/>
          <w:sz w:val="24"/>
          <w:szCs w:val="24"/>
        </w:rPr>
        <w:t xml:space="preserve"> en 5 grupos</w:t>
      </w:r>
      <w:r w:rsidRPr="005276BC">
        <w:rPr>
          <w:rFonts w:cstheme="minorHAnsi"/>
          <w:color w:val="000000" w:themeColor="text1"/>
          <w:sz w:val="24"/>
          <w:szCs w:val="24"/>
        </w:rPr>
        <w:t>: 1) Política y estrategia, 2) Cultura y sociedad, 3) Educación, 4) Marcos Legale</w:t>
      </w:r>
      <w:r w:rsidR="00D16856" w:rsidRPr="005276BC">
        <w:rPr>
          <w:rFonts w:cstheme="minorHAnsi"/>
          <w:color w:val="000000" w:themeColor="text1"/>
          <w:sz w:val="24"/>
          <w:szCs w:val="24"/>
        </w:rPr>
        <w:t xml:space="preserve">s y 5) Tecnología; señalando 5 </w:t>
      </w:r>
      <w:r w:rsidRPr="005276BC">
        <w:rPr>
          <w:rFonts w:cstheme="minorHAnsi"/>
          <w:color w:val="000000" w:themeColor="text1"/>
          <w:sz w:val="24"/>
          <w:szCs w:val="24"/>
        </w:rPr>
        <w:t>grado</w:t>
      </w:r>
      <w:r w:rsidR="00D16856" w:rsidRPr="005276BC">
        <w:rPr>
          <w:rFonts w:cstheme="minorHAnsi"/>
          <w:color w:val="000000" w:themeColor="text1"/>
          <w:sz w:val="24"/>
          <w:szCs w:val="24"/>
        </w:rPr>
        <w:t>s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de madurez </w:t>
      </w:r>
      <w:r w:rsidR="00D16856" w:rsidRPr="005276BC">
        <w:rPr>
          <w:rFonts w:cstheme="minorHAnsi"/>
          <w:color w:val="000000" w:themeColor="text1"/>
          <w:sz w:val="24"/>
          <w:szCs w:val="24"/>
        </w:rPr>
        <w:t xml:space="preserve">(inicial, formativo, establecido, estratégico y dinámico) con los cuales el más bajo implica un grado de capacidad con la disposición a adoptar la seguridad, </w:t>
      </w:r>
      <w:r w:rsidR="000272E8" w:rsidRPr="005276BC">
        <w:rPr>
          <w:rFonts w:cstheme="minorHAnsi"/>
          <w:color w:val="000000" w:themeColor="text1"/>
          <w:sz w:val="24"/>
          <w:szCs w:val="24"/>
        </w:rPr>
        <w:t xml:space="preserve">y el nivel más alto </w:t>
      </w:r>
      <w:r w:rsidR="00D16856" w:rsidRPr="005276BC">
        <w:rPr>
          <w:rFonts w:cstheme="minorHAnsi"/>
          <w:color w:val="000000" w:themeColor="text1"/>
          <w:sz w:val="24"/>
          <w:szCs w:val="24"/>
        </w:rPr>
        <w:t>con capacidad de adaptarse dinámicamente</w:t>
      </w:r>
      <w:r w:rsidRPr="005276BC">
        <w:rPr>
          <w:rFonts w:cstheme="minorHAnsi"/>
          <w:color w:val="000000" w:themeColor="text1"/>
          <w:sz w:val="24"/>
          <w:szCs w:val="24"/>
        </w:rPr>
        <w:t>. Por lo que respecta a México</w:t>
      </w:r>
      <w:r w:rsidR="001276EF" w:rsidRPr="005276BC">
        <w:rPr>
          <w:rFonts w:cstheme="minorHAnsi"/>
          <w:color w:val="000000" w:themeColor="text1"/>
          <w:sz w:val="24"/>
          <w:szCs w:val="24"/>
        </w:rPr>
        <w:t xml:space="preserve">, </w:t>
      </w:r>
      <w:r w:rsidR="000272E8" w:rsidRPr="005276BC">
        <w:rPr>
          <w:rFonts w:cstheme="minorHAnsi"/>
          <w:color w:val="000000" w:themeColor="text1"/>
          <w:sz w:val="24"/>
          <w:szCs w:val="24"/>
        </w:rPr>
        <w:t>3 indicadores están en madurez</w:t>
      </w:r>
      <w:r w:rsidR="00063156" w:rsidRPr="005276BC">
        <w:rPr>
          <w:rFonts w:cstheme="minorHAnsi"/>
          <w:color w:val="000000" w:themeColor="text1"/>
          <w:sz w:val="24"/>
          <w:szCs w:val="24"/>
        </w:rPr>
        <w:t xml:space="preserve"> inicial, 29 en </w:t>
      </w:r>
      <w:r w:rsidR="000272E8" w:rsidRPr="005276BC">
        <w:rPr>
          <w:rFonts w:cstheme="minorHAnsi"/>
          <w:color w:val="000000" w:themeColor="text1"/>
          <w:sz w:val="24"/>
          <w:szCs w:val="24"/>
        </w:rPr>
        <w:t>formativo, 14 en establecido y 3 en estratégico.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94FF2" w:rsidRPr="005276BC" w:rsidRDefault="00B94FF2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AC1657" w:rsidRPr="005276BC" w:rsidRDefault="00AC1657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lastRenderedPageBreak/>
        <w:t xml:space="preserve">El </w:t>
      </w:r>
      <w:r w:rsidRPr="005276BC">
        <w:rPr>
          <w:rFonts w:cstheme="minorHAnsi"/>
          <w:b/>
          <w:i/>
          <w:color w:val="000000" w:themeColor="text1"/>
          <w:sz w:val="24"/>
          <w:szCs w:val="24"/>
        </w:rPr>
        <w:t>Índice Global de Ciberseguridad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, elaborado por la </w:t>
      </w:r>
      <w:r w:rsidR="005912AE" w:rsidRPr="005276BC">
        <w:rPr>
          <w:rFonts w:cstheme="minorHAnsi"/>
          <w:color w:val="000000" w:themeColor="text1"/>
          <w:sz w:val="24"/>
          <w:szCs w:val="24"/>
        </w:rPr>
        <w:t>UIT, tiene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cinco indicadores críticos </w:t>
      </w:r>
      <w:r w:rsidRPr="005276BC">
        <w:rPr>
          <w:rFonts w:cstheme="minorHAnsi"/>
          <w:color w:val="000000"/>
          <w:sz w:val="24"/>
          <w:szCs w:val="24"/>
        </w:rPr>
        <w:t>para medir las capacidades nacionales de ciberseguridad, debido a que forman los elementos constructivos intrínsecos de cada cultura nacional: 1) Medidas Jurídicas, 2) Medidas Técnicas, 3) Medidas Organizativas, 4) Creación de Capacidades y 5) Cooperación; el índice más bajo que se puede obtener es 0 y el más alto es 1. E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n el índice </w:t>
      </w:r>
      <w:r w:rsidRPr="005276BC">
        <w:rPr>
          <w:rFonts w:cstheme="minorHAnsi"/>
          <w:sz w:val="24"/>
          <w:szCs w:val="24"/>
        </w:rPr>
        <w:t xml:space="preserve">publicado en </w:t>
      </w:r>
      <w:r w:rsidRPr="005276BC">
        <w:rPr>
          <w:rFonts w:cstheme="minorHAnsi"/>
          <w:b/>
          <w:sz w:val="24"/>
          <w:szCs w:val="24"/>
        </w:rPr>
        <w:t>2015</w:t>
      </w:r>
      <w:r w:rsidRPr="005276BC">
        <w:rPr>
          <w:rFonts w:cstheme="minorHAnsi"/>
          <w:sz w:val="24"/>
          <w:szCs w:val="24"/>
        </w:rPr>
        <w:t xml:space="preserve">, 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México obtuvo 0.3235; y en el índice publicado en </w:t>
      </w:r>
      <w:r w:rsidRPr="005276BC">
        <w:rPr>
          <w:rFonts w:cstheme="minorHAnsi"/>
          <w:b/>
          <w:sz w:val="24"/>
          <w:szCs w:val="24"/>
        </w:rPr>
        <w:t>2017</w:t>
      </w:r>
      <w:r w:rsidRPr="005276BC">
        <w:rPr>
          <w:rFonts w:cstheme="minorHAnsi"/>
          <w:sz w:val="24"/>
          <w:szCs w:val="24"/>
        </w:rPr>
        <w:t>, indica q</w:t>
      </w:r>
      <w:r w:rsidR="001276EF" w:rsidRPr="005276BC">
        <w:rPr>
          <w:rFonts w:cstheme="minorHAnsi"/>
          <w:color w:val="000000" w:themeColor="text1"/>
          <w:sz w:val="24"/>
          <w:szCs w:val="24"/>
        </w:rPr>
        <w:t>ue México obtuvo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0.66; lo que significa que se tuvo una mejoría casi del doble, sin embargo, sigue siendo un índice lejano del 1.</w:t>
      </w:r>
    </w:p>
    <w:p w:rsidR="001276EF" w:rsidRPr="005276BC" w:rsidRDefault="001276EF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DD3A51" w:rsidRPr="005276BC" w:rsidRDefault="00AC1657" w:rsidP="00B94FF2">
      <w:pPr>
        <w:spacing w:after="0"/>
        <w:jc w:val="both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 xml:space="preserve">Política </w:t>
      </w:r>
      <w:r w:rsidR="001276EF" w:rsidRPr="005276BC">
        <w:rPr>
          <w:rFonts w:cstheme="minorHAnsi"/>
          <w:b/>
          <w:sz w:val="24"/>
          <w:szCs w:val="24"/>
        </w:rPr>
        <w:t>pública para c</w:t>
      </w:r>
      <w:r w:rsidRPr="005276BC">
        <w:rPr>
          <w:rFonts w:cstheme="minorHAnsi"/>
          <w:b/>
          <w:sz w:val="24"/>
          <w:szCs w:val="24"/>
        </w:rPr>
        <w:t>iberseguridad</w:t>
      </w:r>
      <w:r w:rsidR="001276EF" w:rsidRPr="005276BC">
        <w:rPr>
          <w:rFonts w:cstheme="minorHAnsi"/>
          <w:b/>
          <w:sz w:val="24"/>
          <w:szCs w:val="24"/>
        </w:rPr>
        <w:t xml:space="preserve"> en México</w:t>
      </w:r>
      <w:r w:rsidR="002478B5" w:rsidRPr="005276BC">
        <w:rPr>
          <w:rFonts w:cstheme="minorHAnsi"/>
          <w:b/>
          <w:sz w:val="24"/>
          <w:szCs w:val="24"/>
        </w:rPr>
        <w:t>.</w:t>
      </w:r>
    </w:p>
    <w:p w:rsidR="002478B5" w:rsidRPr="005276BC" w:rsidRDefault="002478B5" w:rsidP="00B94FF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78B5" w:rsidRPr="005276BC" w:rsidRDefault="002478B5" w:rsidP="00B94FF2">
      <w:pPr>
        <w:spacing w:after="0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En la presente Administración Pública Federal, se ha</w:t>
      </w:r>
      <w:r w:rsidR="001276EF" w:rsidRPr="005276BC">
        <w:rPr>
          <w:rFonts w:cstheme="minorHAnsi"/>
          <w:sz w:val="24"/>
          <w:szCs w:val="24"/>
        </w:rPr>
        <w:t xml:space="preserve">n realizado </w:t>
      </w:r>
      <w:r w:rsidRPr="005276BC">
        <w:rPr>
          <w:rFonts w:cstheme="minorHAnsi"/>
          <w:sz w:val="24"/>
          <w:szCs w:val="24"/>
        </w:rPr>
        <w:t>principalmente l</w:t>
      </w:r>
      <w:r w:rsidR="001276EF" w:rsidRPr="005276BC">
        <w:rPr>
          <w:rFonts w:cstheme="minorHAnsi"/>
          <w:sz w:val="24"/>
          <w:szCs w:val="24"/>
        </w:rPr>
        <w:t>os siguientes planteamientos:</w:t>
      </w:r>
      <w:r w:rsidRPr="005276BC">
        <w:rPr>
          <w:rFonts w:cstheme="minorHAnsi"/>
          <w:sz w:val="24"/>
          <w:szCs w:val="24"/>
        </w:rPr>
        <w:t xml:space="preserve"> </w:t>
      </w:r>
    </w:p>
    <w:p w:rsidR="00B94FF2" w:rsidRPr="005276BC" w:rsidRDefault="00B94FF2" w:rsidP="00B94FF2">
      <w:pPr>
        <w:spacing w:after="0"/>
        <w:jc w:val="both"/>
        <w:rPr>
          <w:rFonts w:cstheme="minorHAnsi"/>
          <w:sz w:val="24"/>
          <w:szCs w:val="24"/>
        </w:rPr>
      </w:pPr>
    </w:p>
    <w:p w:rsidR="00DD3A51" w:rsidRPr="005276BC" w:rsidRDefault="00DD3A51" w:rsidP="00B94FF2">
      <w:pPr>
        <w:spacing w:after="0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 xml:space="preserve">En el </w:t>
      </w:r>
      <w:r w:rsidRPr="005276BC">
        <w:rPr>
          <w:rFonts w:cstheme="minorHAnsi"/>
          <w:b/>
          <w:i/>
          <w:sz w:val="24"/>
          <w:szCs w:val="24"/>
        </w:rPr>
        <w:t>Plan Nacional de Desarrollo 2013-2018</w:t>
      </w:r>
      <w:r w:rsidRPr="005276BC">
        <w:rPr>
          <w:rFonts w:cstheme="minorHAnsi"/>
          <w:sz w:val="24"/>
          <w:szCs w:val="24"/>
        </w:rPr>
        <w:t xml:space="preserve">, dentro de la meta nacional “México en paz”, objetivo 1.2 “Garantizar la Seguridad Nacional”, estrategia 1.2.3 “Fortalecer la inteligencia del Estado Mexicano para identificar, prevenir y contrarrestar riesgos y amenazas a la Seguridad Nacional”, están las siguientes líneas de acción: 1) Impulsar, mediante la realización de estudios e investigaciones, iniciativas de ley que den sustento a las actividades de inteligencia civil, militar y naval, para fortalecer la cuarta dimensión de operaciones de seguridad: ciberespacio y ciberseguridad. 2) Diseñar e impulsar una </w:t>
      </w:r>
      <w:r w:rsidRPr="005276BC">
        <w:rPr>
          <w:rFonts w:cstheme="minorHAnsi"/>
          <w:bCs/>
          <w:sz w:val="24"/>
          <w:szCs w:val="24"/>
        </w:rPr>
        <w:t>estrategia de seguridad de la información</w:t>
      </w:r>
      <w:r w:rsidRPr="005276BC">
        <w:rPr>
          <w:rFonts w:cstheme="minorHAnsi"/>
          <w:sz w:val="24"/>
          <w:szCs w:val="24"/>
        </w:rPr>
        <w:t>, a efecto de garantizar la integridad, confidencialidad y disponibilidad de la información de las personas e instituciones públicas y privadas en México.</w:t>
      </w:r>
    </w:p>
    <w:p w:rsidR="00290F4B" w:rsidRPr="005276BC" w:rsidRDefault="00290F4B" w:rsidP="00B94FF2">
      <w:pPr>
        <w:spacing w:after="0"/>
        <w:jc w:val="both"/>
        <w:rPr>
          <w:rFonts w:cstheme="minorHAnsi"/>
          <w:sz w:val="24"/>
          <w:szCs w:val="24"/>
        </w:rPr>
      </w:pPr>
    </w:p>
    <w:p w:rsidR="00DD3A51" w:rsidRPr="005276BC" w:rsidRDefault="00DD3A51" w:rsidP="00B94FF2">
      <w:pPr>
        <w:spacing w:after="0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El 08 de mayo de 2014 se publicó en el Diari</w:t>
      </w:r>
      <w:r w:rsidR="002478B5" w:rsidRPr="005276BC">
        <w:rPr>
          <w:rFonts w:cstheme="minorHAnsi"/>
          <w:sz w:val="24"/>
          <w:szCs w:val="24"/>
        </w:rPr>
        <w:t xml:space="preserve">o Oficial de la Federación, la </w:t>
      </w:r>
      <w:r w:rsidR="002478B5" w:rsidRPr="005276BC">
        <w:rPr>
          <w:rFonts w:cstheme="minorHAnsi"/>
          <w:b/>
          <w:i/>
          <w:sz w:val="24"/>
          <w:szCs w:val="24"/>
        </w:rPr>
        <w:t>P</w:t>
      </w:r>
      <w:r w:rsidRPr="005276BC">
        <w:rPr>
          <w:rFonts w:cstheme="minorHAnsi"/>
          <w:b/>
          <w:i/>
          <w:sz w:val="24"/>
          <w:szCs w:val="24"/>
        </w:rPr>
        <w:t xml:space="preserve">olítica en materia de TIC de la Estrategia Digital Nacional, así como el </w:t>
      </w:r>
      <w:r w:rsidRPr="005276BC">
        <w:rPr>
          <w:rFonts w:cstheme="minorHAnsi"/>
          <w:b/>
          <w:bCs/>
          <w:i/>
          <w:color w:val="000000" w:themeColor="text1"/>
          <w:sz w:val="24"/>
          <w:szCs w:val="24"/>
        </w:rPr>
        <w:t>Manual Administrativo de Aplicación General en las materias de Tecnologías de la información y Comunicaciones y de Seguridad de la Información</w:t>
      </w:r>
      <w:r w:rsidR="002C6F79" w:rsidRPr="005276BC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(</w:t>
      </w:r>
      <w:r w:rsidR="00AC1657" w:rsidRPr="005276BC">
        <w:rPr>
          <w:rFonts w:cstheme="minorHAnsi"/>
          <w:b/>
          <w:i/>
          <w:sz w:val="24"/>
          <w:szCs w:val="24"/>
        </w:rPr>
        <w:t>MAAGTICSI</w:t>
      </w:r>
      <w:r w:rsidR="002C6F79" w:rsidRPr="005276BC">
        <w:rPr>
          <w:rFonts w:cstheme="minorHAnsi"/>
          <w:b/>
          <w:i/>
          <w:sz w:val="24"/>
          <w:szCs w:val="24"/>
        </w:rPr>
        <w:t>)</w:t>
      </w:r>
      <w:r w:rsidRPr="005276BC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5276BC">
        <w:rPr>
          <w:rFonts w:cstheme="minorHAnsi"/>
          <w:sz w:val="24"/>
          <w:szCs w:val="24"/>
        </w:rPr>
        <w:t>que contiene un apartado de seguridad de la información, que establece el Sistema de Gestión de Seguridad de la Información (SGSI) para las dependencias de la Administración Pública Federal y la Procuraduría General de la República.</w:t>
      </w:r>
    </w:p>
    <w:p w:rsidR="002C6F79" w:rsidRPr="005276BC" w:rsidRDefault="002C6F79" w:rsidP="00B94FF2">
      <w:pPr>
        <w:spacing w:after="0"/>
        <w:jc w:val="both"/>
        <w:rPr>
          <w:rFonts w:cstheme="minorHAnsi"/>
          <w:sz w:val="24"/>
          <w:szCs w:val="24"/>
        </w:rPr>
      </w:pPr>
    </w:p>
    <w:p w:rsidR="00DD3A51" w:rsidRPr="005276BC" w:rsidRDefault="00DD3A51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276BC">
        <w:rPr>
          <w:rFonts w:cstheme="minorHAnsi"/>
          <w:sz w:val="24"/>
          <w:szCs w:val="24"/>
        </w:rPr>
        <w:t xml:space="preserve">El </w:t>
      </w:r>
      <w:r w:rsidRPr="005276BC">
        <w:rPr>
          <w:rFonts w:cstheme="minorHAnsi"/>
          <w:b/>
          <w:i/>
          <w:sz w:val="24"/>
          <w:szCs w:val="24"/>
        </w:rPr>
        <w:t>Programa Nacional de Seguridad Pública 2014–2018</w:t>
      </w:r>
      <w:r w:rsidRPr="005276BC">
        <w:rPr>
          <w:rFonts w:cstheme="minorHAnsi"/>
          <w:sz w:val="24"/>
          <w:szCs w:val="24"/>
        </w:rPr>
        <w:t xml:space="preserve">, contempla la estrategia 2.7 “Detectar y atender oportunamente los delitos cibernéticos”. </w:t>
      </w:r>
      <w:r w:rsidRPr="005276BC">
        <w:rPr>
          <w:rFonts w:cstheme="minorHAnsi"/>
          <w:b/>
          <w:i/>
          <w:sz w:val="24"/>
          <w:szCs w:val="24"/>
        </w:rPr>
        <w:t>El Programa para la Seguridad Nacional 2014–2018</w:t>
      </w:r>
      <w:r w:rsidRPr="005276BC">
        <w:rPr>
          <w:rFonts w:cstheme="minorHAnsi"/>
          <w:sz w:val="24"/>
          <w:szCs w:val="24"/>
        </w:rPr>
        <w:t xml:space="preserve">, cuenta con un apartado que contempla la Estrategia 2.1.2. “Desarrollar una política de Estado en materia de seguridad cibernética y ciberdefensa, para proteger y promover los intereses y objetivos nacionales”. </w:t>
      </w:r>
    </w:p>
    <w:p w:rsidR="00491A65" w:rsidRPr="005276BC" w:rsidRDefault="00491A65" w:rsidP="00B94FF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6526BE" w:rsidRPr="005276BC" w:rsidRDefault="006526BE" w:rsidP="00B94FF2">
      <w:pPr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lastRenderedPageBreak/>
        <w:t>En n</w:t>
      </w:r>
      <w:r w:rsidR="00AC1657" w:rsidRPr="005276BC">
        <w:rPr>
          <w:rFonts w:cstheme="minorHAnsi"/>
          <w:sz w:val="24"/>
          <w:szCs w:val="24"/>
        </w:rPr>
        <w:t>oviembre del 2017, durante la 3</w:t>
      </w:r>
      <w:r w:rsidR="00EB37B6" w:rsidRPr="005276BC">
        <w:rPr>
          <w:rFonts w:cstheme="minorHAnsi"/>
          <w:sz w:val="24"/>
          <w:szCs w:val="24"/>
        </w:rPr>
        <w:t>ª</w:t>
      </w:r>
      <w:r w:rsidRPr="005276BC">
        <w:rPr>
          <w:rFonts w:cstheme="minorHAnsi"/>
          <w:sz w:val="24"/>
          <w:szCs w:val="24"/>
        </w:rPr>
        <w:t>. Semana Nacional de Ciberseguridad</w:t>
      </w:r>
      <w:r w:rsidR="00AC1657" w:rsidRPr="005276BC">
        <w:rPr>
          <w:rFonts w:cstheme="minorHAnsi"/>
          <w:sz w:val="24"/>
          <w:szCs w:val="24"/>
        </w:rPr>
        <w:t xml:space="preserve">, </w:t>
      </w:r>
      <w:r w:rsidRPr="005276BC">
        <w:rPr>
          <w:rFonts w:cstheme="minorHAnsi"/>
          <w:sz w:val="24"/>
          <w:szCs w:val="24"/>
        </w:rPr>
        <w:t xml:space="preserve">se publicó la </w:t>
      </w:r>
      <w:r w:rsidRPr="005276BC">
        <w:rPr>
          <w:rFonts w:cstheme="minorHAnsi"/>
          <w:b/>
          <w:i/>
          <w:sz w:val="24"/>
          <w:szCs w:val="24"/>
        </w:rPr>
        <w:t>Estrategia Nacional de Ciberseguridad para México</w:t>
      </w:r>
      <w:r w:rsidR="00AC1657" w:rsidRPr="005276BC">
        <w:rPr>
          <w:rFonts w:cstheme="minorHAnsi"/>
          <w:sz w:val="24"/>
          <w:szCs w:val="24"/>
        </w:rPr>
        <w:t xml:space="preserve">, </w:t>
      </w:r>
      <w:r w:rsidR="00DF7DEE" w:rsidRPr="005276BC">
        <w:rPr>
          <w:rFonts w:cstheme="minorHAnsi"/>
          <w:sz w:val="24"/>
          <w:szCs w:val="24"/>
        </w:rPr>
        <w:t>un documento de 30 páginas</w:t>
      </w:r>
      <w:r w:rsidR="00AC1657" w:rsidRPr="005276BC">
        <w:rPr>
          <w:rFonts w:cstheme="minorHAnsi"/>
          <w:sz w:val="24"/>
          <w:szCs w:val="24"/>
        </w:rPr>
        <w:t xml:space="preserve">, </w:t>
      </w:r>
      <w:r w:rsidR="005912AE" w:rsidRPr="005276BC">
        <w:rPr>
          <w:rFonts w:cstheme="minorHAnsi"/>
          <w:sz w:val="24"/>
          <w:szCs w:val="24"/>
        </w:rPr>
        <w:t>que plantea</w:t>
      </w:r>
      <w:r w:rsidRPr="005276BC">
        <w:rPr>
          <w:rFonts w:cstheme="minorHAnsi"/>
          <w:sz w:val="24"/>
          <w:szCs w:val="24"/>
        </w:rPr>
        <w:t xml:space="preserve"> 1 objetivo general, 5 objetivos estratégicos, 3 principios rectores y 8 ejes transversales: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95"/>
      </w:tblGrid>
      <w:tr w:rsidR="006526BE" w:rsidRPr="005276BC" w:rsidTr="00B94FF2">
        <w:tc>
          <w:tcPr>
            <w:tcW w:w="5376" w:type="dxa"/>
          </w:tcPr>
          <w:p w:rsidR="006526BE" w:rsidRPr="005276BC" w:rsidRDefault="006526BE" w:rsidP="00B94F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76B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C00AF49" wp14:editId="31514169">
                  <wp:extent cx="3276000" cy="2763961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4949" t="7905" r="30655" b="40500"/>
                          <a:stretch/>
                        </pic:blipFill>
                        <pic:spPr bwMode="auto">
                          <a:xfrm>
                            <a:off x="0" y="0"/>
                            <a:ext cx="3276000" cy="2763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6526BE" w:rsidRPr="005276BC" w:rsidRDefault="00DF7DEE" w:rsidP="00B94F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276BC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5473456" wp14:editId="67AF7CE4">
                  <wp:extent cx="2376000" cy="2755834"/>
                  <wp:effectExtent l="0" t="0" r="5715" b="698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0874" t="37725" r="36191" b="14979"/>
                          <a:stretch/>
                        </pic:blipFill>
                        <pic:spPr bwMode="auto">
                          <a:xfrm>
                            <a:off x="0" y="0"/>
                            <a:ext cx="2376000" cy="275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FF2" w:rsidRPr="005912AE" w:rsidRDefault="00B94FF2" w:rsidP="00B94FF2">
      <w:pPr>
        <w:spacing w:after="0"/>
        <w:jc w:val="center"/>
        <w:rPr>
          <w:rFonts w:cstheme="minorHAnsi"/>
          <w:color w:val="000000" w:themeColor="text1"/>
          <w:sz w:val="18"/>
          <w:szCs w:val="18"/>
        </w:rPr>
      </w:pPr>
      <w:r w:rsidRPr="005912AE">
        <w:rPr>
          <w:rFonts w:cstheme="minorHAnsi"/>
          <w:color w:val="000000" w:themeColor="text1"/>
          <w:sz w:val="18"/>
          <w:szCs w:val="18"/>
        </w:rPr>
        <w:t xml:space="preserve">Fuente: </w:t>
      </w:r>
      <w:hyperlink r:id="rId12" w:history="1">
        <w:r w:rsidR="00AE0725" w:rsidRPr="005912AE">
          <w:rPr>
            <w:rStyle w:val="Hipervnculo"/>
            <w:rFonts w:cstheme="minorHAnsi"/>
            <w:sz w:val="18"/>
            <w:szCs w:val="18"/>
          </w:rPr>
          <w:t>https://www.gob.mx/cms/uploads/attachment/file/271884/Estrategia_Nacional_Ciberseguridad.pdf</w:t>
        </w:r>
      </w:hyperlink>
    </w:p>
    <w:p w:rsidR="00E435EC" w:rsidRPr="005276BC" w:rsidRDefault="00E435EC" w:rsidP="00DC533B">
      <w:pPr>
        <w:spacing w:after="0"/>
        <w:jc w:val="both"/>
        <w:rPr>
          <w:rFonts w:cstheme="minorHAnsi"/>
          <w:sz w:val="24"/>
          <w:szCs w:val="24"/>
        </w:rPr>
      </w:pPr>
    </w:p>
    <w:p w:rsidR="00EB37B6" w:rsidRPr="005276BC" w:rsidRDefault="00EB37B6" w:rsidP="00DC533B">
      <w:pPr>
        <w:spacing w:after="0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Para la implementación de la Estrategia Nacional de Ciberseguridad, la Comisión Intersecretarial para el Desarrollo del Gobierno Electrónico “CIDGE”,  a través de la Subcomisión de Ciberseguridad, invitó al IFT a liderar el grupo de trabajo correspondiente al Objetivo Estratégico “Sociedad y Derechos” que indica: Generar las condiciones para que la población realice sus actividades de manera responsable, libre y confiable en el ciberespacio, con la finalidad de mejorar su calidad de vida mediante el desarrollo digital en un marco de respeto a los derechos humanos como la libertad de expresión, vida privada y protección de datos personales, entre otros.</w:t>
      </w:r>
      <w:r w:rsidR="00E435EC" w:rsidRPr="005276BC">
        <w:rPr>
          <w:rFonts w:cstheme="minorHAnsi"/>
          <w:sz w:val="24"/>
          <w:szCs w:val="24"/>
        </w:rPr>
        <w:t xml:space="preserve"> </w:t>
      </w:r>
      <w:r w:rsidRPr="005276BC">
        <w:rPr>
          <w:rFonts w:cstheme="minorHAnsi"/>
          <w:sz w:val="24"/>
          <w:szCs w:val="24"/>
        </w:rPr>
        <w:t>El pasado 29 de mayo se realizaron mesas de trabajo c</w:t>
      </w:r>
      <w:r w:rsidR="00DC533B" w:rsidRPr="005276BC">
        <w:rPr>
          <w:rFonts w:cstheme="minorHAnsi"/>
          <w:sz w:val="24"/>
          <w:szCs w:val="24"/>
        </w:rPr>
        <w:t>on objeto de diseñar la ruta crí</w:t>
      </w:r>
      <w:r w:rsidRPr="005276BC">
        <w:rPr>
          <w:rFonts w:cstheme="minorHAnsi"/>
          <w:sz w:val="24"/>
          <w:szCs w:val="24"/>
        </w:rPr>
        <w:t>tica y plan de trabajo de cada uno de los temas que conforman el mencionado objetivo estratégico</w:t>
      </w:r>
      <w:r w:rsidR="00DC533B" w:rsidRPr="005276BC">
        <w:rPr>
          <w:rFonts w:cstheme="minorHAnsi"/>
          <w:sz w:val="24"/>
          <w:szCs w:val="24"/>
        </w:rPr>
        <w:t>.</w:t>
      </w:r>
    </w:p>
    <w:p w:rsidR="00491B1D" w:rsidRPr="005276BC" w:rsidRDefault="00491B1D" w:rsidP="00DC533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211D8" w:rsidRPr="005276BC" w:rsidRDefault="005211D8" w:rsidP="00DC533B">
      <w:pPr>
        <w:spacing w:after="0"/>
        <w:jc w:val="both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Consideraci</w:t>
      </w:r>
      <w:r w:rsidR="00263193" w:rsidRPr="005276BC">
        <w:rPr>
          <w:rFonts w:cstheme="minorHAnsi"/>
          <w:b/>
          <w:sz w:val="24"/>
          <w:szCs w:val="24"/>
        </w:rPr>
        <w:t>ones</w:t>
      </w:r>
      <w:r w:rsidRPr="005276BC">
        <w:rPr>
          <w:rFonts w:cstheme="minorHAnsi"/>
          <w:b/>
          <w:sz w:val="24"/>
          <w:szCs w:val="24"/>
        </w:rPr>
        <w:t>.</w:t>
      </w:r>
    </w:p>
    <w:p w:rsidR="005211D8" w:rsidRPr="005276BC" w:rsidRDefault="005211D8" w:rsidP="00DC533B">
      <w:pPr>
        <w:spacing w:after="0"/>
        <w:jc w:val="both"/>
        <w:rPr>
          <w:rFonts w:cstheme="minorHAnsi"/>
          <w:sz w:val="24"/>
          <w:szCs w:val="24"/>
        </w:rPr>
      </w:pPr>
    </w:p>
    <w:p w:rsidR="00263193" w:rsidRPr="005276BC" w:rsidRDefault="00263193" w:rsidP="00263193">
      <w:pPr>
        <w:pStyle w:val="Prrafodelista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 xml:space="preserve">En Ley Federal de Telecomunicaciones y Radiodifusión </w:t>
      </w:r>
      <w:r w:rsidR="00C63901" w:rsidRPr="005276BC">
        <w:rPr>
          <w:rFonts w:cstheme="minorHAnsi"/>
          <w:sz w:val="24"/>
          <w:szCs w:val="24"/>
        </w:rPr>
        <w:t xml:space="preserve">(LFTR) publicada en el Diario Oficial de la </w:t>
      </w:r>
      <w:r w:rsidR="00491B1D" w:rsidRPr="005276BC">
        <w:rPr>
          <w:rFonts w:cstheme="minorHAnsi"/>
          <w:sz w:val="24"/>
          <w:szCs w:val="24"/>
        </w:rPr>
        <w:t>Federación</w:t>
      </w:r>
      <w:r w:rsidR="00C63901" w:rsidRPr="005276BC">
        <w:rPr>
          <w:rFonts w:cstheme="minorHAnsi"/>
          <w:sz w:val="24"/>
          <w:szCs w:val="24"/>
        </w:rPr>
        <w:t xml:space="preserve"> el 14 de julio de 2014, </w:t>
      </w:r>
      <w:r w:rsidRPr="005276BC">
        <w:rPr>
          <w:rFonts w:cstheme="minorHAnsi"/>
          <w:sz w:val="24"/>
          <w:szCs w:val="24"/>
        </w:rPr>
        <w:t xml:space="preserve">no se hace referencia específica </w:t>
      </w:r>
      <w:r w:rsidR="00C63901" w:rsidRPr="005276BC">
        <w:rPr>
          <w:rFonts w:cstheme="minorHAnsi"/>
          <w:sz w:val="24"/>
          <w:szCs w:val="24"/>
        </w:rPr>
        <w:t xml:space="preserve">a la ciberseguridad; </w:t>
      </w:r>
      <w:r w:rsidRPr="005276BC">
        <w:rPr>
          <w:rFonts w:cstheme="minorHAnsi"/>
          <w:sz w:val="24"/>
          <w:szCs w:val="24"/>
        </w:rPr>
        <w:t>sin embargo, el espectro, la infraestructura, equipos, servicios de telecomunicaciones y radiodifusión, son parte del ciberespacio, por lo que todos éstos deben contar con ciberseguridad.</w:t>
      </w:r>
    </w:p>
    <w:p w:rsidR="00C63901" w:rsidRPr="005276BC" w:rsidRDefault="00C63901" w:rsidP="00C63901">
      <w:pPr>
        <w:pStyle w:val="Prrafodelista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5211D8" w:rsidRPr="005276BC" w:rsidRDefault="005211D8" w:rsidP="00263193">
      <w:pPr>
        <w:pStyle w:val="Prrafodelista"/>
        <w:numPr>
          <w:ilvl w:val="0"/>
          <w:numId w:val="2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El IFT en su comunica</w:t>
      </w:r>
      <w:r w:rsidR="00E46F47" w:rsidRPr="005276BC">
        <w:rPr>
          <w:rFonts w:cstheme="minorHAnsi"/>
          <w:sz w:val="24"/>
          <w:szCs w:val="24"/>
        </w:rPr>
        <w:t>do de prensa número 012/2018 del</w:t>
      </w:r>
      <w:r w:rsidRPr="005276BC">
        <w:rPr>
          <w:rFonts w:cstheme="minorHAnsi"/>
          <w:sz w:val="24"/>
          <w:szCs w:val="24"/>
        </w:rPr>
        <w:t xml:space="preserve"> 15 de febrero de 2018, </w:t>
      </w:r>
      <w:r w:rsidR="00263193" w:rsidRPr="005276BC">
        <w:rPr>
          <w:rFonts w:cstheme="minorHAnsi"/>
          <w:sz w:val="24"/>
          <w:szCs w:val="24"/>
        </w:rPr>
        <w:t xml:space="preserve">informó que aprobó su Programa Anual de Trabajo </w:t>
      </w:r>
      <w:r w:rsidR="005912AE" w:rsidRPr="005276BC">
        <w:rPr>
          <w:rFonts w:cstheme="minorHAnsi"/>
          <w:sz w:val="24"/>
          <w:szCs w:val="24"/>
        </w:rPr>
        <w:t>2018, indicando que</w:t>
      </w:r>
      <w:r w:rsidRPr="005276BC">
        <w:rPr>
          <w:rFonts w:cstheme="minorHAnsi"/>
          <w:sz w:val="24"/>
          <w:szCs w:val="24"/>
        </w:rPr>
        <w:t xml:space="preserve"> entre los</w:t>
      </w:r>
      <w:r w:rsidR="00263193" w:rsidRPr="005276BC">
        <w:rPr>
          <w:rFonts w:cstheme="minorHAnsi"/>
          <w:sz w:val="24"/>
          <w:szCs w:val="24"/>
        </w:rPr>
        <w:t xml:space="preserve"> estudios e informes que </w:t>
      </w:r>
      <w:r w:rsidRPr="005276BC">
        <w:rPr>
          <w:rFonts w:cstheme="minorHAnsi"/>
          <w:sz w:val="24"/>
          <w:szCs w:val="24"/>
        </w:rPr>
        <w:t>tiene programados para este año destaca</w:t>
      </w:r>
      <w:r w:rsidR="00E46F47" w:rsidRPr="005276BC">
        <w:rPr>
          <w:rFonts w:cstheme="minorHAnsi"/>
          <w:sz w:val="24"/>
          <w:szCs w:val="24"/>
        </w:rPr>
        <w:t xml:space="preserve"> </w:t>
      </w:r>
      <w:r w:rsidRPr="005276BC">
        <w:rPr>
          <w:rFonts w:cstheme="minorHAnsi"/>
          <w:sz w:val="24"/>
          <w:szCs w:val="24"/>
        </w:rPr>
        <w:t>el plan de acciones en materia</w:t>
      </w:r>
      <w:r w:rsidR="00E46F47" w:rsidRPr="005276BC">
        <w:rPr>
          <w:rFonts w:cstheme="minorHAnsi"/>
          <w:sz w:val="24"/>
          <w:szCs w:val="24"/>
        </w:rPr>
        <w:t xml:space="preserve"> de ciberseguridad.</w:t>
      </w:r>
      <w:r w:rsidRPr="005276BC">
        <w:rPr>
          <w:rFonts w:cstheme="minorHAnsi"/>
          <w:sz w:val="24"/>
          <w:szCs w:val="24"/>
        </w:rPr>
        <w:t xml:space="preserve"> </w:t>
      </w:r>
    </w:p>
    <w:p w:rsidR="004560F7" w:rsidRPr="005276BC" w:rsidRDefault="004560F7" w:rsidP="00EB37B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63901" w:rsidRPr="005276BC" w:rsidRDefault="00C82B23" w:rsidP="00F9670D">
      <w:pPr>
        <w:spacing w:after="0"/>
        <w:jc w:val="both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Recomendaciones</w:t>
      </w:r>
      <w:r w:rsidR="00753068" w:rsidRPr="005276BC">
        <w:rPr>
          <w:rFonts w:cstheme="minorHAnsi"/>
          <w:b/>
          <w:sz w:val="24"/>
          <w:szCs w:val="24"/>
        </w:rPr>
        <w:t>.</w:t>
      </w:r>
    </w:p>
    <w:p w:rsidR="00F9670D" w:rsidRPr="005276BC" w:rsidRDefault="00F9670D" w:rsidP="00F9670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7FD8" w:rsidRPr="005276BC" w:rsidRDefault="00C63901" w:rsidP="006D095A">
      <w:pPr>
        <w:spacing w:after="0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b/>
          <w:i/>
          <w:sz w:val="24"/>
          <w:szCs w:val="24"/>
        </w:rPr>
        <w:t>Se recomienda que el IFT</w:t>
      </w:r>
      <w:r w:rsidR="006D095A" w:rsidRPr="005276BC">
        <w:rPr>
          <w:rFonts w:cstheme="minorHAnsi"/>
          <w:sz w:val="24"/>
          <w:szCs w:val="24"/>
        </w:rPr>
        <w:t>,</w:t>
      </w:r>
      <w:r w:rsidRPr="005276BC">
        <w:rPr>
          <w:rFonts w:cstheme="minorHAnsi"/>
          <w:sz w:val="24"/>
          <w:szCs w:val="24"/>
        </w:rPr>
        <w:t xml:space="preserve"> </w:t>
      </w:r>
      <w:r w:rsidR="002F7FD8" w:rsidRPr="005276BC">
        <w:rPr>
          <w:rFonts w:cstheme="minorHAnsi"/>
          <w:sz w:val="24"/>
          <w:szCs w:val="24"/>
        </w:rPr>
        <w:t xml:space="preserve">además </w:t>
      </w:r>
      <w:r w:rsidR="00DC533B" w:rsidRPr="005276BC">
        <w:rPr>
          <w:rFonts w:cstheme="minorHAnsi"/>
          <w:sz w:val="24"/>
          <w:szCs w:val="24"/>
        </w:rPr>
        <w:t>del grupo de trabajo que dir</w:t>
      </w:r>
      <w:r w:rsidR="002F7FD8" w:rsidRPr="005276BC">
        <w:rPr>
          <w:rFonts w:cstheme="minorHAnsi"/>
          <w:sz w:val="24"/>
          <w:szCs w:val="24"/>
        </w:rPr>
        <w:t xml:space="preserve">ige </w:t>
      </w:r>
      <w:r w:rsidRPr="005276BC">
        <w:rPr>
          <w:rFonts w:cstheme="minorHAnsi"/>
          <w:sz w:val="24"/>
          <w:szCs w:val="24"/>
        </w:rPr>
        <w:t>p</w:t>
      </w:r>
      <w:r w:rsidR="002F7FD8" w:rsidRPr="005276BC">
        <w:rPr>
          <w:rFonts w:cstheme="minorHAnsi"/>
          <w:sz w:val="24"/>
          <w:szCs w:val="24"/>
        </w:rPr>
        <w:t>ara implementar el objetivo e</w:t>
      </w:r>
      <w:r w:rsidR="00DC533B" w:rsidRPr="005276BC">
        <w:rPr>
          <w:rFonts w:cstheme="minorHAnsi"/>
          <w:sz w:val="24"/>
          <w:szCs w:val="24"/>
        </w:rPr>
        <w:t>stratégico “Sociedad y Derechos”</w:t>
      </w:r>
      <w:r w:rsidR="002F7FD8" w:rsidRPr="005276BC">
        <w:rPr>
          <w:rFonts w:cstheme="minorHAnsi"/>
          <w:sz w:val="24"/>
          <w:szCs w:val="24"/>
        </w:rPr>
        <w:t xml:space="preserve"> de la Estrategia Nacional de Ciberseguridad, </w:t>
      </w:r>
      <w:r w:rsidRPr="005276BC">
        <w:rPr>
          <w:rFonts w:cstheme="minorHAnsi"/>
          <w:b/>
          <w:i/>
          <w:sz w:val="24"/>
          <w:szCs w:val="24"/>
        </w:rPr>
        <w:t xml:space="preserve">tenga una participación </w:t>
      </w:r>
      <w:r w:rsidR="00491B1D" w:rsidRPr="005276BC">
        <w:rPr>
          <w:rFonts w:cstheme="minorHAnsi"/>
          <w:b/>
          <w:i/>
          <w:sz w:val="24"/>
          <w:szCs w:val="24"/>
        </w:rPr>
        <w:t>más</w:t>
      </w:r>
      <w:r w:rsidRPr="005276BC">
        <w:rPr>
          <w:rFonts w:cstheme="minorHAnsi"/>
          <w:b/>
          <w:i/>
          <w:sz w:val="24"/>
          <w:szCs w:val="24"/>
        </w:rPr>
        <w:t xml:space="preserve"> activa en materia de ciberseguridad </w:t>
      </w:r>
      <w:r w:rsidR="002F7FD8" w:rsidRPr="005276BC">
        <w:rPr>
          <w:rFonts w:cstheme="minorHAnsi"/>
          <w:b/>
          <w:i/>
          <w:sz w:val="24"/>
          <w:szCs w:val="24"/>
        </w:rPr>
        <w:t xml:space="preserve">con base en sus atribuciones </w:t>
      </w:r>
      <w:r w:rsidR="006D095A" w:rsidRPr="005276BC">
        <w:rPr>
          <w:rFonts w:cstheme="minorHAnsi"/>
          <w:b/>
          <w:i/>
          <w:sz w:val="24"/>
          <w:szCs w:val="24"/>
        </w:rPr>
        <w:t xml:space="preserve">que le confiere la LFTR, </w:t>
      </w:r>
      <w:r w:rsidR="006D095A" w:rsidRPr="005276BC">
        <w:rPr>
          <w:rFonts w:cstheme="minorHAnsi"/>
          <w:sz w:val="24"/>
          <w:szCs w:val="24"/>
        </w:rPr>
        <w:t>como se indica a continuación:</w:t>
      </w:r>
    </w:p>
    <w:p w:rsidR="00EB0CBB" w:rsidRPr="005276BC" w:rsidRDefault="00EB0CBB" w:rsidP="00EB0CBB">
      <w:pPr>
        <w:pStyle w:val="Prrafodelista"/>
        <w:rPr>
          <w:rFonts w:cstheme="minorHAnsi"/>
          <w:sz w:val="24"/>
          <w:szCs w:val="24"/>
        </w:rPr>
      </w:pPr>
    </w:p>
    <w:p w:rsidR="00C82B23" w:rsidRPr="005276BC" w:rsidRDefault="00C82B23" w:rsidP="006D095A">
      <w:pPr>
        <w:pStyle w:val="Prrafodelista"/>
        <w:numPr>
          <w:ilvl w:val="0"/>
          <w:numId w:val="1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Con base al s</w:t>
      </w:r>
      <w:r w:rsidR="006F64C1" w:rsidRPr="005276BC">
        <w:rPr>
          <w:rFonts w:cstheme="minorHAnsi"/>
          <w:sz w:val="24"/>
          <w:szCs w:val="24"/>
        </w:rPr>
        <w:t>egundo párrafo del Artículo 2</w:t>
      </w:r>
      <w:r w:rsidR="009F5BBC" w:rsidRPr="005276BC">
        <w:rPr>
          <w:rFonts w:cstheme="minorHAnsi"/>
          <w:sz w:val="24"/>
          <w:szCs w:val="24"/>
        </w:rPr>
        <w:t xml:space="preserve">: </w:t>
      </w:r>
      <w:r w:rsidR="006F64C1" w:rsidRPr="005276BC">
        <w:rPr>
          <w:rFonts w:cstheme="minorHAnsi"/>
          <w:sz w:val="24"/>
          <w:szCs w:val="24"/>
        </w:rPr>
        <w:t>“El Estado, al ejercer la rectoría en la materia, protegerá la seguridad y la soberanía de la Nación y garantizará la eficiente prestación de los servicios públicos de interés general de telecomunicaciones y radiodifusión</w:t>
      </w:r>
      <w:r w:rsidR="006B0C2C" w:rsidRPr="005276BC">
        <w:rPr>
          <w:rFonts w:cstheme="minorHAnsi"/>
          <w:sz w:val="24"/>
          <w:szCs w:val="24"/>
        </w:rPr>
        <w:t xml:space="preserve">…”; </w:t>
      </w:r>
      <w:r w:rsidRPr="005276BC">
        <w:rPr>
          <w:rFonts w:cstheme="minorHAnsi"/>
          <w:sz w:val="24"/>
          <w:szCs w:val="24"/>
        </w:rPr>
        <w:t>y al c</w:t>
      </w:r>
      <w:r w:rsidR="006F64C1" w:rsidRPr="005276BC">
        <w:rPr>
          <w:rFonts w:cstheme="minorHAnsi"/>
          <w:sz w:val="24"/>
          <w:szCs w:val="24"/>
        </w:rPr>
        <w:t>uarto párrafo del Artículo 7</w:t>
      </w:r>
      <w:r w:rsidR="009F5BBC" w:rsidRPr="005276BC">
        <w:rPr>
          <w:rFonts w:cstheme="minorHAnsi"/>
          <w:sz w:val="24"/>
          <w:szCs w:val="24"/>
        </w:rPr>
        <w:t xml:space="preserve">: </w:t>
      </w:r>
      <w:r w:rsidR="006F64C1" w:rsidRPr="005276BC">
        <w:rPr>
          <w:rFonts w:cstheme="minorHAnsi"/>
          <w:sz w:val="24"/>
          <w:szCs w:val="24"/>
        </w:rPr>
        <w:t>“El Instituto es la autoridad en materia de lineamientos técnicos relativos a la infraestructura y los equipos que se conecten a las redes de telecomunicaciones, así como en materia de homologación y evaluación de la conformidad de dicha infraestructura y equipos”.</w:t>
      </w:r>
    </w:p>
    <w:p w:rsidR="006B0C2C" w:rsidRPr="005276BC" w:rsidRDefault="00B77F83" w:rsidP="00B77F83">
      <w:pPr>
        <w:pStyle w:val="Prrafodelista"/>
        <w:spacing w:after="0"/>
        <w:ind w:left="567"/>
        <w:jc w:val="both"/>
        <w:rPr>
          <w:rFonts w:cstheme="minorHAnsi"/>
          <w:b/>
          <w:i/>
          <w:sz w:val="24"/>
          <w:szCs w:val="24"/>
        </w:rPr>
      </w:pPr>
      <w:r w:rsidRPr="005276BC">
        <w:rPr>
          <w:rFonts w:cstheme="minorHAnsi"/>
          <w:sz w:val="24"/>
          <w:szCs w:val="24"/>
        </w:rPr>
        <w:t>Se recomienda q</w:t>
      </w:r>
      <w:r w:rsidR="007B182A" w:rsidRPr="005276BC">
        <w:rPr>
          <w:rFonts w:cstheme="minorHAnsi"/>
          <w:sz w:val="24"/>
          <w:szCs w:val="24"/>
        </w:rPr>
        <w:t xml:space="preserve">ue el IFT </w:t>
      </w:r>
      <w:r w:rsidR="007847F0" w:rsidRPr="005276BC">
        <w:rPr>
          <w:rFonts w:cstheme="minorHAnsi"/>
          <w:sz w:val="24"/>
          <w:szCs w:val="24"/>
        </w:rPr>
        <w:t xml:space="preserve">analice </w:t>
      </w:r>
      <w:r w:rsidR="009D445A" w:rsidRPr="005276BC">
        <w:rPr>
          <w:rFonts w:cstheme="minorHAnsi"/>
          <w:sz w:val="24"/>
          <w:szCs w:val="24"/>
        </w:rPr>
        <w:t xml:space="preserve">y en su caso </w:t>
      </w:r>
      <w:r w:rsidR="00D133F5" w:rsidRPr="005276BC">
        <w:rPr>
          <w:rFonts w:cstheme="minorHAnsi"/>
          <w:sz w:val="24"/>
          <w:szCs w:val="24"/>
        </w:rPr>
        <w:t xml:space="preserve">emita </w:t>
      </w:r>
      <w:r w:rsidR="009D445A" w:rsidRPr="005276BC">
        <w:rPr>
          <w:rFonts w:cstheme="minorHAnsi"/>
          <w:sz w:val="24"/>
          <w:szCs w:val="24"/>
        </w:rPr>
        <w:t xml:space="preserve">lineamientos técnicos </w:t>
      </w:r>
      <w:r w:rsidR="00D133F5" w:rsidRPr="005276BC">
        <w:rPr>
          <w:rFonts w:cstheme="minorHAnsi"/>
          <w:sz w:val="24"/>
          <w:szCs w:val="24"/>
        </w:rPr>
        <w:t xml:space="preserve">indicando </w:t>
      </w:r>
      <w:r w:rsidR="005912AE" w:rsidRPr="005276BC">
        <w:rPr>
          <w:rFonts w:cstheme="minorHAnsi"/>
          <w:sz w:val="24"/>
          <w:szCs w:val="24"/>
        </w:rPr>
        <w:t>la seguridad</w:t>
      </w:r>
      <w:r w:rsidR="00C009FA" w:rsidRPr="005276BC">
        <w:rPr>
          <w:rFonts w:cstheme="minorHAnsi"/>
          <w:sz w:val="24"/>
          <w:szCs w:val="24"/>
        </w:rPr>
        <w:t xml:space="preserve"> </w:t>
      </w:r>
      <w:r w:rsidR="007B182A" w:rsidRPr="005276BC">
        <w:rPr>
          <w:rFonts w:cstheme="minorHAnsi"/>
          <w:sz w:val="24"/>
          <w:szCs w:val="24"/>
        </w:rPr>
        <w:t>que deb</w:t>
      </w:r>
      <w:r w:rsidR="00786706" w:rsidRPr="005276BC">
        <w:rPr>
          <w:rFonts w:cstheme="minorHAnsi"/>
          <w:sz w:val="24"/>
          <w:szCs w:val="24"/>
        </w:rPr>
        <w:t>iera cumplirse en</w:t>
      </w:r>
      <w:r w:rsidR="009D445A" w:rsidRPr="005276BC">
        <w:rPr>
          <w:rFonts w:cstheme="minorHAnsi"/>
          <w:sz w:val="24"/>
          <w:szCs w:val="24"/>
        </w:rPr>
        <w:t xml:space="preserve"> l</w:t>
      </w:r>
      <w:r w:rsidR="007847F0" w:rsidRPr="005276BC">
        <w:rPr>
          <w:rFonts w:cstheme="minorHAnsi"/>
          <w:sz w:val="24"/>
          <w:szCs w:val="24"/>
        </w:rPr>
        <w:t xml:space="preserve">a </w:t>
      </w:r>
      <w:r w:rsidR="00786706" w:rsidRPr="005276BC">
        <w:rPr>
          <w:rFonts w:cstheme="minorHAnsi"/>
          <w:sz w:val="24"/>
          <w:szCs w:val="24"/>
        </w:rPr>
        <w:t>pr</w:t>
      </w:r>
      <w:r w:rsidR="005B5D80" w:rsidRPr="005276BC">
        <w:rPr>
          <w:rFonts w:cstheme="minorHAnsi"/>
          <w:sz w:val="24"/>
          <w:szCs w:val="24"/>
        </w:rPr>
        <w:t xml:space="preserve">estación de </w:t>
      </w:r>
      <w:r w:rsidR="007847F0" w:rsidRPr="005276BC">
        <w:rPr>
          <w:rFonts w:cstheme="minorHAnsi"/>
          <w:sz w:val="24"/>
          <w:szCs w:val="24"/>
        </w:rPr>
        <w:t xml:space="preserve">los </w:t>
      </w:r>
      <w:r w:rsidR="005B5D80" w:rsidRPr="005276BC">
        <w:rPr>
          <w:rFonts w:cstheme="minorHAnsi"/>
          <w:sz w:val="24"/>
          <w:szCs w:val="24"/>
        </w:rPr>
        <w:t>servicios</w:t>
      </w:r>
      <w:r w:rsidR="007847F0" w:rsidRPr="005276BC">
        <w:rPr>
          <w:rFonts w:cstheme="minorHAnsi"/>
          <w:sz w:val="24"/>
          <w:szCs w:val="24"/>
        </w:rPr>
        <w:t xml:space="preserve"> públicos de telecomunicaciones y radiodifusión, </w:t>
      </w:r>
      <w:r w:rsidR="009D445A" w:rsidRPr="005276BC">
        <w:rPr>
          <w:rFonts w:cstheme="minorHAnsi"/>
          <w:sz w:val="24"/>
          <w:szCs w:val="24"/>
        </w:rPr>
        <w:t xml:space="preserve">así como en la </w:t>
      </w:r>
      <w:r w:rsidR="007847F0" w:rsidRPr="005276BC">
        <w:rPr>
          <w:rFonts w:cstheme="minorHAnsi"/>
          <w:sz w:val="24"/>
          <w:szCs w:val="24"/>
        </w:rPr>
        <w:t xml:space="preserve">homologación y evaluación </w:t>
      </w:r>
      <w:r w:rsidR="009D445A" w:rsidRPr="005276BC">
        <w:rPr>
          <w:rFonts w:cstheme="minorHAnsi"/>
          <w:sz w:val="24"/>
          <w:szCs w:val="24"/>
        </w:rPr>
        <w:t xml:space="preserve">de la </w:t>
      </w:r>
      <w:r w:rsidR="007847F0" w:rsidRPr="005276BC">
        <w:rPr>
          <w:rFonts w:cstheme="minorHAnsi"/>
          <w:sz w:val="24"/>
          <w:szCs w:val="24"/>
        </w:rPr>
        <w:t>infraestructura y equipos</w:t>
      </w:r>
      <w:r w:rsidR="00D133F5" w:rsidRPr="005276BC">
        <w:rPr>
          <w:rFonts w:cstheme="minorHAnsi"/>
          <w:sz w:val="24"/>
          <w:szCs w:val="24"/>
        </w:rPr>
        <w:t xml:space="preserve"> correspondientes</w:t>
      </w:r>
      <w:r w:rsidR="007847F0" w:rsidRPr="005276BC">
        <w:rPr>
          <w:rFonts w:cstheme="minorHAnsi"/>
          <w:sz w:val="24"/>
          <w:szCs w:val="24"/>
        </w:rPr>
        <w:t>.</w:t>
      </w:r>
    </w:p>
    <w:p w:rsidR="006F64C1" w:rsidRPr="005276BC" w:rsidRDefault="006F64C1" w:rsidP="00B94FF2">
      <w:pPr>
        <w:pStyle w:val="Prrafodelista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C82B23" w:rsidRPr="005276BC" w:rsidRDefault="00C82B23" w:rsidP="006D095A">
      <w:pPr>
        <w:pStyle w:val="Prrafodelista"/>
        <w:numPr>
          <w:ilvl w:val="0"/>
          <w:numId w:val="1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Derivado de la f</w:t>
      </w:r>
      <w:r w:rsidR="006F64C1" w:rsidRPr="005276BC">
        <w:rPr>
          <w:rFonts w:cstheme="minorHAnsi"/>
          <w:sz w:val="24"/>
          <w:szCs w:val="24"/>
        </w:rPr>
        <w:t>racción XIV del Artículo 9</w:t>
      </w:r>
      <w:r w:rsidRPr="005276BC">
        <w:rPr>
          <w:rFonts w:cstheme="minorHAnsi"/>
          <w:sz w:val="24"/>
          <w:szCs w:val="24"/>
        </w:rPr>
        <w:t>: “Proponer a la Secretaría de Relaciones Exteriores la posición del país y participar, con apoyo del Instituto, en la negociación de tratados y convenios internacionales en materia de telecomunicaciones y radiodifusión”; y de la fracción XXXIV del Artículo 15: “Colaborar con el Ejecutivo Federal en la negociación de tratados y convenios internacionales en materia de telecomunicaciones y radiodifusión y vigilar su observancia en el ámbito de sus atribuciones”.</w:t>
      </w:r>
    </w:p>
    <w:p w:rsidR="006F64C1" w:rsidRPr="005276BC" w:rsidRDefault="00B77F83" w:rsidP="004560F7">
      <w:pPr>
        <w:pStyle w:val="Prrafodelista"/>
        <w:spacing w:after="0"/>
        <w:ind w:left="567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Se recomienda que</w:t>
      </w:r>
      <w:r w:rsidR="006E472A" w:rsidRPr="005276BC">
        <w:rPr>
          <w:rFonts w:cstheme="minorHAnsi"/>
          <w:sz w:val="24"/>
          <w:szCs w:val="24"/>
        </w:rPr>
        <w:t xml:space="preserve"> el </w:t>
      </w:r>
      <w:r w:rsidR="006D095A" w:rsidRPr="005276BC">
        <w:rPr>
          <w:rFonts w:cstheme="minorHAnsi"/>
          <w:sz w:val="24"/>
          <w:szCs w:val="24"/>
        </w:rPr>
        <w:t xml:space="preserve">IFT proponga al Ejecutivo Federal, </w:t>
      </w:r>
      <w:r w:rsidR="001614ED" w:rsidRPr="005276BC">
        <w:rPr>
          <w:rFonts w:cstheme="minorHAnsi"/>
          <w:sz w:val="24"/>
          <w:szCs w:val="24"/>
        </w:rPr>
        <w:t xml:space="preserve">su apoyo y colaboración en materia de telecomunicaciones y radiodifusión, </w:t>
      </w:r>
      <w:r w:rsidR="006D095A" w:rsidRPr="005276BC">
        <w:rPr>
          <w:rFonts w:cstheme="minorHAnsi"/>
          <w:sz w:val="24"/>
          <w:szCs w:val="24"/>
        </w:rPr>
        <w:t>en las actividades que se están realizando</w:t>
      </w:r>
      <w:r w:rsidR="005F5980" w:rsidRPr="005276BC">
        <w:rPr>
          <w:rFonts w:cstheme="minorHAnsi"/>
          <w:sz w:val="24"/>
          <w:szCs w:val="24"/>
        </w:rPr>
        <w:t xml:space="preserve"> </w:t>
      </w:r>
      <w:r w:rsidR="006E472A" w:rsidRPr="005276BC">
        <w:rPr>
          <w:rFonts w:cstheme="minorHAnsi"/>
          <w:sz w:val="24"/>
          <w:szCs w:val="24"/>
        </w:rPr>
        <w:t>para que nues</w:t>
      </w:r>
      <w:r w:rsidR="00AC79B4" w:rsidRPr="005276BC">
        <w:rPr>
          <w:rFonts w:cstheme="minorHAnsi"/>
          <w:sz w:val="24"/>
          <w:szCs w:val="24"/>
        </w:rPr>
        <w:t>tro país se</w:t>
      </w:r>
      <w:r w:rsidR="006E472A" w:rsidRPr="005276BC">
        <w:rPr>
          <w:rFonts w:cstheme="minorHAnsi"/>
          <w:sz w:val="24"/>
          <w:szCs w:val="24"/>
        </w:rPr>
        <w:t xml:space="preserve"> adhiera al Convenio de Colaboraci</w:t>
      </w:r>
      <w:r w:rsidR="0024320A" w:rsidRPr="005276BC">
        <w:rPr>
          <w:rFonts w:cstheme="minorHAnsi"/>
          <w:sz w:val="24"/>
          <w:szCs w:val="24"/>
        </w:rPr>
        <w:t>ón Internacional en materia de c</w:t>
      </w:r>
      <w:r w:rsidR="006E472A" w:rsidRPr="005276BC">
        <w:rPr>
          <w:rFonts w:cstheme="minorHAnsi"/>
          <w:sz w:val="24"/>
          <w:szCs w:val="24"/>
        </w:rPr>
        <w:t>iberseguridad con</w:t>
      </w:r>
      <w:r w:rsidR="009C480B" w:rsidRPr="005276BC">
        <w:rPr>
          <w:rFonts w:cstheme="minorHAnsi"/>
          <w:sz w:val="24"/>
          <w:szCs w:val="24"/>
        </w:rPr>
        <w:t>ocido como Convenio de Budapest</w:t>
      </w:r>
      <w:r w:rsidR="00AC79B4" w:rsidRPr="005276BC">
        <w:rPr>
          <w:rFonts w:cstheme="minorHAnsi"/>
          <w:sz w:val="24"/>
          <w:szCs w:val="24"/>
        </w:rPr>
        <w:t xml:space="preserve">; </w:t>
      </w:r>
      <w:r w:rsidR="005F5980" w:rsidRPr="005276BC">
        <w:rPr>
          <w:rFonts w:cstheme="minorHAnsi"/>
          <w:sz w:val="24"/>
          <w:szCs w:val="24"/>
        </w:rPr>
        <w:t>en las correspondientes Comisiones de Estudio de la UIT que realizan trabajos sobre ciberseguridad</w:t>
      </w:r>
      <w:r w:rsidRPr="005276BC">
        <w:rPr>
          <w:rFonts w:cstheme="minorHAnsi"/>
          <w:sz w:val="24"/>
          <w:szCs w:val="24"/>
        </w:rPr>
        <w:t xml:space="preserve">, tales como </w:t>
      </w:r>
      <w:r w:rsidRPr="005276BC">
        <w:rPr>
          <w:rFonts w:cstheme="minorHAnsi"/>
          <w:sz w:val="24"/>
          <w:szCs w:val="24"/>
        </w:rPr>
        <w:lastRenderedPageBreak/>
        <w:t xml:space="preserve">los derivados de la </w:t>
      </w:r>
      <w:r w:rsidR="00491B1D" w:rsidRPr="005276BC">
        <w:rPr>
          <w:rFonts w:cstheme="minorHAnsi"/>
          <w:sz w:val="24"/>
          <w:szCs w:val="24"/>
        </w:rPr>
        <w:t>Resolución</w:t>
      </w:r>
      <w:r w:rsidRPr="005276BC">
        <w:rPr>
          <w:rFonts w:cstheme="minorHAnsi"/>
          <w:sz w:val="24"/>
          <w:szCs w:val="24"/>
        </w:rPr>
        <w:t xml:space="preserve"> 50 sobre ciberseguridad (AMNT-16-Resoluciòn 50)</w:t>
      </w:r>
      <w:r w:rsidR="005F5980" w:rsidRPr="005276BC">
        <w:rPr>
          <w:rFonts w:cstheme="minorHAnsi"/>
          <w:sz w:val="24"/>
          <w:szCs w:val="24"/>
        </w:rPr>
        <w:t xml:space="preserve">; </w:t>
      </w:r>
      <w:r w:rsidR="00AC79B4" w:rsidRPr="005276BC">
        <w:rPr>
          <w:rFonts w:cstheme="minorHAnsi"/>
          <w:sz w:val="24"/>
          <w:szCs w:val="24"/>
        </w:rPr>
        <w:t>así como a otros posibles acuerdos</w:t>
      </w:r>
      <w:r w:rsidR="001614ED" w:rsidRPr="005276BC">
        <w:rPr>
          <w:rFonts w:cstheme="minorHAnsi"/>
          <w:sz w:val="24"/>
          <w:szCs w:val="24"/>
        </w:rPr>
        <w:t xml:space="preserve"> o convenios in</w:t>
      </w:r>
      <w:r w:rsidR="005F5980" w:rsidRPr="005276BC">
        <w:rPr>
          <w:rFonts w:cstheme="minorHAnsi"/>
          <w:sz w:val="24"/>
          <w:szCs w:val="24"/>
        </w:rPr>
        <w:t xml:space="preserve">ternacionales de ciberseguridad, </w:t>
      </w:r>
    </w:p>
    <w:p w:rsidR="00B94FF2" w:rsidRPr="005276BC" w:rsidRDefault="00B94FF2" w:rsidP="00B94FF2">
      <w:pPr>
        <w:pStyle w:val="Prrafodelista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DB119E" w:rsidRPr="005276BC" w:rsidRDefault="004040BD" w:rsidP="001614ED">
      <w:pPr>
        <w:pStyle w:val="Prrafodelista"/>
        <w:numPr>
          <w:ilvl w:val="0"/>
          <w:numId w:val="1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Referente</w:t>
      </w:r>
      <w:r w:rsidR="00C82B23" w:rsidRPr="005276BC">
        <w:rPr>
          <w:rFonts w:cstheme="minorHAnsi"/>
          <w:sz w:val="24"/>
          <w:szCs w:val="24"/>
        </w:rPr>
        <w:t xml:space="preserve"> a la </w:t>
      </w:r>
      <w:r w:rsidR="00DB119E" w:rsidRPr="005276BC">
        <w:rPr>
          <w:rFonts w:cstheme="minorHAnsi"/>
          <w:sz w:val="24"/>
          <w:szCs w:val="24"/>
        </w:rPr>
        <w:t>fracción</w:t>
      </w:r>
      <w:r w:rsidR="009D445A" w:rsidRPr="005276BC">
        <w:rPr>
          <w:rFonts w:cstheme="minorHAnsi"/>
          <w:sz w:val="24"/>
          <w:szCs w:val="24"/>
        </w:rPr>
        <w:t xml:space="preserve"> XXXVIII del Artículo 15: “Establecer y operar laboratorios de pruebas o autorizar a terceros a que lo hagan, a fin de fortalecer la autoridad regulatoria técnica en materias de validación de los métodos de prueba de las normas y disposiciones técnicas, aplicación de lineamientos para la homologación de productos destinados a telecomunicaciones y radiodifusión, así como sustento a estudios e investigaciones de prospectiva regulatoria en estas materias y las demás que determine, en el ámbito de su competencia, de conformidad con la disponibilidad presupuestaria autorizada”; y a la fracción  </w:t>
      </w:r>
      <w:r w:rsidR="00DB119E" w:rsidRPr="005276BC">
        <w:rPr>
          <w:rFonts w:cstheme="minorHAnsi"/>
          <w:sz w:val="24"/>
          <w:szCs w:val="24"/>
        </w:rPr>
        <w:t xml:space="preserve"> XXXIX del </w:t>
      </w:r>
      <w:r w:rsidR="009D445A" w:rsidRPr="005276BC">
        <w:rPr>
          <w:rFonts w:cstheme="minorHAnsi"/>
          <w:sz w:val="24"/>
          <w:szCs w:val="24"/>
        </w:rPr>
        <w:t xml:space="preserve">mismo </w:t>
      </w:r>
      <w:r w:rsidR="00DB119E" w:rsidRPr="005276BC">
        <w:rPr>
          <w:rFonts w:cstheme="minorHAnsi"/>
          <w:sz w:val="24"/>
          <w:szCs w:val="24"/>
        </w:rPr>
        <w:t>Artículo 15: “Realizar estudios e investigaciones en materia de telecomunicaciones y radiodifusión, así como elaborar proyectos de actualización de las disposiciones legales y administrativas que resulten pertinentes”.</w:t>
      </w:r>
    </w:p>
    <w:p w:rsidR="009D445A" w:rsidRPr="005276BC" w:rsidRDefault="00B77F83" w:rsidP="00B77F83">
      <w:pPr>
        <w:pStyle w:val="Prrafodelista"/>
        <w:spacing w:after="0"/>
        <w:ind w:left="567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Se recomienda q</w:t>
      </w:r>
      <w:r w:rsidR="00920EAB" w:rsidRPr="005276BC">
        <w:rPr>
          <w:rFonts w:cstheme="minorHAnsi"/>
          <w:sz w:val="24"/>
          <w:szCs w:val="24"/>
        </w:rPr>
        <w:t xml:space="preserve">ue el IFT </w:t>
      </w:r>
      <w:r w:rsidR="009D445A" w:rsidRPr="005276BC">
        <w:rPr>
          <w:rFonts w:cstheme="minorHAnsi"/>
          <w:sz w:val="24"/>
          <w:szCs w:val="24"/>
        </w:rPr>
        <w:t>analice la posibilidad de establecer y operar laboratorios de pruebas, para llevar a cabo pruebas de vulnerabilidades a</w:t>
      </w:r>
      <w:r w:rsidR="00920EAB" w:rsidRPr="005276BC">
        <w:rPr>
          <w:rFonts w:cstheme="minorHAnsi"/>
          <w:sz w:val="24"/>
          <w:szCs w:val="24"/>
        </w:rPr>
        <w:t xml:space="preserve"> la infraestructura y equipos de las redes de </w:t>
      </w:r>
      <w:r w:rsidR="009D445A" w:rsidRPr="005276BC">
        <w:rPr>
          <w:rFonts w:cstheme="minorHAnsi"/>
          <w:sz w:val="24"/>
          <w:szCs w:val="24"/>
        </w:rPr>
        <w:t>telecomunicaciones</w:t>
      </w:r>
      <w:r w:rsidR="00920EAB" w:rsidRPr="005276BC">
        <w:rPr>
          <w:rFonts w:cstheme="minorHAnsi"/>
          <w:sz w:val="24"/>
          <w:szCs w:val="24"/>
        </w:rPr>
        <w:t xml:space="preserve"> y radiodifusión</w:t>
      </w:r>
      <w:r w:rsidR="00871BF9" w:rsidRPr="005276BC">
        <w:rPr>
          <w:rFonts w:cstheme="minorHAnsi"/>
          <w:sz w:val="24"/>
          <w:szCs w:val="24"/>
        </w:rPr>
        <w:t xml:space="preserve">. </w:t>
      </w:r>
      <w:r w:rsidR="00261659" w:rsidRPr="005276BC">
        <w:rPr>
          <w:rFonts w:cstheme="minorHAnsi"/>
          <w:sz w:val="24"/>
          <w:szCs w:val="24"/>
        </w:rPr>
        <w:t xml:space="preserve">También que el IFT </w:t>
      </w:r>
      <w:r w:rsidR="00871BF9" w:rsidRPr="005276BC">
        <w:rPr>
          <w:rFonts w:cstheme="minorHAnsi"/>
          <w:sz w:val="24"/>
          <w:szCs w:val="24"/>
        </w:rPr>
        <w:t>realice estudios e investigaciones que contribuyan a conocer en forma periódica el estado de la ciberseguridad en México, así como para propiciar desarrollos encaminados a generar capacidades propias en ciencia y tecnología para la ciberseguridad.</w:t>
      </w:r>
      <w:r w:rsidR="00261659" w:rsidRPr="005276BC">
        <w:rPr>
          <w:rFonts w:cstheme="minorHAnsi"/>
          <w:sz w:val="24"/>
          <w:szCs w:val="24"/>
        </w:rPr>
        <w:t xml:space="preserve"> Como parte de los estudios e investigaciones que realice el IFT, se analice la creación de un Centro de Respuesta a Incidentes de Seguridad en la infraestructura de tel</w:t>
      </w:r>
      <w:r w:rsidR="001614ED" w:rsidRPr="005276BC">
        <w:rPr>
          <w:rFonts w:cstheme="minorHAnsi"/>
          <w:sz w:val="24"/>
          <w:szCs w:val="24"/>
        </w:rPr>
        <w:t>ecomunicaciones y radiodifusión</w:t>
      </w:r>
      <w:r w:rsidRPr="005276BC">
        <w:rPr>
          <w:rFonts w:cstheme="minorHAnsi"/>
          <w:sz w:val="24"/>
          <w:szCs w:val="24"/>
        </w:rPr>
        <w:t>.</w:t>
      </w:r>
      <w:r w:rsidR="001614ED" w:rsidRPr="005276BC">
        <w:rPr>
          <w:rFonts w:cstheme="minorHAnsi"/>
          <w:sz w:val="24"/>
          <w:szCs w:val="24"/>
        </w:rPr>
        <w:t xml:space="preserve"> </w:t>
      </w:r>
    </w:p>
    <w:p w:rsidR="009D445A" w:rsidRPr="005276BC" w:rsidRDefault="009D445A" w:rsidP="00DC533B">
      <w:pPr>
        <w:pStyle w:val="Prrafodelista"/>
        <w:spacing w:after="0"/>
        <w:ind w:left="567"/>
        <w:jc w:val="both"/>
        <w:rPr>
          <w:rFonts w:cstheme="minorHAnsi"/>
          <w:sz w:val="24"/>
          <w:szCs w:val="24"/>
        </w:rPr>
      </w:pPr>
    </w:p>
    <w:p w:rsidR="00DB119E" w:rsidRPr="005276BC" w:rsidRDefault="004040BD" w:rsidP="00B77F83">
      <w:pPr>
        <w:pStyle w:val="Prrafodelista"/>
        <w:numPr>
          <w:ilvl w:val="0"/>
          <w:numId w:val="1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Por lo que respecta a</w:t>
      </w:r>
      <w:r w:rsidR="00DB119E" w:rsidRPr="005276BC">
        <w:rPr>
          <w:rFonts w:cstheme="minorHAnsi"/>
          <w:sz w:val="24"/>
          <w:szCs w:val="24"/>
        </w:rPr>
        <w:t xml:space="preserve">l cuarto párrafo del </w:t>
      </w:r>
      <w:r w:rsidR="00C82B23" w:rsidRPr="005276BC">
        <w:rPr>
          <w:rFonts w:cstheme="minorHAnsi"/>
          <w:sz w:val="24"/>
          <w:szCs w:val="24"/>
        </w:rPr>
        <w:t>Artículo 54</w:t>
      </w:r>
      <w:r w:rsidR="00DB119E" w:rsidRPr="005276BC">
        <w:rPr>
          <w:rFonts w:cstheme="minorHAnsi"/>
          <w:sz w:val="24"/>
          <w:szCs w:val="24"/>
        </w:rPr>
        <w:t>: “Al administrar el espectro, el Instituto perseguirá los siguientes objetivos generales en beneficio de los usuarios:</w:t>
      </w:r>
      <w:r w:rsidR="00AC79B4" w:rsidRPr="005276BC">
        <w:rPr>
          <w:rFonts w:cstheme="minorHAnsi"/>
          <w:sz w:val="24"/>
          <w:szCs w:val="24"/>
        </w:rPr>
        <w:t>”, f</w:t>
      </w:r>
      <w:r w:rsidR="00DB119E" w:rsidRPr="005276BC">
        <w:rPr>
          <w:rFonts w:cstheme="minorHAnsi"/>
          <w:sz w:val="24"/>
          <w:szCs w:val="24"/>
        </w:rPr>
        <w:t>racción I</w:t>
      </w:r>
      <w:r w:rsidR="00AC79B4" w:rsidRPr="005276BC">
        <w:rPr>
          <w:rFonts w:cstheme="minorHAnsi"/>
          <w:sz w:val="24"/>
          <w:szCs w:val="24"/>
        </w:rPr>
        <w:t xml:space="preserve">: </w:t>
      </w:r>
      <w:r w:rsidR="00DB119E" w:rsidRPr="005276BC">
        <w:rPr>
          <w:rFonts w:cstheme="minorHAnsi"/>
          <w:sz w:val="24"/>
          <w:szCs w:val="24"/>
        </w:rPr>
        <w:t>“La seguridad de la vida”.</w:t>
      </w:r>
    </w:p>
    <w:p w:rsidR="00C82B23" w:rsidRPr="005276BC" w:rsidRDefault="00B77F83" w:rsidP="00B77F83">
      <w:pPr>
        <w:pStyle w:val="Prrafodelista"/>
        <w:spacing w:after="0"/>
        <w:ind w:left="567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Se recomienda q</w:t>
      </w:r>
      <w:r w:rsidR="00237DAF" w:rsidRPr="005276BC">
        <w:rPr>
          <w:rFonts w:cstheme="minorHAnsi"/>
          <w:sz w:val="24"/>
          <w:szCs w:val="24"/>
        </w:rPr>
        <w:t xml:space="preserve">ue el IFT </w:t>
      </w:r>
      <w:r w:rsidR="00871BF9" w:rsidRPr="005276BC">
        <w:rPr>
          <w:rFonts w:cstheme="minorHAnsi"/>
          <w:sz w:val="24"/>
          <w:szCs w:val="24"/>
        </w:rPr>
        <w:t>analice y en su caso defina los requisitos y/o actividades</w:t>
      </w:r>
      <w:r w:rsidR="00514C57" w:rsidRPr="005276BC">
        <w:rPr>
          <w:rFonts w:cstheme="minorHAnsi"/>
          <w:sz w:val="24"/>
          <w:szCs w:val="24"/>
        </w:rPr>
        <w:t>,</w:t>
      </w:r>
      <w:r w:rsidR="00871BF9" w:rsidRPr="005276BC">
        <w:rPr>
          <w:rFonts w:cstheme="minorHAnsi"/>
          <w:sz w:val="24"/>
          <w:szCs w:val="24"/>
        </w:rPr>
        <w:t xml:space="preserve"> que deben cumplirse </w:t>
      </w:r>
      <w:r w:rsidR="00514C57" w:rsidRPr="005276BC">
        <w:rPr>
          <w:rFonts w:cstheme="minorHAnsi"/>
          <w:sz w:val="24"/>
          <w:szCs w:val="24"/>
        </w:rPr>
        <w:t xml:space="preserve">para lograr </w:t>
      </w:r>
      <w:r w:rsidR="004040BD" w:rsidRPr="005276BC">
        <w:rPr>
          <w:rFonts w:cstheme="minorHAnsi"/>
          <w:sz w:val="24"/>
          <w:szCs w:val="24"/>
        </w:rPr>
        <w:t>la seguridad de la vida en</w:t>
      </w:r>
      <w:r w:rsidR="00514C57" w:rsidRPr="005276BC">
        <w:rPr>
          <w:rFonts w:cstheme="minorHAnsi"/>
          <w:sz w:val="24"/>
          <w:szCs w:val="24"/>
        </w:rPr>
        <w:t xml:space="preserve"> la administración del espectro;</w:t>
      </w:r>
      <w:r w:rsidR="004040BD" w:rsidRPr="005276BC">
        <w:rPr>
          <w:rFonts w:cstheme="minorHAnsi"/>
          <w:sz w:val="24"/>
          <w:szCs w:val="24"/>
        </w:rPr>
        <w:t xml:space="preserve"> inclusive </w:t>
      </w:r>
      <w:r w:rsidR="00514C57" w:rsidRPr="005276BC">
        <w:rPr>
          <w:rFonts w:cstheme="minorHAnsi"/>
          <w:sz w:val="24"/>
          <w:szCs w:val="24"/>
        </w:rPr>
        <w:t xml:space="preserve">se considere la posibilidad de </w:t>
      </w:r>
      <w:r w:rsidR="004040BD" w:rsidRPr="005276BC">
        <w:rPr>
          <w:rFonts w:cstheme="minorHAnsi"/>
          <w:sz w:val="24"/>
          <w:szCs w:val="24"/>
        </w:rPr>
        <w:t>reali</w:t>
      </w:r>
      <w:r w:rsidR="00514C57" w:rsidRPr="005276BC">
        <w:rPr>
          <w:rFonts w:cstheme="minorHAnsi"/>
          <w:sz w:val="24"/>
          <w:szCs w:val="24"/>
        </w:rPr>
        <w:t xml:space="preserve">zar </w:t>
      </w:r>
      <w:r w:rsidR="004040BD" w:rsidRPr="005276BC">
        <w:rPr>
          <w:rFonts w:cstheme="minorHAnsi"/>
          <w:sz w:val="24"/>
          <w:szCs w:val="24"/>
        </w:rPr>
        <w:t xml:space="preserve">monitoreo </w:t>
      </w:r>
      <w:r w:rsidR="00514C57" w:rsidRPr="005276BC">
        <w:rPr>
          <w:rFonts w:cstheme="minorHAnsi"/>
          <w:sz w:val="24"/>
          <w:szCs w:val="24"/>
        </w:rPr>
        <w:t>qu</w:t>
      </w:r>
      <w:r w:rsidR="004040BD" w:rsidRPr="005276BC">
        <w:rPr>
          <w:rFonts w:cstheme="minorHAnsi"/>
          <w:sz w:val="24"/>
          <w:szCs w:val="24"/>
        </w:rPr>
        <w:t>e verifique el buen uso del espectro.</w:t>
      </w:r>
    </w:p>
    <w:p w:rsidR="006B0C2C" w:rsidRPr="005276BC" w:rsidRDefault="006B0C2C" w:rsidP="00037751">
      <w:pPr>
        <w:spacing w:after="0"/>
        <w:jc w:val="both"/>
        <w:rPr>
          <w:rFonts w:cstheme="minorHAnsi"/>
          <w:sz w:val="24"/>
          <w:szCs w:val="24"/>
        </w:rPr>
      </w:pPr>
    </w:p>
    <w:p w:rsidR="00491B1D" w:rsidRPr="005276BC" w:rsidRDefault="00491B1D" w:rsidP="00B77F83">
      <w:pPr>
        <w:pStyle w:val="Prrafodelista"/>
        <w:numPr>
          <w:ilvl w:val="0"/>
          <w:numId w:val="1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t>Se recomienda q</w:t>
      </w:r>
      <w:r w:rsidR="00037751" w:rsidRPr="005276BC">
        <w:rPr>
          <w:rFonts w:cstheme="minorHAnsi"/>
          <w:sz w:val="24"/>
          <w:szCs w:val="24"/>
        </w:rPr>
        <w:t>ue el IFT cuente con un área específica encargada del tema de ciberseguridad, a efecto de que realice los análisis, estudios, investigaciones, pruebas, proyectos y propuestas de política regulatoria en materia de cibe</w:t>
      </w:r>
      <w:r w:rsidR="00D56412" w:rsidRPr="005276BC">
        <w:rPr>
          <w:rFonts w:cstheme="minorHAnsi"/>
          <w:sz w:val="24"/>
          <w:szCs w:val="24"/>
        </w:rPr>
        <w:t>rseguridad</w:t>
      </w:r>
      <w:r w:rsidR="001D5244" w:rsidRPr="005276BC">
        <w:rPr>
          <w:rFonts w:cstheme="minorHAnsi"/>
          <w:sz w:val="24"/>
          <w:szCs w:val="24"/>
        </w:rPr>
        <w:t>.</w:t>
      </w:r>
    </w:p>
    <w:p w:rsidR="00491B1D" w:rsidRDefault="00491B1D" w:rsidP="00491B1D">
      <w:pPr>
        <w:pStyle w:val="Prrafodelista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5912AE" w:rsidRPr="005276BC" w:rsidRDefault="005912AE" w:rsidP="00491B1D">
      <w:pPr>
        <w:pStyle w:val="Prrafodelista"/>
        <w:spacing w:after="0"/>
        <w:ind w:left="284"/>
        <w:jc w:val="both"/>
        <w:rPr>
          <w:rFonts w:cstheme="minorHAnsi"/>
          <w:sz w:val="24"/>
          <w:szCs w:val="24"/>
        </w:rPr>
      </w:pPr>
    </w:p>
    <w:p w:rsidR="00EB0CBB" w:rsidRPr="005276BC" w:rsidRDefault="00EB0CBB" w:rsidP="00491B1D">
      <w:pPr>
        <w:pStyle w:val="Prrafodelista"/>
        <w:numPr>
          <w:ilvl w:val="0"/>
          <w:numId w:val="1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sz w:val="24"/>
          <w:szCs w:val="24"/>
        </w:rPr>
        <w:lastRenderedPageBreak/>
        <w:t xml:space="preserve">Derivado de propuestas por parte de </w:t>
      </w:r>
      <w:r w:rsidR="001D5244" w:rsidRPr="005276BC">
        <w:rPr>
          <w:rFonts w:cstheme="minorHAnsi"/>
          <w:sz w:val="24"/>
          <w:szCs w:val="24"/>
        </w:rPr>
        <w:t xml:space="preserve">diversas </w:t>
      </w:r>
      <w:r w:rsidRPr="005276BC">
        <w:rPr>
          <w:rFonts w:cstheme="minorHAnsi"/>
          <w:sz w:val="24"/>
          <w:szCs w:val="24"/>
        </w:rPr>
        <w:t>organizaciones y especialistas</w:t>
      </w:r>
      <w:r w:rsidR="001D5244" w:rsidRPr="005276BC">
        <w:rPr>
          <w:rFonts w:cstheme="minorHAnsi"/>
          <w:sz w:val="24"/>
          <w:szCs w:val="24"/>
        </w:rPr>
        <w:t xml:space="preserve">, podría </w:t>
      </w:r>
      <w:r w:rsidRPr="005276BC">
        <w:rPr>
          <w:rFonts w:cstheme="minorHAnsi"/>
          <w:sz w:val="24"/>
          <w:szCs w:val="24"/>
        </w:rPr>
        <w:t>crearse una Agencia Nacional de Ciberseguridad</w:t>
      </w:r>
      <w:r w:rsidR="001D5244" w:rsidRPr="005276BC">
        <w:rPr>
          <w:rFonts w:cstheme="minorHAnsi"/>
          <w:sz w:val="24"/>
          <w:szCs w:val="24"/>
        </w:rPr>
        <w:t xml:space="preserve"> en nuestro país; por lo que en caso de que se constituya dicha Agencia o similar, se recomienda que </w:t>
      </w:r>
      <w:r w:rsidRPr="005276BC">
        <w:rPr>
          <w:rFonts w:cstheme="minorHAnsi"/>
          <w:sz w:val="24"/>
          <w:szCs w:val="24"/>
        </w:rPr>
        <w:t xml:space="preserve">el IFT </w:t>
      </w:r>
      <w:r w:rsidR="00B77F83" w:rsidRPr="005276BC">
        <w:rPr>
          <w:rFonts w:cstheme="minorHAnsi"/>
          <w:sz w:val="24"/>
          <w:szCs w:val="24"/>
        </w:rPr>
        <w:t xml:space="preserve">proponga al Ejecutivo Federal su apoyo y colaboración en materia de telecomunicaciones y radiodifusión </w:t>
      </w:r>
      <w:r w:rsidRPr="005276BC">
        <w:rPr>
          <w:rFonts w:cstheme="minorHAnsi"/>
          <w:sz w:val="24"/>
          <w:szCs w:val="24"/>
        </w:rPr>
        <w:t xml:space="preserve">en las actividades </w:t>
      </w:r>
      <w:r w:rsidR="00261659" w:rsidRPr="005276BC">
        <w:rPr>
          <w:rFonts w:cstheme="minorHAnsi"/>
          <w:sz w:val="24"/>
          <w:szCs w:val="24"/>
        </w:rPr>
        <w:t>que se realicen en la citada</w:t>
      </w:r>
      <w:r w:rsidR="001D5244" w:rsidRPr="005276BC">
        <w:rPr>
          <w:rFonts w:cstheme="minorHAnsi"/>
          <w:sz w:val="24"/>
          <w:szCs w:val="24"/>
        </w:rPr>
        <w:t xml:space="preserve"> </w:t>
      </w:r>
      <w:r w:rsidRPr="005276BC">
        <w:rPr>
          <w:rFonts w:cstheme="minorHAnsi"/>
          <w:sz w:val="24"/>
          <w:szCs w:val="24"/>
        </w:rPr>
        <w:t xml:space="preserve">Agencia. </w:t>
      </w:r>
    </w:p>
    <w:p w:rsidR="00261659" w:rsidRPr="005276BC" w:rsidRDefault="00261659" w:rsidP="00B94FF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94FF2" w:rsidRPr="005276BC" w:rsidRDefault="00B94FF2" w:rsidP="00B94FF2">
      <w:pPr>
        <w:spacing w:after="0"/>
        <w:jc w:val="both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Conclusiones.</w:t>
      </w:r>
    </w:p>
    <w:p w:rsidR="00D828C2" w:rsidRPr="005276BC" w:rsidRDefault="00D828C2" w:rsidP="00B94FF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828C2" w:rsidRPr="005276BC" w:rsidRDefault="00D828C2" w:rsidP="00D828C2">
      <w:pPr>
        <w:spacing w:after="0"/>
        <w:jc w:val="both"/>
        <w:rPr>
          <w:rFonts w:cstheme="minorHAnsi"/>
          <w:sz w:val="24"/>
          <w:szCs w:val="24"/>
        </w:rPr>
      </w:pPr>
      <w:r w:rsidRPr="005276BC">
        <w:rPr>
          <w:rFonts w:cstheme="minorHAnsi"/>
          <w:color w:val="000000" w:themeColor="text1"/>
          <w:sz w:val="24"/>
          <w:szCs w:val="24"/>
        </w:rPr>
        <w:t>Es mu</w:t>
      </w:r>
      <w:r w:rsidR="00FC488F" w:rsidRPr="005276BC">
        <w:rPr>
          <w:rFonts w:cstheme="minorHAnsi"/>
          <w:color w:val="000000" w:themeColor="text1"/>
          <w:sz w:val="24"/>
          <w:szCs w:val="24"/>
        </w:rPr>
        <w:t>y complejo contener los riesgos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en el ciberespacio, porque </w:t>
      </w:r>
      <w:r w:rsidRPr="005276BC">
        <w:rPr>
          <w:rFonts w:cstheme="minorHAnsi"/>
          <w:sz w:val="24"/>
          <w:szCs w:val="24"/>
        </w:rPr>
        <w:t xml:space="preserve">en gran medida son </w:t>
      </w:r>
      <w:r w:rsidR="005912AE" w:rsidRPr="005276BC">
        <w:rPr>
          <w:rFonts w:cstheme="minorHAnsi"/>
          <w:sz w:val="24"/>
          <w:szCs w:val="24"/>
        </w:rPr>
        <w:t>impredecibles, constantemente</w:t>
      </w:r>
      <w:r w:rsidRPr="005276BC">
        <w:rPr>
          <w:rFonts w:cstheme="minorHAnsi"/>
          <w:color w:val="000000" w:themeColor="text1"/>
          <w:sz w:val="24"/>
          <w:szCs w:val="24"/>
        </w:rPr>
        <w:t xml:space="preserve"> cambian, evolucionan, cada vez son más potentes</w:t>
      </w:r>
      <w:r w:rsidRPr="005276BC">
        <w:rPr>
          <w:rFonts w:cstheme="minorHAnsi"/>
          <w:sz w:val="24"/>
          <w:szCs w:val="24"/>
        </w:rPr>
        <w:t>, son de carácter transnacional y aprovechan l</w:t>
      </w:r>
      <w:r w:rsidR="0053318E" w:rsidRPr="005276BC">
        <w:rPr>
          <w:rFonts w:cstheme="minorHAnsi"/>
          <w:sz w:val="24"/>
          <w:szCs w:val="24"/>
        </w:rPr>
        <w:t>os canales de la globalización</w:t>
      </w:r>
      <w:r w:rsidR="00491B1D" w:rsidRPr="005276BC">
        <w:rPr>
          <w:rFonts w:cstheme="minorHAnsi"/>
          <w:sz w:val="24"/>
          <w:szCs w:val="24"/>
        </w:rPr>
        <w:t xml:space="preserve">. En virtud de que las telecomunicaciones y radiodifusión forman parte del ciberespacio, es indispensable que sus infraestructuras, equipos y servicios cuenten con ciberseguridad; por lo que es conveniente que el IFT conforme a sus atribuciones, tenga una mayor participación en las actividades que realizan para lograr la ciberseguridad en nuestro país y a nivel internacional. </w:t>
      </w:r>
    </w:p>
    <w:p w:rsidR="00D828C2" w:rsidRPr="005276BC" w:rsidRDefault="00D828C2" w:rsidP="00B94FF2">
      <w:pPr>
        <w:spacing w:after="0"/>
        <w:jc w:val="both"/>
        <w:rPr>
          <w:rFonts w:cstheme="minorHAnsi"/>
          <w:sz w:val="24"/>
          <w:szCs w:val="24"/>
        </w:rPr>
      </w:pPr>
    </w:p>
    <w:p w:rsidR="00753068" w:rsidRDefault="005A3200" w:rsidP="00B94FF2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5276BC">
        <w:rPr>
          <w:rFonts w:cstheme="minorHAnsi"/>
          <w:b/>
          <w:i/>
          <w:sz w:val="24"/>
          <w:szCs w:val="24"/>
        </w:rPr>
        <w:t>“</w:t>
      </w:r>
      <w:r w:rsidR="0053318E" w:rsidRPr="005276BC">
        <w:rPr>
          <w:rFonts w:cstheme="minorHAnsi"/>
          <w:b/>
          <w:i/>
          <w:sz w:val="24"/>
          <w:szCs w:val="24"/>
        </w:rPr>
        <w:t xml:space="preserve">La seguridad es indispensable </w:t>
      </w:r>
      <w:r w:rsidR="00DB5BAF" w:rsidRPr="005276BC">
        <w:rPr>
          <w:rFonts w:cstheme="minorHAnsi"/>
          <w:b/>
          <w:i/>
          <w:sz w:val="24"/>
          <w:szCs w:val="24"/>
        </w:rPr>
        <w:t xml:space="preserve">en </w:t>
      </w:r>
      <w:r w:rsidRPr="005276BC">
        <w:rPr>
          <w:rFonts w:cstheme="minorHAnsi"/>
          <w:b/>
          <w:i/>
          <w:sz w:val="24"/>
          <w:szCs w:val="24"/>
        </w:rPr>
        <w:t xml:space="preserve">el mundo </w:t>
      </w:r>
      <w:r w:rsidR="00491B1D" w:rsidRPr="005276BC">
        <w:rPr>
          <w:rFonts w:cstheme="minorHAnsi"/>
          <w:b/>
          <w:i/>
          <w:sz w:val="24"/>
          <w:szCs w:val="24"/>
        </w:rPr>
        <w:t xml:space="preserve">real </w:t>
      </w:r>
      <w:r w:rsidR="004436EE" w:rsidRPr="005276BC">
        <w:rPr>
          <w:rFonts w:cstheme="minorHAnsi"/>
          <w:b/>
          <w:i/>
          <w:sz w:val="24"/>
          <w:szCs w:val="24"/>
        </w:rPr>
        <w:t xml:space="preserve">y </w:t>
      </w:r>
      <w:r w:rsidRPr="005276BC">
        <w:rPr>
          <w:rFonts w:cstheme="minorHAnsi"/>
          <w:b/>
          <w:i/>
          <w:sz w:val="24"/>
          <w:szCs w:val="24"/>
        </w:rPr>
        <w:t xml:space="preserve">en el mundo </w:t>
      </w:r>
      <w:r w:rsidR="00491B1D" w:rsidRPr="005276BC">
        <w:rPr>
          <w:rFonts w:cstheme="minorHAnsi"/>
          <w:b/>
          <w:i/>
          <w:sz w:val="24"/>
          <w:szCs w:val="24"/>
        </w:rPr>
        <w:t>virtual</w:t>
      </w:r>
      <w:r w:rsidR="00D828C2" w:rsidRPr="005276BC">
        <w:rPr>
          <w:rFonts w:cstheme="minorHAnsi"/>
          <w:b/>
          <w:i/>
          <w:sz w:val="24"/>
          <w:szCs w:val="24"/>
        </w:rPr>
        <w:t>. P</w:t>
      </w:r>
      <w:r w:rsidR="00753068" w:rsidRPr="005276BC">
        <w:rPr>
          <w:rFonts w:cstheme="minorHAnsi"/>
          <w:b/>
          <w:i/>
          <w:sz w:val="24"/>
          <w:szCs w:val="24"/>
        </w:rPr>
        <w:t>or un México Ciberseguro”.</w:t>
      </w:r>
    </w:p>
    <w:p w:rsidR="005276BC" w:rsidRDefault="005276BC" w:rsidP="00B94FF2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5276BC" w:rsidRDefault="005276BC" w:rsidP="00B94FF2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5912AE" w:rsidRDefault="005912AE" w:rsidP="005276B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912AE" w:rsidRDefault="005912AE" w:rsidP="005276BC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912AE" w:rsidRDefault="005912AE" w:rsidP="005276B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276BC" w:rsidRP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Dr. Ernesto M. Flores-Roux</w:t>
      </w:r>
    </w:p>
    <w:p w:rsidR="005276BC" w:rsidRP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Presidente</w:t>
      </w:r>
    </w:p>
    <w:p w:rsidR="005276BC" w:rsidRP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276BC" w:rsidRP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912AE" w:rsidRPr="005276BC" w:rsidRDefault="005912AE" w:rsidP="005276B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276BC" w:rsidRP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Lic. Juan José Crispín Borbolla</w:t>
      </w:r>
    </w:p>
    <w:p w:rsidR="005276BC" w:rsidRP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  <w:r w:rsidRPr="005276BC">
        <w:rPr>
          <w:rFonts w:cstheme="minorHAnsi"/>
          <w:b/>
          <w:sz w:val="24"/>
          <w:szCs w:val="24"/>
        </w:rPr>
        <w:t>Secretario</w:t>
      </w:r>
    </w:p>
    <w:p w:rsidR="005276BC" w:rsidRPr="005276BC" w:rsidRDefault="005276BC" w:rsidP="005276B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276BC" w:rsidRPr="005276BC" w:rsidRDefault="005276BC" w:rsidP="005276BC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5276BC" w:rsidRPr="005276BC" w:rsidRDefault="005276BC" w:rsidP="005276BC">
      <w:pPr>
        <w:spacing w:after="0"/>
        <w:jc w:val="both"/>
        <w:rPr>
          <w:rFonts w:cstheme="minorHAnsi"/>
          <w:sz w:val="18"/>
          <w:szCs w:val="18"/>
        </w:rPr>
      </w:pPr>
      <w:r w:rsidRPr="005276BC">
        <w:rPr>
          <w:rFonts w:cstheme="minorHAnsi"/>
          <w:sz w:val="18"/>
          <w:szCs w:val="18"/>
        </w:rPr>
        <w:t xml:space="preserve">La Recomendación fue aprobada por el III Consejo Consultivo del Instituto Federal de Telecomunicaciones por unanimidad de votos de los Consejeros presentes: </w:t>
      </w:r>
      <w:r w:rsidR="005912AE" w:rsidRPr="005912AE">
        <w:rPr>
          <w:rFonts w:cstheme="minorHAnsi"/>
          <w:sz w:val="18"/>
          <w:szCs w:val="18"/>
        </w:rPr>
        <w:t>Rodolfo De la Rosa Rábago, Ernesto M. Flores-Roux, Gerardo Francisco González Abarca, Santiago Gutiérrez Fernández, Erik Huesca Morales, Salma Leticia Jalife Villalón, Federico Kuhlmann Rodríguez, Luis Miguel Martínez Cervantes, Alejandro Ulises Mendoza Pérez, Jorge Fernando Negrete Pacheco y Paola Ricaurte Quijano</w:t>
      </w:r>
      <w:r w:rsidR="005912AE">
        <w:rPr>
          <w:rFonts w:cstheme="minorHAnsi"/>
          <w:sz w:val="18"/>
          <w:szCs w:val="18"/>
        </w:rPr>
        <w:t>, en su V</w:t>
      </w:r>
      <w:r w:rsidRPr="005276BC">
        <w:rPr>
          <w:rFonts w:cstheme="minorHAnsi"/>
          <w:sz w:val="18"/>
          <w:szCs w:val="18"/>
        </w:rPr>
        <w:t xml:space="preserve"> Sesión Ordinaria celebrada el </w:t>
      </w:r>
      <w:r w:rsidR="005912AE">
        <w:rPr>
          <w:rFonts w:cstheme="minorHAnsi"/>
          <w:sz w:val="18"/>
          <w:szCs w:val="18"/>
        </w:rPr>
        <w:t>31 de mayo</w:t>
      </w:r>
      <w:r w:rsidRPr="005276BC">
        <w:rPr>
          <w:rFonts w:cstheme="minorHAnsi"/>
          <w:sz w:val="18"/>
          <w:szCs w:val="18"/>
        </w:rPr>
        <w:t xml:space="preserve"> de 2018, mediante Acuerdo </w:t>
      </w:r>
      <w:r w:rsidR="005912AE" w:rsidRPr="005912AE">
        <w:rPr>
          <w:rFonts w:cstheme="minorHAnsi"/>
          <w:sz w:val="18"/>
          <w:szCs w:val="18"/>
        </w:rPr>
        <w:t>CC/IFT/310518/8</w:t>
      </w:r>
      <w:r w:rsidRPr="005276BC">
        <w:rPr>
          <w:rFonts w:cstheme="minorHAnsi"/>
          <w:sz w:val="18"/>
          <w:szCs w:val="18"/>
        </w:rPr>
        <w:t>.</w:t>
      </w:r>
    </w:p>
    <w:sectPr w:rsidR="005276BC" w:rsidRPr="005276BC" w:rsidSect="005276BC">
      <w:headerReference w:type="default" r:id="rId13"/>
      <w:footerReference w:type="default" r:id="rId14"/>
      <w:pgSz w:w="12240" w:h="15840"/>
      <w:pgMar w:top="2127" w:right="14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11" w:rsidRDefault="00465E11" w:rsidP="00680FE4">
      <w:pPr>
        <w:spacing w:after="0" w:line="240" w:lineRule="auto"/>
      </w:pPr>
      <w:r>
        <w:separator/>
      </w:r>
    </w:p>
  </w:endnote>
  <w:endnote w:type="continuationSeparator" w:id="0">
    <w:p w:rsidR="00465E11" w:rsidRDefault="00465E11" w:rsidP="0068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24251891"/>
      <w:docPartObj>
        <w:docPartGallery w:val="Page Numbers (Bottom of Page)"/>
        <w:docPartUnique/>
      </w:docPartObj>
    </w:sdtPr>
    <w:sdtEndPr/>
    <w:sdtContent>
      <w:p w:rsidR="005912AE" w:rsidRPr="005912AE" w:rsidRDefault="005912AE">
        <w:pPr>
          <w:pStyle w:val="Piedepgina"/>
          <w:jc w:val="right"/>
          <w:rPr>
            <w:sz w:val="16"/>
            <w:szCs w:val="16"/>
          </w:rPr>
        </w:pPr>
        <w:r w:rsidRPr="005912AE">
          <w:rPr>
            <w:sz w:val="16"/>
            <w:szCs w:val="16"/>
          </w:rPr>
          <w:fldChar w:fldCharType="begin"/>
        </w:r>
        <w:r w:rsidRPr="005912AE">
          <w:rPr>
            <w:sz w:val="16"/>
            <w:szCs w:val="16"/>
          </w:rPr>
          <w:instrText>PAGE   \* MERGEFORMAT</w:instrText>
        </w:r>
        <w:r w:rsidRPr="005912AE">
          <w:rPr>
            <w:sz w:val="16"/>
            <w:szCs w:val="16"/>
          </w:rPr>
          <w:fldChar w:fldCharType="separate"/>
        </w:r>
        <w:r w:rsidR="00FE4584" w:rsidRPr="00FE4584">
          <w:rPr>
            <w:noProof/>
            <w:sz w:val="16"/>
            <w:szCs w:val="16"/>
            <w:lang w:val="es-ES"/>
          </w:rPr>
          <w:t>7</w:t>
        </w:r>
        <w:r w:rsidRPr="005912AE">
          <w:rPr>
            <w:sz w:val="16"/>
            <w:szCs w:val="16"/>
          </w:rPr>
          <w:fldChar w:fldCharType="end"/>
        </w:r>
      </w:p>
    </w:sdtContent>
  </w:sdt>
  <w:p w:rsidR="005912AE" w:rsidRDefault="00591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11" w:rsidRDefault="00465E11" w:rsidP="00680FE4">
      <w:pPr>
        <w:spacing w:after="0" w:line="240" w:lineRule="auto"/>
      </w:pPr>
      <w:r>
        <w:separator/>
      </w:r>
    </w:p>
  </w:footnote>
  <w:footnote w:type="continuationSeparator" w:id="0">
    <w:p w:rsidR="00465E11" w:rsidRDefault="00465E11" w:rsidP="0068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BC" w:rsidRDefault="005276BC">
    <w:pPr>
      <w:pStyle w:val="Encabezado"/>
    </w:pPr>
    <w:r w:rsidRPr="001454A2">
      <w:rPr>
        <w:noProof/>
      </w:rPr>
      <w:drawing>
        <wp:inline distT="0" distB="0" distL="0" distR="0" wp14:anchorId="46E14300" wp14:editId="4AD42766">
          <wp:extent cx="3962400" cy="704850"/>
          <wp:effectExtent l="0" t="0" r="0" b="0"/>
          <wp:docPr id="11" name="Imagen 11" descr="Logotipo Consejo Consultivo&#10;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B7A"/>
    <w:multiLevelType w:val="hybridMultilevel"/>
    <w:tmpl w:val="D738352C"/>
    <w:lvl w:ilvl="0" w:tplc="3FD8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C6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8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C6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8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A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04235"/>
    <w:multiLevelType w:val="hybridMultilevel"/>
    <w:tmpl w:val="BF604F26"/>
    <w:lvl w:ilvl="0" w:tplc="95A0C0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92857"/>
    <w:multiLevelType w:val="hybridMultilevel"/>
    <w:tmpl w:val="A6BE50B2"/>
    <w:lvl w:ilvl="0" w:tplc="2DB4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0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E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6B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A6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03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4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2C37C5"/>
    <w:multiLevelType w:val="hybridMultilevel"/>
    <w:tmpl w:val="70A6F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13A"/>
    <w:multiLevelType w:val="hybridMultilevel"/>
    <w:tmpl w:val="195AFEFE"/>
    <w:lvl w:ilvl="0" w:tplc="F8D0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27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45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4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E7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44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4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A522D1"/>
    <w:multiLevelType w:val="hybridMultilevel"/>
    <w:tmpl w:val="A8DA51F4"/>
    <w:lvl w:ilvl="0" w:tplc="080A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1FAA032C"/>
    <w:multiLevelType w:val="hybridMultilevel"/>
    <w:tmpl w:val="BF604F26"/>
    <w:lvl w:ilvl="0" w:tplc="95A0C0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D1876"/>
    <w:multiLevelType w:val="hybridMultilevel"/>
    <w:tmpl w:val="1C6A67CA"/>
    <w:lvl w:ilvl="0" w:tplc="43B4C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24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8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4C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0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6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8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D64C43"/>
    <w:multiLevelType w:val="hybridMultilevel"/>
    <w:tmpl w:val="F212260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A25828"/>
    <w:multiLevelType w:val="hybridMultilevel"/>
    <w:tmpl w:val="8606F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06EF7"/>
    <w:multiLevelType w:val="hybridMultilevel"/>
    <w:tmpl w:val="B81ED6A6"/>
    <w:lvl w:ilvl="0" w:tplc="58566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0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06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67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46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9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E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A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C6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33117"/>
    <w:multiLevelType w:val="hybridMultilevel"/>
    <w:tmpl w:val="D876B94E"/>
    <w:lvl w:ilvl="0" w:tplc="9D64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0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AC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A7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C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6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E3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2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231531"/>
    <w:multiLevelType w:val="hybridMultilevel"/>
    <w:tmpl w:val="4D669AD2"/>
    <w:lvl w:ilvl="0" w:tplc="F90A8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C3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AB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E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EA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D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8D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E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2B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FA3ED5"/>
    <w:multiLevelType w:val="hybridMultilevel"/>
    <w:tmpl w:val="6E449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1611E"/>
    <w:multiLevelType w:val="hybridMultilevel"/>
    <w:tmpl w:val="083ADE7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554684"/>
    <w:multiLevelType w:val="hybridMultilevel"/>
    <w:tmpl w:val="F11E9210"/>
    <w:lvl w:ilvl="0" w:tplc="FCD86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84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AE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4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A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87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223940"/>
    <w:multiLevelType w:val="hybridMultilevel"/>
    <w:tmpl w:val="C3F05C2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DB6B76"/>
    <w:multiLevelType w:val="hybridMultilevel"/>
    <w:tmpl w:val="E8B60A50"/>
    <w:lvl w:ilvl="0" w:tplc="080A0015">
      <w:start w:val="1"/>
      <w:numFmt w:val="upperLetter"/>
      <w:lvlText w:val="%1."/>
      <w:lvlJc w:val="left"/>
      <w:pPr>
        <w:ind w:left="152" w:hanging="360"/>
      </w:pPr>
    </w:lvl>
    <w:lvl w:ilvl="1" w:tplc="080A0019" w:tentative="1">
      <w:start w:val="1"/>
      <w:numFmt w:val="lowerLetter"/>
      <w:lvlText w:val="%2."/>
      <w:lvlJc w:val="left"/>
      <w:pPr>
        <w:ind w:left="872" w:hanging="360"/>
      </w:pPr>
    </w:lvl>
    <w:lvl w:ilvl="2" w:tplc="080A001B" w:tentative="1">
      <w:start w:val="1"/>
      <w:numFmt w:val="lowerRoman"/>
      <w:lvlText w:val="%3."/>
      <w:lvlJc w:val="right"/>
      <w:pPr>
        <w:ind w:left="1592" w:hanging="180"/>
      </w:pPr>
    </w:lvl>
    <w:lvl w:ilvl="3" w:tplc="080A000F" w:tentative="1">
      <w:start w:val="1"/>
      <w:numFmt w:val="decimal"/>
      <w:lvlText w:val="%4."/>
      <w:lvlJc w:val="left"/>
      <w:pPr>
        <w:ind w:left="2312" w:hanging="360"/>
      </w:pPr>
    </w:lvl>
    <w:lvl w:ilvl="4" w:tplc="080A0019" w:tentative="1">
      <w:start w:val="1"/>
      <w:numFmt w:val="lowerLetter"/>
      <w:lvlText w:val="%5."/>
      <w:lvlJc w:val="left"/>
      <w:pPr>
        <w:ind w:left="3032" w:hanging="360"/>
      </w:pPr>
    </w:lvl>
    <w:lvl w:ilvl="5" w:tplc="080A001B" w:tentative="1">
      <w:start w:val="1"/>
      <w:numFmt w:val="lowerRoman"/>
      <w:lvlText w:val="%6."/>
      <w:lvlJc w:val="right"/>
      <w:pPr>
        <w:ind w:left="3752" w:hanging="180"/>
      </w:pPr>
    </w:lvl>
    <w:lvl w:ilvl="6" w:tplc="080A000F" w:tentative="1">
      <w:start w:val="1"/>
      <w:numFmt w:val="decimal"/>
      <w:lvlText w:val="%7."/>
      <w:lvlJc w:val="left"/>
      <w:pPr>
        <w:ind w:left="4472" w:hanging="360"/>
      </w:pPr>
    </w:lvl>
    <w:lvl w:ilvl="7" w:tplc="080A0019" w:tentative="1">
      <w:start w:val="1"/>
      <w:numFmt w:val="lowerLetter"/>
      <w:lvlText w:val="%8."/>
      <w:lvlJc w:val="left"/>
      <w:pPr>
        <w:ind w:left="5192" w:hanging="360"/>
      </w:pPr>
    </w:lvl>
    <w:lvl w:ilvl="8" w:tplc="08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8" w15:restartNumberingAfterBreak="0">
    <w:nsid w:val="64D632E3"/>
    <w:multiLevelType w:val="hybridMultilevel"/>
    <w:tmpl w:val="52144EB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463FE"/>
    <w:multiLevelType w:val="hybridMultilevel"/>
    <w:tmpl w:val="93AA4CA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3375833"/>
    <w:multiLevelType w:val="hybridMultilevel"/>
    <w:tmpl w:val="D6BEF8DC"/>
    <w:lvl w:ilvl="0" w:tplc="928C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CC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6C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D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8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0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64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650CF3"/>
    <w:multiLevelType w:val="hybridMultilevel"/>
    <w:tmpl w:val="CFEAFC5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CFD5693"/>
    <w:multiLevelType w:val="hybridMultilevel"/>
    <w:tmpl w:val="58BE0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21"/>
  </w:num>
  <w:num w:numId="8">
    <w:abstractNumId w:val="13"/>
  </w:num>
  <w:num w:numId="9">
    <w:abstractNumId w:val="10"/>
  </w:num>
  <w:num w:numId="10">
    <w:abstractNumId w:val="12"/>
  </w:num>
  <w:num w:numId="11">
    <w:abstractNumId w:val="20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3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C7"/>
    <w:rsid w:val="0000039F"/>
    <w:rsid w:val="000064CC"/>
    <w:rsid w:val="00010376"/>
    <w:rsid w:val="000136CA"/>
    <w:rsid w:val="00014D8A"/>
    <w:rsid w:val="00016452"/>
    <w:rsid w:val="000226CB"/>
    <w:rsid w:val="00023B8A"/>
    <w:rsid w:val="000272E8"/>
    <w:rsid w:val="00037751"/>
    <w:rsid w:val="0004401C"/>
    <w:rsid w:val="00045720"/>
    <w:rsid w:val="0004604B"/>
    <w:rsid w:val="00054826"/>
    <w:rsid w:val="00054C61"/>
    <w:rsid w:val="00056B84"/>
    <w:rsid w:val="00056C26"/>
    <w:rsid w:val="00063156"/>
    <w:rsid w:val="000645A1"/>
    <w:rsid w:val="00074555"/>
    <w:rsid w:val="000839A2"/>
    <w:rsid w:val="00086730"/>
    <w:rsid w:val="00090465"/>
    <w:rsid w:val="0009133A"/>
    <w:rsid w:val="000A1AD2"/>
    <w:rsid w:val="000A506C"/>
    <w:rsid w:val="000A59A9"/>
    <w:rsid w:val="000A7B7D"/>
    <w:rsid w:val="000B2667"/>
    <w:rsid w:val="000B70DE"/>
    <w:rsid w:val="000B7C1B"/>
    <w:rsid w:val="000B7D1D"/>
    <w:rsid w:val="000C77D1"/>
    <w:rsid w:val="000D2FD4"/>
    <w:rsid w:val="000D3E94"/>
    <w:rsid w:val="000D5897"/>
    <w:rsid w:val="000D7A9F"/>
    <w:rsid w:val="000E7D11"/>
    <w:rsid w:val="000F3D8A"/>
    <w:rsid w:val="000F6164"/>
    <w:rsid w:val="00100FEC"/>
    <w:rsid w:val="00105F13"/>
    <w:rsid w:val="00106278"/>
    <w:rsid w:val="00110ED1"/>
    <w:rsid w:val="001276EF"/>
    <w:rsid w:val="001357B1"/>
    <w:rsid w:val="001507DC"/>
    <w:rsid w:val="0015139C"/>
    <w:rsid w:val="00155F61"/>
    <w:rsid w:val="00160B19"/>
    <w:rsid w:val="001614ED"/>
    <w:rsid w:val="001775A4"/>
    <w:rsid w:val="00181083"/>
    <w:rsid w:val="00186AF9"/>
    <w:rsid w:val="00194C9C"/>
    <w:rsid w:val="001A1B08"/>
    <w:rsid w:val="001A5137"/>
    <w:rsid w:val="001A791A"/>
    <w:rsid w:val="001B0A16"/>
    <w:rsid w:val="001B165B"/>
    <w:rsid w:val="001B5B71"/>
    <w:rsid w:val="001C3162"/>
    <w:rsid w:val="001D2D63"/>
    <w:rsid w:val="001D5244"/>
    <w:rsid w:val="001E01A6"/>
    <w:rsid w:val="001E029B"/>
    <w:rsid w:val="001F3381"/>
    <w:rsid w:val="001F5003"/>
    <w:rsid w:val="00210362"/>
    <w:rsid w:val="0021079A"/>
    <w:rsid w:val="00213459"/>
    <w:rsid w:val="002171E6"/>
    <w:rsid w:val="002245D3"/>
    <w:rsid w:val="00224EAD"/>
    <w:rsid w:val="00227067"/>
    <w:rsid w:val="00231AC5"/>
    <w:rsid w:val="0023243F"/>
    <w:rsid w:val="00234F3E"/>
    <w:rsid w:val="002353F5"/>
    <w:rsid w:val="00237DAF"/>
    <w:rsid w:val="00241DFD"/>
    <w:rsid w:val="0024320A"/>
    <w:rsid w:val="002476AC"/>
    <w:rsid w:val="002478B5"/>
    <w:rsid w:val="00254249"/>
    <w:rsid w:val="00261659"/>
    <w:rsid w:val="00263193"/>
    <w:rsid w:val="00290F4B"/>
    <w:rsid w:val="002A003A"/>
    <w:rsid w:val="002A00CA"/>
    <w:rsid w:val="002A7CD6"/>
    <w:rsid w:val="002C41DE"/>
    <w:rsid w:val="002C6BD5"/>
    <w:rsid w:val="002C6F79"/>
    <w:rsid w:val="002D3D8E"/>
    <w:rsid w:val="002E4DDB"/>
    <w:rsid w:val="002E69E7"/>
    <w:rsid w:val="002F7FD8"/>
    <w:rsid w:val="00305660"/>
    <w:rsid w:val="00305CB9"/>
    <w:rsid w:val="00312455"/>
    <w:rsid w:val="0031309A"/>
    <w:rsid w:val="00324F8D"/>
    <w:rsid w:val="003259C1"/>
    <w:rsid w:val="0033493B"/>
    <w:rsid w:val="003353E1"/>
    <w:rsid w:val="003406E2"/>
    <w:rsid w:val="00342331"/>
    <w:rsid w:val="00364D64"/>
    <w:rsid w:val="003677E7"/>
    <w:rsid w:val="00367DC7"/>
    <w:rsid w:val="003724EC"/>
    <w:rsid w:val="0037308C"/>
    <w:rsid w:val="003749A3"/>
    <w:rsid w:val="00381116"/>
    <w:rsid w:val="00383BF2"/>
    <w:rsid w:val="00385C8B"/>
    <w:rsid w:val="00386694"/>
    <w:rsid w:val="00392D92"/>
    <w:rsid w:val="003B225D"/>
    <w:rsid w:val="003B69ED"/>
    <w:rsid w:val="003B6A2D"/>
    <w:rsid w:val="003D392F"/>
    <w:rsid w:val="003F10B1"/>
    <w:rsid w:val="003F113B"/>
    <w:rsid w:val="004040BD"/>
    <w:rsid w:val="00422564"/>
    <w:rsid w:val="00422662"/>
    <w:rsid w:val="00424211"/>
    <w:rsid w:val="0042536B"/>
    <w:rsid w:val="004436EE"/>
    <w:rsid w:val="004560F7"/>
    <w:rsid w:val="0046002F"/>
    <w:rsid w:val="00465E11"/>
    <w:rsid w:val="00477A3E"/>
    <w:rsid w:val="00482574"/>
    <w:rsid w:val="0048318B"/>
    <w:rsid w:val="00490FC7"/>
    <w:rsid w:val="00491A65"/>
    <w:rsid w:val="00491B1D"/>
    <w:rsid w:val="004A7A55"/>
    <w:rsid w:val="004B66E0"/>
    <w:rsid w:val="004C0A34"/>
    <w:rsid w:val="004C16D5"/>
    <w:rsid w:val="004C3054"/>
    <w:rsid w:val="004C39DB"/>
    <w:rsid w:val="004C434C"/>
    <w:rsid w:val="004D0C3C"/>
    <w:rsid w:val="004D2E90"/>
    <w:rsid w:val="004E14B9"/>
    <w:rsid w:val="004E367A"/>
    <w:rsid w:val="004E4A8C"/>
    <w:rsid w:val="004F0B68"/>
    <w:rsid w:val="004F55B3"/>
    <w:rsid w:val="004F7451"/>
    <w:rsid w:val="00501A35"/>
    <w:rsid w:val="00507B7B"/>
    <w:rsid w:val="00513F77"/>
    <w:rsid w:val="00514759"/>
    <w:rsid w:val="00514C57"/>
    <w:rsid w:val="0051723D"/>
    <w:rsid w:val="005211D8"/>
    <w:rsid w:val="005276BC"/>
    <w:rsid w:val="00530E90"/>
    <w:rsid w:val="0053318E"/>
    <w:rsid w:val="00535463"/>
    <w:rsid w:val="00536CC6"/>
    <w:rsid w:val="00543E8A"/>
    <w:rsid w:val="00563DD3"/>
    <w:rsid w:val="0056672D"/>
    <w:rsid w:val="00570568"/>
    <w:rsid w:val="00576FC8"/>
    <w:rsid w:val="00580A5A"/>
    <w:rsid w:val="00580F3E"/>
    <w:rsid w:val="00582F73"/>
    <w:rsid w:val="005912AE"/>
    <w:rsid w:val="00594134"/>
    <w:rsid w:val="00594342"/>
    <w:rsid w:val="00597543"/>
    <w:rsid w:val="00597E20"/>
    <w:rsid w:val="005A3200"/>
    <w:rsid w:val="005A4D65"/>
    <w:rsid w:val="005B25E8"/>
    <w:rsid w:val="005B4127"/>
    <w:rsid w:val="005B5D80"/>
    <w:rsid w:val="005C258D"/>
    <w:rsid w:val="005D097B"/>
    <w:rsid w:val="005D64C0"/>
    <w:rsid w:val="005D6A0B"/>
    <w:rsid w:val="005E43D5"/>
    <w:rsid w:val="005E6D0F"/>
    <w:rsid w:val="005F0324"/>
    <w:rsid w:val="005F1F59"/>
    <w:rsid w:val="005F3433"/>
    <w:rsid w:val="005F3E37"/>
    <w:rsid w:val="005F5980"/>
    <w:rsid w:val="005F6F56"/>
    <w:rsid w:val="00607DA5"/>
    <w:rsid w:val="0061492F"/>
    <w:rsid w:val="006244B2"/>
    <w:rsid w:val="00626072"/>
    <w:rsid w:val="006349A1"/>
    <w:rsid w:val="00635BFB"/>
    <w:rsid w:val="00641A17"/>
    <w:rsid w:val="006438DC"/>
    <w:rsid w:val="0064396A"/>
    <w:rsid w:val="00650C8C"/>
    <w:rsid w:val="00651AC3"/>
    <w:rsid w:val="006526BE"/>
    <w:rsid w:val="00655A3B"/>
    <w:rsid w:val="006569DA"/>
    <w:rsid w:val="006619F8"/>
    <w:rsid w:val="006732BD"/>
    <w:rsid w:val="006748FB"/>
    <w:rsid w:val="00680FE4"/>
    <w:rsid w:val="00687830"/>
    <w:rsid w:val="00690452"/>
    <w:rsid w:val="00692315"/>
    <w:rsid w:val="006A01A7"/>
    <w:rsid w:val="006A76F4"/>
    <w:rsid w:val="006A7F0A"/>
    <w:rsid w:val="006B0C2C"/>
    <w:rsid w:val="006B3EA2"/>
    <w:rsid w:val="006B408A"/>
    <w:rsid w:val="006B6C7D"/>
    <w:rsid w:val="006C3875"/>
    <w:rsid w:val="006C402A"/>
    <w:rsid w:val="006C6973"/>
    <w:rsid w:val="006D095A"/>
    <w:rsid w:val="006D2CE9"/>
    <w:rsid w:val="006D7360"/>
    <w:rsid w:val="006D7750"/>
    <w:rsid w:val="006E472A"/>
    <w:rsid w:val="006E7983"/>
    <w:rsid w:val="006F14D2"/>
    <w:rsid w:val="006F64C1"/>
    <w:rsid w:val="007120D6"/>
    <w:rsid w:val="00733862"/>
    <w:rsid w:val="00734166"/>
    <w:rsid w:val="00750FB7"/>
    <w:rsid w:val="00753068"/>
    <w:rsid w:val="00753829"/>
    <w:rsid w:val="00754134"/>
    <w:rsid w:val="00755082"/>
    <w:rsid w:val="0076099D"/>
    <w:rsid w:val="007732CE"/>
    <w:rsid w:val="00780060"/>
    <w:rsid w:val="00781230"/>
    <w:rsid w:val="0078404A"/>
    <w:rsid w:val="007847F0"/>
    <w:rsid w:val="00786706"/>
    <w:rsid w:val="007951B8"/>
    <w:rsid w:val="0079557D"/>
    <w:rsid w:val="007A6988"/>
    <w:rsid w:val="007B182A"/>
    <w:rsid w:val="007D20FD"/>
    <w:rsid w:val="007D2512"/>
    <w:rsid w:val="007D7749"/>
    <w:rsid w:val="007F07D4"/>
    <w:rsid w:val="007F11FD"/>
    <w:rsid w:val="007F1381"/>
    <w:rsid w:val="007F2699"/>
    <w:rsid w:val="007F5520"/>
    <w:rsid w:val="008013C0"/>
    <w:rsid w:val="008040DF"/>
    <w:rsid w:val="008051F6"/>
    <w:rsid w:val="00805552"/>
    <w:rsid w:val="008153CE"/>
    <w:rsid w:val="008162A9"/>
    <w:rsid w:val="0082230E"/>
    <w:rsid w:val="0082451A"/>
    <w:rsid w:val="00831FA8"/>
    <w:rsid w:val="0084549A"/>
    <w:rsid w:val="008558DC"/>
    <w:rsid w:val="00863AC3"/>
    <w:rsid w:val="008643B7"/>
    <w:rsid w:val="00871BF9"/>
    <w:rsid w:val="00871F6F"/>
    <w:rsid w:val="0087495C"/>
    <w:rsid w:val="00884B59"/>
    <w:rsid w:val="00886C3D"/>
    <w:rsid w:val="00887791"/>
    <w:rsid w:val="00891A60"/>
    <w:rsid w:val="0089587D"/>
    <w:rsid w:val="008A0D74"/>
    <w:rsid w:val="008B3A8E"/>
    <w:rsid w:val="008B5D61"/>
    <w:rsid w:val="008B63C2"/>
    <w:rsid w:val="008D7957"/>
    <w:rsid w:val="008F5337"/>
    <w:rsid w:val="00901292"/>
    <w:rsid w:val="00905C5E"/>
    <w:rsid w:val="009200D4"/>
    <w:rsid w:val="00920EAB"/>
    <w:rsid w:val="0092637E"/>
    <w:rsid w:val="00930676"/>
    <w:rsid w:val="009459CE"/>
    <w:rsid w:val="009507CE"/>
    <w:rsid w:val="00950978"/>
    <w:rsid w:val="009522D7"/>
    <w:rsid w:val="00954243"/>
    <w:rsid w:val="0095770D"/>
    <w:rsid w:val="009610D1"/>
    <w:rsid w:val="009623FA"/>
    <w:rsid w:val="0096736B"/>
    <w:rsid w:val="0099239F"/>
    <w:rsid w:val="009A2674"/>
    <w:rsid w:val="009A7A5C"/>
    <w:rsid w:val="009B5F15"/>
    <w:rsid w:val="009C480B"/>
    <w:rsid w:val="009C7F6F"/>
    <w:rsid w:val="009D0107"/>
    <w:rsid w:val="009D0BD1"/>
    <w:rsid w:val="009D445A"/>
    <w:rsid w:val="009D7FF0"/>
    <w:rsid w:val="009E6B0F"/>
    <w:rsid w:val="009F3BA0"/>
    <w:rsid w:val="009F5BBC"/>
    <w:rsid w:val="00A0136E"/>
    <w:rsid w:val="00A077DC"/>
    <w:rsid w:val="00A11ACD"/>
    <w:rsid w:val="00A11D0F"/>
    <w:rsid w:val="00A127FB"/>
    <w:rsid w:val="00A12C10"/>
    <w:rsid w:val="00A152E4"/>
    <w:rsid w:val="00A268A7"/>
    <w:rsid w:val="00A30194"/>
    <w:rsid w:val="00A340C3"/>
    <w:rsid w:val="00A431BB"/>
    <w:rsid w:val="00A439C8"/>
    <w:rsid w:val="00A43AFB"/>
    <w:rsid w:val="00A4547C"/>
    <w:rsid w:val="00A463E3"/>
    <w:rsid w:val="00A55BA8"/>
    <w:rsid w:val="00A57F81"/>
    <w:rsid w:val="00A72051"/>
    <w:rsid w:val="00A74732"/>
    <w:rsid w:val="00A9032E"/>
    <w:rsid w:val="00A9079A"/>
    <w:rsid w:val="00A959C7"/>
    <w:rsid w:val="00AA25F6"/>
    <w:rsid w:val="00AC0BA5"/>
    <w:rsid w:val="00AC1657"/>
    <w:rsid w:val="00AC79B4"/>
    <w:rsid w:val="00AD7466"/>
    <w:rsid w:val="00AE02DD"/>
    <w:rsid w:val="00AE0725"/>
    <w:rsid w:val="00AF048C"/>
    <w:rsid w:val="00AF0537"/>
    <w:rsid w:val="00AF18C3"/>
    <w:rsid w:val="00AF2DB4"/>
    <w:rsid w:val="00AF623D"/>
    <w:rsid w:val="00B117AB"/>
    <w:rsid w:val="00B258F6"/>
    <w:rsid w:val="00B323A5"/>
    <w:rsid w:val="00B36849"/>
    <w:rsid w:val="00B456D7"/>
    <w:rsid w:val="00B45A57"/>
    <w:rsid w:val="00B46E88"/>
    <w:rsid w:val="00B704A2"/>
    <w:rsid w:val="00B71817"/>
    <w:rsid w:val="00B77F83"/>
    <w:rsid w:val="00B8254E"/>
    <w:rsid w:val="00B845DF"/>
    <w:rsid w:val="00B85D81"/>
    <w:rsid w:val="00B9260D"/>
    <w:rsid w:val="00B94FF2"/>
    <w:rsid w:val="00B974A0"/>
    <w:rsid w:val="00BA7D17"/>
    <w:rsid w:val="00BB6473"/>
    <w:rsid w:val="00BD4CF5"/>
    <w:rsid w:val="00BD66A2"/>
    <w:rsid w:val="00BE3318"/>
    <w:rsid w:val="00BE3412"/>
    <w:rsid w:val="00BF07E8"/>
    <w:rsid w:val="00BF2694"/>
    <w:rsid w:val="00BF2826"/>
    <w:rsid w:val="00C009FA"/>
    <w:rsid w:val="00C02340"/>
    <w:rsid w:val="00C03AB4"/>
    <w:rsid w:val="00C060FB"/>
    <w:rsid w:val="00C159DB"/>
    <w:rsid w:val="00C42B3E"/>
    <w:rsid w:val="00C5253F"/>
    <w:rsid w:val="00C63901"/>
    <w:rsid w:val="00C74BA1"/>
    <w:rsid w:val="00C76752"/>
    <w:rsid w:val="00C82B23"/>
    <w:rsid w:val="00C83DB1"/>
    <w:rsid w:val="00C91F9F"/>
    <w:rsid w:val="00C97B09"/>
    <w:rsid w:val="00CA2C83"/>
    <w:rsid w:val="00CA3078"/>
    <w:rsid w:val="00CA6086"/>
    <w:rsid w:val="00CB5E99"/>
    <w:rsid w:val="00CB6D1E"/>
    <w:rsid w:val="00CC04AF"/>
    <w:rsid w:val="00CC1579"/>
    <w:rsid w:val="00CC21BA"/>
    <w:rsid w:val="00CE1542"/>
    <w:rsid w:val="00CE2CA4"/>
    <w:rsid w:val="00CF1E11"/>
    <w:rsid w:val="00CF2937"/>
    <w:rsid w:val="00CF3D98"/>
    <w:rsid w:val="00CF5E5D"/>
    <w:rsid w:val="00CF66BA"/>
    <w:rsid w:val="00D0412F"/>
    <w:rsid w:val="00D04239"/>
    <w:rsid w:val="00D067C6"/>
    <w:rsid w:val="00D12AF4"/>
    <w:rsid w:val="00D131C2"/>
    <w:rsid w:val="00D133F5"/>
    <w:rsid w:val="00D16856"/>
    <w:rsid w:val="00D200B2"/>
    <w:rsid w:val="00D213BE"/>
    <w:rsid w:val="00D21850"/>
    <w:rsid w:val="00D23B66"/>
    <w:rsid w:val="00D23C3A"/>
    <w:rsid w:val="00D262B2"/>
    <w:rsid w:val="00D300EC"/>
    <w:rsid w:val="00D34A08"/>
    <w:rsid w:val="00D40BF5"/>
    <w:rsid w:val="00D47D8C"/>
    <w:rsid w:val="00D50C09"/>
    <w:rsid w:val="00D539D1"/>
    <w:rsid w:val="00D56412"/>
    <w:rsid w:val="00D75F07"/>
    <w:rsid w:val="00D77B0F"/>
    <w:rsid w:val="00D828C2"/>
    <w:rsid w:val="00D93633"/>
    <w:rsid w:val="00DA19B7"/>
    <w:rsid w:val="00DB119E"/>
    <w:rsid w:val="00DB2B24"/>
    <w:rsid w:val="00DB428D"/>
    <w:rsid w:val="00DB56C8"/>
    <w:rsid w:val="00DB5BAF"/>
    <w:rsid w:val="00DB7CDB"/>
    <w:rsid w:val="00DC4BFB"/>
    <w:rsid w:val="00DC533B"/>
    <w:rsid w:val="00DD3A51"/>
    <w:rsid w:val="00DD583C"/>
    <w:rsid w:val="00DE1CA1"/>
    <w:rsid w:val="00DF2D7F"/>
    <w:rsid w:val="00DF7DEE"/>
    <w:rsid w:val="00E008CC"/>
    <w:rsid w:val="00E01D04"/>
    <w:rsid w:val="00E01D96"/>
    <w:rsid w:val="00E02D81"/>
    <w:rsid w:val="00E032D0"/>
    <w:rsid w:val="00E12060"/>
    <w:rsid w:val="00E1533F"/>
    <w:rsid w:val="00E21341"/>
    <w:rsid w:val="00E22BA7"/>
    <w:rsid w:val="00E278B0"/>
    <w:rsid w:val="00E32401"/>
    <w:rsid w:val="00E32C18"/>
    <w:rsid w:val="00E330E4"/>
    <w:rsid w:val="00E33F7D"/>
    <w:rsid w:val="00E34830"/>
    <w:rsid w:val="00E35027"/>
    <w:rsid w:val="00E41472"/>
    <w:rsid w:val="00E417D6"/>
    <w:rsid w:val="00E42CA6"/>
    <w:rsid w:val="00E435EC"/>
    <w:rsid w:val="00E46F47"/>
    <w:rsid w:val="00E510B0"/>
    <w:rsid w:val="00E527A8"/>
    <w:rsid w:val="00E529EB"/>
    <w:rsid w:val="00E5774B"/>
    <w:rsid w:val="00E65B00"/>
    <w:rsid w:val="00E73721"/>
    <w:rsid w:val="00E831C8"/>
    <w:rsid w:val="00EB0C97"/>
    <w:rsid w:val="00EB0CBB"/>
    <w:rsid w:val="00EB1D0C"/>
    <w:rsid w:val="00EB2369"/>
    <w:rsid w:val="00EB37B6"/>
    <w:rsid w:val="00EB3E58"/>
    <w:rsid w:val="00ED2900"/>
    <w:rsid w:val="00ED32CA"/>
    <w:rsid w:val="00ED50BB"/>
    <w:rsid w:val="00ED58EF"/>
    <w:rsid w:val="00EE4609"/>
    <w:rsid w:val="00EE4B42"/>
    <w:rsid w:val="00F02FBF"/>
    <w:rsid w:val="00F03DFF"/>
    <w:rsid w:val="00F0542C"/>
    <w:rsid w:val="00F22C17"/>
    <w:rsid w:val="00F24A63"/>
    <w:rsid w:val="00F32756"/>
    <w:rsid w:val="00F32EAC"/>
    <w:rsid w:val="00F414D3"/>
    <w:rsid w:val="00F41522"/>
    <w:rsid w:val="00F4382B"/>
    <w:rsid w:val="00F47D20"/>
    <w:rsid w:val="00F515DF"/>
    <w:rsid w:val="00F6488F"/>
    <w:rsid w:val="00F71BB4"/>
    <w:rsid w:val="00F827FF"/>
    <w:rsid w:val="00F918C0"/>
    <w:rsid w:val="00F95D77"/>
    <w:rsid w:val="00F9670D"/>
    <w:rsid w:val="00FA3C22"/>
    <w:rsid w:val="00FA7E24"/>
    <w:rsid w:val="00FB0A2E"/>
    <w:rsid w:val="00FB47CC"/>
    <w:rsid w:val="00FB5336"/>
    <w:rsid w:val="00FB756E"/>
    <w:rsid w:val="00FC0EA3"/>
    <w:rsid w:val="00FC2891"/>
    <w:rsid w:val="00FC488F"/>
    <w:rsid w:val="00FC78CA"/>
    <w:rsid w:val="00FE016E"/>
    <w:rsid w:val="00FE4584"/>
    <w:rsid w:val="00FE5CB5"/>
    <w:rsid w:val="00FE68A2"/>
    <w:rsid w:val="00FE6906"/>
    <w:rsid w:val="00FE6FE2"/>
    <w:rsid w:val="00FF0E3C"/>
    <w:rsid w:val="00FF1287"/>
    <w:rsid w:val="00FF6BCF"/>
    <w:rsid w:val="00FF6FA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4A6B79-1828-4173-82FA-3907E942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5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80F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80F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F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583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65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0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8DC"/>
  </w:style>
  <w:style w:type="paragraph" w:styleId="Piedepgina">
    <w:name w:val="footer"/>
    <w:basedOn w:val="Normal"/>
    <w:link w:val="PiedepginaCar"/>
    <w:uiPriority w:val="99"/>
    <w:unhideWhenUsed/>
    <w:rsid w:val="0064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8D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38D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38D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438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253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B46E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18C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18C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18C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8C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8C3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D7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B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42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2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0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3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70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2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9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1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5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4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938">
                      <w:marLeft w:val="108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0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0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1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0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271884/Estrategia_Nacional_Cibersegurida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tu.int/net/itunews/issues/2010/09/20-es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A31F-4958-42B3-8D8D-C89631A2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2296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NISA</dc:creator>
  <cp:lastModifiedBy>Yaratzet Funes Lopez</cp:lastModifiedBy>
  <cp:revision>12</cp:revision>
  <cp:lastPrinted>2018-06-27T19:37:00Z</cp:lastPrinted>
  <dcterms:created xsi:type="dcterms:W3CDTF">2018-07-03T23:48:00Z</dcterms:created>
  <dcterms:modified xsi:type="dcterms:W3CDTF">2018-07-09T17:20:00Z</dcterms:modified>
</cp:coreProperties>
</file>