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DFD" w:rsidRPr="00115370" w:rsidRDefault="00241DFD" w:rsidP="00115370">
      <w:pPr>
        <w:pStyle w:val="Ttulo1"/>
        <w:jc w:val="both"/>
        <w:rPr>
          <w:rFonts w:asciiTheme="minorHAnsi" w:eastAsia="Times New Roman" w:hAnsiTheme="minorHAnsi" w:cstheme="minorHAnsi"/>
          <w:b/>
          <w:color w:val="auto"/>
          <w:sz w:val="24"/>
          <w:szCs w:val="24"/>
          <w:lang w:eastAsia="es-MX"/>
        </w:rPr>
      </w:pPr>
      <w:r w:rsidRPr="00115370">
        <w:rPr>
          <w:rFonts w:asciiTheme="minorHAnsi" w:eastAsia="Times New Roman" w:hAnsiTheme="minorHAnsi" w:cstheme="minorHAnsi"/>
          <w:b/>
          <w:color w:val="auto"/>
          <w:sz w:val="24"/>
          <w:szCs w:val="24"/>
          <w:lang w:eastAsia="es-MX"/>
        </w:rPr>
        <w:t>RECOMENDACIÓN QUE EMITE EL CONSEJO CONSULTIVO DEL INSTITUTO FEDERAL DE TELECOMUNICACIONES SOBRE ABOGACÍA DE LA COMPETENCIA.</w:t>
      </w:r>
    </w:p>
    <w:p w:rsidR="00115370" w:rsidRDefault="00115370" w:rsidP="00115370">
      <w:pPr>
        <w:rPr>
          <w:rFonts w:cstheme="minorHAnsi"/>
          <w:color w:val="000000" w:themeColor="text1"/>
          <w:sz w:val="24"/>
          <w:szCs w:val="24"/>
          <w:lang w:val="es-ES_tradnl"/>
        </w:rPr>
      </w:pPr>
    </w:p>
    <w:p w:rsidR="00B7418D" w:rsidRDefault="00B7418D" w:rsidP="00115370">
      <w:pPr>
        <w:rPr>
          <w:rFonts w:cstheme="minorHAnsi"/>
          <w:color w:val="000000" w:themeColor="text1"/>
          <w:sz w:val="24"/>
          <w:szCs w:val="24"/>
          <w:lang w:val="es-ES_tradnl"/>
        </w:rPr>
      </w:pPr>
      <w:r w:rsidRPr="00241DFD">
        <w:rPr>
          <w:rFonts w:cstheme="minorHAnsi"/>
          <w:color w:val="000000" w:themeColor="text1"/>
          <w:sz w:val="24"/>
          <w:szCs w:val="24"/>
          <w:lang w:val="es-ES_tradnl"/>
        </w:rPr>
        <w:t>Oportunidades e importancia de la abogacía en el IFT</w:t>
      </w:r>
      <w:r w:rsidR="00241DFD" w:rsidRPr="00241DFD">
        <w:rPr>
          <w:rFonts w:cstheme="minorHAnsi"/>
          <w:color w:val="000000" w:themeColor="text1"/>
          <w:sz w:val="24"/>
          <w:szCs w:val="24"/>
          <w:lang w:val="es-ES_tradnl"/>
        </w:rPr>
        <w:t>.</w:t>
      </w:r>
    </w:p>
    <w:p w:rsidR="009B4848" w:rsidRPr="00241DFD" w:rsidRDefault="0081126D" w:rsidP="00A868F9">
      <w:pPr>
        <w:spacing w:line="276" w:lineRule="auto"/>
        <w:jc w:val="both"/>
        <w:rPr>
          <w:rFonts w:cstheme="minorHAnsi"/>
          <w:sz w:val="24"/>
          <w:szCs w:val="24"/>
          <w:lang w:val="es-ES_tradnl"/>
        </w:rPr>
      </w:pPr>
      <w:r w:rsidRPr="00241DFD">
        <w:rPr>
          <w:rFonts w:cstheme="minorHAnsi"/>
          <w:sz w:val="24"/>
          <w:szCs w:val="24"/>
          <w:lang w:val="es-ES_tradnl"/>
        </w:rPr>
        <w:t>Las autoridades de competencia tienen como objetivo vigilar y promover el funcionamiento eficiente de los mercados.</w:t>
      </w:r>
      <w:r w:rsidR="003D6EB3" w:rsidRPr="00241DFD">
        <w:rPr>
          <w:rFonts w:cstheme="minorHAnsi"/>
          <w:sz w:val="24"/>
          <w:szCs w:val="24"/>
          <w:lang w:val="es-ES_tradnl"/>
        </w:rPr>
        <w:t xml:space="preserve"> Para lograrlo, las leyes de competencia facultan a las autoridades para investigar y sancionar conductas anticompetitivas</w:t>
      </w:r>
      <w:r w:rsidR="009B4848" w:rsidRPr="00241DFD">
        <w:rPr>
          <w:rFonts w:cstheme="minorHAnsi"/>
          <w:sz w:val="24"/>
          <w:szCs w:val="24"/>
          <w:lang w:val="es-ES_tradnl"/>
        </w:rPr>
        <w:t>—</w:t>
      </w:r>
      <w:r w:rsidR="000460F3" w:rsidRPr="00241DFD">
        <w:rPr>
          <w:rFonts w:cstheme="minorHAnsi"/>
          <w:sz w:val="24"/>
          <w:szCs w:val="24"/>
          <w:lang w:val="es-ES_tradnl"/>
        </w:rPr>
        <w:t>prácticas</w:t>
      </w:r>
      <w:r w:rsidR="009B4848" w:rsidRPr="00241DFD">
        <w:rPr>
          <w:rFonts w:cstheme="minorHAnsi"/>
          <w:sz w:val="24"/>
          <w:szCs w:val="24"/>
          <w:lang w:val="es-ES_tradnl"/>
        </w:rPr>
        <w:t xml:space="preserve"> </w:t>
      </w:r>
      <w:r w:rsidR="000460F3" w:rsidRPr="00241DFD">
        <w:rPr>
          <w:rFonts w:cstheme="minorHAnsi"/>
          <w:sz w:val="24"/>
          <w:szCs w:val="24"/>
          <w:lang w:val="es-ES_tradnl"/>
        </w:rPr>
        <w:t>monopólicas absolutas o relativas</w:t>
      </w:r>
      <w:r w:rsidR="009B4848" w:rsidRPr="00241DFD">
        <w:rPr>
          <w:rFonts w:cstheme="minorHAnsi"/>
          <w:sz w:val="24"/>
          <w:szCs w:val="24"/>
          <w:lang w:val="es-ES_tradnl"/>
        </w:rPr>
        <w:t>—</w:t>
      </w:r>
      <w:r w:rsidR="003D6EB3" w:rsidRPr="00241DFD">
        <w:rPr>
          <w:rFonts w:cstheme="minorHAnsi"/>
          <w:sz w:val="24"/>
          <w:szCs w:val="24"/>
          <w:lang w:val="es-ES_tradnl"/>
        </w:rPr>
        <w:t>o</w:t>
      </w:r>
      <w:r w:rsidR="009B4848" w:rsidRPr="00241DFD">
        <w:rPr>
          <w:rFonts w:cstheme="minorHAnsi"/>
          <w:sz w:val="24"/>
          <w:szCs w:val="24"/>
          <w:lang w:val="es-ES_tradnl"/>
        </w:rPr>
        <w:t xml:space="preserve"> </w:t>
      </w:r>
      <w:r w:rsidR="003D6EB3" w:rsidRPr="00241DFD">
        <w:rPr>
          <w:rFonts w:cstheme="minorHAnsi"/>
          <w:sz w:val="24"/>
          <w:szCs w:val="24"/>
          <w:lang w:val="es-ES_tradnl"/>
        </w:rPr>
        <w:t>prevenir estructuras de mercado que pudiesen resultar en comportamientos anticompetitiv</w:t>
      </w:r>
      <w:r w:rsidR="000460F3" w:rsidRPr="00241DFD">
        <w:rPr>
          <w:rFonts w:cstheme="minorHAnsi"/>
          <w:sz w:val="24"/>
          <w:szCs w:val="24"/>
          <w:lang w:val="es-ES_tradnl"/>
        </w:rPr>
        <w:t>o</w:t>
      </w:r>
      <w:r w:rsidR="003D6EB3" w:rsidRPr="00241DFD">
        <w:rPr>
          <w:rFonts w:cstheme="minorHAnsi"/>
          <w:sz w:val="24"/>
          <w:szCs w:val="24"/>
          <w:lang w:val="es-ES_tradnl"/>
        </w:rPr>
        <w:t>s</w:t>
      </w:r>
      <w:r w:rsidR="009B4848" w:rsidRPr="00241DFD">
        <w:rPr>
          <w:rFonts w:cstheme="minorHAnsi"/>
          <w:sz w:val="24"/>
          <w:szCs w:val="24"/>
          <w:lang w:val="es-ES_tradnl"/>
        </w:rPr>
        <w:t>—</w:t>
      </w:r>
      <w:r w:rsidR="000460F3" w:rsidRPr="00241DFD">
        <w:rPr>
          <w:rFonts w:cstheme="minorHAnsi"/>
          <w:sz w:val="24"/>
          <w:szCs w:val="24"/>
          <w:lang w:val="es-ES_tradnl"/>
        </w:rPr>
        <w:t>concentraciones</w:t>
      </w:r>
      <w:r w:rsidR="009B4848" w:rsidRPr="00241DFD">
        <w:rPr>
          <w:rFonts w:cstheme="minorHAnsi"/>
          <w:sz w:val="24"/>
          <w:szCs w:val="24"/>
          <w:lang w:val="es-ES_tradnl"/>
        </w:rPr>
        <w:t xml:space="preserve"> anticompetitivas</w:t>
      </w:r>
      <w:r w:rsidR="003D6EB3" w:rsidRPr="00241DFD">
        <w:rPr>
          <w:rFonts w:cstheme="minorHAnsi"/>
          <w:sz w:val="24"/>
          <w:szCs w:val="24"/>
          <w:lang w:val="es-ES_tradnl"/>
        </w:rPr>
        <w:t xml:space="preserve">. </w:t>
      </w:r>
    </w:p>
    <w:p w:rsidR="004366D6" w:rsidRPr="00241DFD" w:rsidRDefault="000460F3" w:rsidP="00A868F9">
      <w:pPr>
        <w:spacing w:line="276" w:lineRule="auto"/>
        <w:jc w:val="both"/>
        <w:rPr>
          <w:rFonts w:cstheme="minorHAnsi"/>
          <w:sz w:val="24"/>
          <w:szCs w:val="24"/>
          <w:lang w:val="es-ES_tradnl"/>
        </w:rPr>
      </w:pPr>
      <w:r w:rsidRPr="00241DFD">
        <w:rPr>
          <w:rFonts w:cstheme="minorHAnsi"/>
          <w:sz w:val="24"/>
          <w:szCs w:val="24"/>
          <w:lang w:val="es-ES_tradnl"/>
        </w:rPr>
        <w:t xml:space="preserve">Es menos reconocido, aunque no menos importante, </w:t>
      </w:r>
      <w:r w:rsidR="003D6EB3" w:rsidRPr="00241DFD">
        <w:rPr>
          <w:rFonts w:cstheme="minorHAnsi"/>
          <w:sz w:val="24"/>
          <w:szCs w:val="24"/>
          <w:lang w:val="es-ES_tradnl"/>
        </w:rPr>
        <w:t xml:space="preserve">el rol </w:t>
      </w:r>
      <w:r w:rsidRPr="00241DFD">
        <w:rPr>
          <w:rFonts w:cstheme="minorHAnsi"/>
          <w:sz w:val="24"/>
          <w:szCs w:val="24"/>
          <w:lang w:val="es-ES_tradnl"/>
        </w:rPr>
        <w:t xml:space="preserve">de abogacía </w:t>
      </w:r>
      <w:r w:rsidR="003D6EB3" w:rsidRPr="00241DFD">
        <w:rPr>
          <w:rFonts w:cstheme="minorHAnsi"/>
          <w:sz w:val="24"/>
          <w:szCs w:val="24"/>
          <w:lang w:val="es-ES_tradnl"/>
        </w:rPr>
        <w:t xml:space="preserve">que tienen las autoridades de competencia </w:t>
      </w:r>
      <w:r w:rsidRPr="00241DFD">
        <w:rPr>
          <w:rFonts w:cstheme="minorHAnsi"/>
          <w:sz w:val="24"/>
          <w:szCs w:val="24"/>
          <w:lang w:val="es-ES_tradnl"/>
        </w:rPr>
        <w:t>y que buscan</w:t>
      </w:r>
      <w:r w:rsidR="003D6EB3" w:rsidRPr="00241DFD">
        <w:rPr>
          <w:rFonts w:cstheme="minorHAnsi"/>
          <w:sz w:val="24"/>
          <w:szCs w:val="24"/>
          <w:lang w:val="es-ES_tradnl"/>
        </w:rPr>
        <w:t xml:space="preserve"> promover la eficiencia de los mercados a través de instrumentos no relacionados con la vigilancia y sanción de conductas anticompetitivas</w:t>
      </w:r>
      <w:r w:rsidR="009B4848" w:rsidRPr="00241DFD">
        <w:rPr>
          <w:rFonts w:cstheme="minorHAnsi"/>
          <w:sz w:val="24"/>
          <w:szCs w:val="24"/>
          <w:lang w:val="es-ES_tradnl"/>
        </w:rPr>
        <w:t xml:space="preserve">. </w:t>
      </w:r>
      <w:r w:rsidRPr="00241DFD">
        <w:rPr>
          <w:rFonts w:cstheme="minorHAnsi"/>
          <w:sz w:val="24"/>
          <w:szCs w:val="24"/>
          <w:lang w:val="es-ES_tradnl"/>
        </w:rPr>
        <w:t>Las labores de abogacía implican actividades como</w:t>
      </w:r>
      <w:r w:rsidR="00280EFC" w:rsidRPr="00241DFD">
        <w:rPr>
          <w:rFonts w:cstheme="minorHAnsi"/>
          <w:sz w:val="24"/>
          <w:szCs w:val="24"/>
          <w:lang w:val="es-ES_tradnl"/>
        </w:rPr>
        <w:t>:</w:t>
      </w:r>
      <w:r w:rsidRPr="00241DFD">
        <w:rPr>
          <w:rFonts w:cstheme="minorHAnsi"/>
          <w:sz w:val="24"/>
          <w:szCs w:val="24"/>
          <w:lang w:val="es-ES_tradnl"/>
        </w:rPr>
        <w:t xml:space="preserve"> </w:t>
      </w:r>
    </w:p>
    <w:p w:rsidR="004366D6" w:rsidRPr="00241DFD" w:rsidRDefault="004366D6" w:rsidP="00A868F9">
      <w:pPr>
        <w:pStyle w:val="Prrafodelista"/>
        <w:numPr>
          <w:ilvl w:val="0"/>
          <w:numId w:val="1"/>
        </w:numPr>
        <w:spacing w:line="276" w:lineRule="auto"/>
        <w:jc w:val="both"/>
        <w:rPr>
          <w:rFonts w:cstheme="minorHAnsi"/>
          <w:sz w:val="24"/>
          <w:szCs w:val="24"/>
          <w:lang w:val="es-ES_tradnl"/>
        </w:rPr>
      </w:pPr>
      <w:r w:rsidRPr="00241DFD">
        <w:rPr>
          <w:rFonts w:cstheme="minorHAnsi"/>
          <w:sz w:val="24"/>
          <w:szCs w:val="24"/>
          <w:lang w:val="es-ES_tradnl"/>
        </w:rPr>
        <w:t>S</w:t>
      </w:r>
      <w:r w:rsidR="00742A49" w:rsidRPr="00241DFD">
        <w:rPr>
          <w:rFonts w:cstheme="minorHAnsi"/>
          <w:sz w:val="24"/>
          <w:szCs w:val="24"/>
          <w:lang w:val="es-ES_tradnl"/>
        </w:rPr>
        <w:t>ensibilizar a todos los niveles de gobierno</w:t>
      </w:r>
      <w:r w:rsidR="009B4848" w:rsidRPr="00241DFD">
        <w:rPr>
          <w:rFonts w:cstheme="minorHAnsi"/>
          <w:sz w:val="24"/>
          <w:szCs w:val="24"/>
          <w:lang w:val="es-ES_tradnl"/>
        </w:rPr>
        <w:t>—</w:t>
      </w:r>
      <w:r w:rsidR="00742A49" w:rsidRPr="00241DFD">
        <w:rPr>
          <w:rFonts w:cstheme="minorHAnsi"/>
          <w:sz w:val="24"/>
          <w:szCs w:val="24"/>
          <w:lang w:val="es-ES_tradnl"/>
        </w:rPr>
        <w:t>reguladores</w:t>
      </w:r>
      <w:r w:rsidR="009B4848" w:rsidRPr="00241DFD">
        <w:rPr>
          <w:rFonts w:cstheme="minorHAnsi"/>
          <w:sz w:val="24"/>
          <w:szCs w:val="24"/>
          <w:lang w:val="es-ES_tradnl"/>
        </w:rPr>
        <w:t xml:space="preserve">, </w:t>
      </w:r>
      <w:r w:rsidR="00742A49" w:rsidRPr="00241DFD">
        <w:rPr>
          <w:rFonts w:cstheme="minorHAnsi"/>
          <w:sz w:val="24"/>
          <w:szCs w:val="24"/>
          <w:lang w:val="es-ES_tradnl"/>
        </w:rPr>
        <w:t>legisladores, instituciones de procuración de justicia</w:t>
      </w:r>
      <w:r w:rsidR="009B4848" w:rsidRPr="00241DFD">
        <w:rPr>
          <w:rFonts w:cstheme="minorHAnsi"/>
          <w:sz w:val="24"/>
          <w:szCs w:val="24"/>
          <w:lang w:val="es-ES_tradnl"/>
        </w:rPr>
        <w:t xml:space="preserve">—así como </w:t>
      </w:r>
      <w:r w:rsidR="00742A49" w:rsidRPr="00241DFD">
        <w:rPr>
          <w:rFonts w:cstheme="minorHAnsi"/>
          <w:sz w:val="24"/>
          <w:szCs w:val="24"/>
          <w:lang w:val="es-ES_tradnl"/>
        </w:rPr>
        <w:t>a la academia y a los consumidores sobre la importancia y benefici</w:t>
      </w:r>
      <w:r w:rsidR="00831ED4" w:rsidRPr="00241DFD">
        <w:rPr>
          <w:rFonts w:cstheme="minorHAnsi"/>
          <w:sz w:val="24"/>
          <w:szCs w:val="24"/>
          <w:lang w:val="es-ES_tradnl"/>
        </w:rPr>
        <w:t>os de la competencia económica</w:t>
      </w:r>
      <w:r w:rsidR="00300A38" w:rsidRPr="00241DFD">
        <w:rPr>
          <w:rFonts w:cstheme="minorHAnsi"/>
          <w:sz w:val="24"/>
          <w:szCs w:val="24"/>
          <w:lang w:val="es-ES_tradnl"/>
        </w:rPr>
        <w:t>;</w:t>
      </w:r>
    </w:p>
    <w:p w:rsidR="004366D6" w:rsidRPr="00241DFD" w:rsidRDefault="004366D6" w:rsidP="00A868F9">
      <w:pPr>
        <w:pStyle w:val="Prrafodelista"/>
        <w:numPr>
          <w:ilvl w:val="0"/>
          <w:numId w:val="1"/>
        </w:numPr>
        <w:spacing w:line="276" w:lineRule="auto"/>
        <w:jc w:val="both"/>
        <w:rPr>
          <w:rFonts w:cstheme="minorHAnsi"/>
          <w:sz w:val="24"/>
          <w:szCs w:val="24"/>
          <w:lang w:val="es-ES_tradnl"/>
        </w:rPr>
      </w:pPr>
      <w:r w:rsidRPr="00241DFD">
        <w:rPr>
          <w:rFonts w:cstheme="minorHAnsi"/>
          <w:sz w:val="24"/>
          <w:szCs w:val="24"/>
          <w:lang w:val="es-ES_tradnl"/>
        </w:rPr>
        <w:t>E</w:t>
      </w:r>
      <w:r w:rsidR="000460F3" w:rsidRPr="00241DFD">
        <w:rPr>
          <w:rFonts w:cstheme="minorHAnsi"/>
          <w:sz w:val="24"/>
          <w:szCs w:val="24"/>
          <w:lang w:val="es-ES_tradnl"/>
        </w:rPr>
        <w:t xml:space="preserve">studiar e identificar estructuras </w:t>
      </w:r>
      <w:r w:rsidR="003D2B23" w:rsidRPr="00241DFD">
        <w:rPr>
          <w:rFonts w:cstheme="minorHAnsi"/>
          <w:sz w:val="24"/>
          <w:szCs w:val="24"/>
          <w:lang w:val="es-ES_tradnl"/>
        </w:rPr>
        <w:t xml:space="preserve">de </w:t>
      </w:r>
      <w:r w:rsidR="000460F3" w:rsidRPr="00241DFD">
        <w:rPr>
          <w:rFonts w:cstheme="minorHAnsi"/>
          <w:sz w:val="24"/>
          <w:szCs w:val="24"/>
          <w:lang w:val="es-ES_tradnl"/>
        </w:rPr>
        <w:t>mercado que podrían impedir el desarrollo de la competencia</w:t>
      </w:r>
      <w:r w:rsidR="00300A38" w:rsidRPr="00241DFD">
        <w:rPr>
          <w:rFonts w:cstheme="minorHAnsi"/>
          <w:sz w:val="24"/>
          <w:szCs w:val="24"/>
          <w:lang w:val="es-ES_tradnl"/>
        </w:rPr>
        <w:t>;</w:t>
      </w:r>
    </w:p>
    <w:p w:rsidR="004366D6" w:rsidRPr="00241DFD" w:rsidRDefault="004366D6" w:rsidP="00A868F9">
      <w:pPr>
        <w:pStyle w:val="Prrafodelista"/>
        <w:numPr>
          <w:ilvl w:val="0"/>
          <w:numId w:val="1"/>
        </w:numPr>
        <w:spacing w:line="276" w:lineRule="auto"/>
        <w:jc w:val="both"/>
        <w:rPr>
          <w:rFonts w:cstheme="minorHAnsi"/>
          <w:sz w:val="24"/>
          <w:szCs w:val="24"/>
          <w:lang w:val="es-ES_tradnl"/>
        </w:rPr>
      </w:pPr>
      <w:r w:rsidRPr="00241DFD">
        <w:rPr>
          <w:rFonts w:cstheme="minorHAnsi"/>
          <w:sz w:val="24"/>
          <w:szCs w:val="24"/>
          <w:lang w:val="es-ES_tradnl"/>
        </w:rPr>
        <w:t>O</w:t>
      </w:r>
      <w:r w:rsidR="00831ED4" w:rsidRPr="00241DFD">
        <w:rPr>
          <w:rFonts w:cstheme="minorHAnsi"/>
          <w:sz w:val="24"/>
          <w:szCs w:val="24"/>
          <w:lang w:val="es-ES_tradnl"/>
        </w:rPr>
        <w:t>pinar sobre legislación</w:t>
      </w:r>
      <w:r w:rsidR="009B4848" w:rsidRPr="00241DFD">
        <w:rPr>
          <w:rFonts w:cstheme="minorHAnsi"/>
          <w:sz w:val="24"/>
          <w:szCs w:val="24"/>
          <w:lang w:val="es-ES_tradnl"/>
        </w:rPr>
        <w:t>, o cualquier proyecto normativo que pudiera tener efectos dañinos en la competencia</w:t>
      </w:r>
      <w:r w:rsidR="00300A38" w:rsidRPr="00241DFD">
        <w:rPr>
          <w:rFonts w:cstheme="minorHAnsi"/>
          <w:sz w:val="24"/>
          <w:szCs w:val="24"/>
          <w:lang w:val="es-ES_tradnl"/>
        </w:rPr>
        <w:t>;</w:t>
      </w:r>
    </w:p>
    <w:p w:rsidR="004366D6" w:rsidRPr="00241DFD" w:rsidRDefault="004366D6" w:rsidP="00A868F9">
      <w:pPr>
        <w:pStyle w:val="Prrafodelista"/>
        <w:numPr>
          <w:ilvl w:val="0"/>
          <w:numId w:val="1"/>
        </w:numPr>
        <w:spacing w:line="276" w:lineRule="auto"/>
        <w:jc w:val="both"/>
        <w:rPr>
          <w:rFonts w:cstheme="minorHAnsi"/>
          <w:sz w:val="24"/>
          <w:szCs w:val="24"/>
          <w:lang w:val="es-ES_tradnl"/>
        </w:rPr>
      </w:pPr>
      <w:r w:rsidRPr="00241DFD">
        <w:rPr>
          <w:rFonts w:cstheme="minorHAnsi"/>
          <w:sz w:val="24"/>
          <w:szCs w:val="24"/>
          <w:lang w:val="es-ES_tradnl"/>
        </w:rPr>
        <w:t>C</w:t>
      </w:r>
      <w:r w:rsidR="000460F3" w:rsidRPr="00241DFD">
        <w:rPr>
          <w:rFonts w:cstheme="minorHAnsi"/>
          <w:sz w:val="24"/>
          <w:szCs w:val="24"/>
          <w:lang w:val="es-ES_tradnl"/>
        </w:rPr>
        <w:t>omunicar los beneficios de la competencia</w:t>
      </w:r>
      <w:r w:rsidR="00742A49" w:rsidRPr="00241DFD">
        <w:rPr>
          <w:rFonts w:cstheme="minorHAnsi"/>
          <w:sz w:val="24"/>
          <w:szCs w:val="24"/>
          <w:lang w:val="es-ES_tradnl"/>
        </w:rPr>
        <w:t xml:space="preserve"> a la sociedad, así como costos de la fa</w:t>
      </w:r>
      <w:r w:rsidR="00831ED4" w:rsidRPr="00241DFD">
        <w:rPr>
          <w:rFonts w:cstheme="minorHAnsi"/>
          <w:sz w:val="24"/>
          <w:szCs w:val="24"/>
          <w:lang w:val="es-ES_tradnl"/>
        </w:rPr>
        <w:t>lta de ésta</w:t>
      </w:r>
      <w:r w:rsidR="00300A38" w:rsidRPr="00241DFD">
        <w:rPr>
          <w:rFonts w:cstheme="minorHAnsi"/>
          <w:sz w:val="24"/>
          <w:szCs w:val="24"/>
          <w:lang w:val="es-ES_tradnl"/>
        </w:rPr>
        <w:t>;</w:t>
      </w:r>
    </w:p>
    <w:p w:rsidR="003D2B23" w:rsidRPr="00241DFD" w:rsidRDefault="004366D6" w:rsidP="00A868F9">
      <w:pPr>
        <w:pStyle w:val="Prrafodelista"/>
        <w:numPr>
          <w:ilvl w:val="0"/>
          <w:numId w:val="1"/>
        </w:numPr>
        <w:spacing w:line="276" w:lineRule="auto"/>
        <w:jc w:val="both"/>
        <w:rPr>
          <w:rFonts w:cstheme="minorHAnsi"/>
          <w:sz w:val="24"/>
          <w:szCs w:val="24"/>
          <w:lang w:val="es-ES_tradnl"/>
        </w:rPr>
      </w:pPr>
      <w:r w:rsidRPr="00241DFD">
        <w:rPr>
          <w:rFonts w:cstheme="minorHAnsi"/>
          <w:sz w:val="24"/>
          <w:szCs w:val="24"/>
          <w:lang w:val="es-ES_tradnl"/>
        </w:rPr>
        <w:t>P</w:t>
      </w:r>
      <w:r w:rsidR="000460F3" w:rsidRPr="00241DFD">
        <w:rPr>
          <w:rFonts w:cstheme="minorHAnsi"/>
          <w:sz w:val="24"/>
          <w:szCs w:val="24"/>
          <w:lang w:val="es-ES_tradnl"/>
        </w:rPr>
        <w:t>romover la credibilidad de la institución</w:t>
      </w:r>
      <w:r w:rsidR="00742A49" w:rsidRPr="00241DFD">
        <w:rPr>
          <w:rFonts w:cstheme="minorHAnsi"/>
          <w:sz w:val="24"/>
          <w:szCs w:val="24"/>
          <w:lang w:val="es-ES_tradnl"/>
        </w:rPr>
        <w:t xml:space="preserve"> y educar a consumidores y empresas en </w:t>
      </w:r>
      <w:r w:rsidR="00831ED4" w:rsidRPr="00241DFD">
        <w:rPr>
          <w:rFonts w:cstheme="minorHAnsi"/>
          <w:sz w:val="24"/>
          <w:szCs w:val="24"/>
          <w:lang w:val="es-ES_tradnl"/>
        </w:rPr>
        <w:t>temas de competencia económica</w:t>
      </w:r>
      <w:r w:rsidR="009B4848" w:rsidRPr="00241DFD">
        <w:rPr>
          <w:rFonts w:cstheme="minorHAnsi"/>
          <w:sz w:val="24"/>
          <w:szCs w:val="24"/>
          <w:lang w:val="es-ES_tradnl"/>
        </w:rPr>
        <w:t>.</w:t>
      </w:r>
    </w:p>
    <w:p w:rsidR="009B4848" w:rsidRPr="00241DFD" w:rsidRDefault="00742A49" w:rsidP="00A868F9">
      <w:pPr>
        <w:spacing w:line="276" w:lineRule="auto"/>
        <w:jc w:val="both"/>
        <w:rPr>
          <w:rFonts w:cstheme="minorHAnsi"/>
          <w:sz w:val="24"/>
          <w:szCs w:val="24"/>
          <w:lang w:val="es-ES_tradnl"/>
        </w:rPr>
      </w:pPr>
      <w:r w:rsidRPr="00241DFD">
        <w:rPr>
          <w:rFonts w:cstheme="minorHAnsi"/>
          <w:sz w:val="24"/>
          <w:szCs w:val="24"/>
          <w:lang w:val="es-ES_tradnl"/>
        </w:rPr>
        <w:t>Cada una de estas actividades puede tener su propio objetivo que contribuye a fomentar la eficiencia de los mercados.</w:t>
      </w:r>
      <w:r w:rsidR="006E6993" w:rsidRPr="00241DFD">
        <w:rPr>
          <w:rFonts w:cstheme="minorHAnsi"/>
          <w:sz w:val="24"/>
          <w:szCs w:val="24"/>
          <w:lang w:val="es-ES_tradnl"/>
        </w:rPr>
        <w:t xml:space="preserve"> </w:t>
      </w:r>
      <w:r w:rsidR="009B4848" w:rsidRPr="00241DFD">
        <w:rPr>
          <w:rFonts w:cstheme="minorHAnsi"/>
          <w:sz w:val="24"/>
          <w:szCs w:val="24"/>
          <w:lang w:val="es-ES_tradnl"/>
        </w:rPr>
        <w:t>Por ejemplo, l</w:t>
      </w:r>
      <w:r w:rsidRPr="00241DFD">
        <w:rPr>
          <w:rFonts w:cstheme="minorHAnsi"/>
          <w:sz w:val="24"/>
          <w:szCs w:val="24"/>
          <w:lang w:val="es-ES_tradnl"/>
        </w:rPr>
        <w:t>a sensibilización de gobiernos</w:t>
      </w:r>
      <w:r w:rsidR="002351FC" w:rsidRPr="00241DFD">
        <w:rPr>
          <w:rFonts w:cstheme="minorHAnsi"/>
          <w:sz w:val="24"/>
          <w:szCs w:val="24"/>
          <w:lang w:val="es-ES_tradnl"/>
        </w:rPr>
        <w:t xml:space="preserve">, </w:t>
      </w:r>
      <w:r w:rsidRPr="00241DFD">
        <w:rPr>
          <w:rFonts w:cstheme="minorHAnsi"/>
          <w:sz w:val="24"/>
          <w:szCs w:val="24"/>
          <w:lang w:val="es-ES_tradnl"/>
        </w:rPr>
        <w:t xml:space="preserve">legisladores </w:t>
      </w:r>
      <w:r w:rsidR="002351FC" w:rsidRPr="00241DFD">
        <w:rPr>
          <w:rFonts w:cstheme="minorHAnsi"/>
          <w:sz w:val="24"/>
          <w:szCs w:val="24"/>
          <w:lang w:val="es-ES_tradnl"/>
        </w:rPr>
        <w:t xml:space="preserve">y reguladores </w:t>
      </w:r>
      <w:r w:rsidRPr="00241DFD">
        <w:rPr>
          <w:rFonts w:cstheme="minorHAnsi"/>
          <w:sz w:val="24"/>
          <w:szCs w:val="24"/>
          <w:lang w:val="es-ES_tradnl"/>
        </w:rPr>
        <w:t xml:space="preserve">busca </w:t>
      </w:r>
      <w:r w:rsidR="00AB7F99" w:rsidRPr="00241DFD">
        <w:rPr>
          <w:rFonts w:cstheme="minorHAnsi"/>
          <w:sz w:val="24"/>
          <w:szCs w:val="24"/>
          <w:lang w:val="es-ES_tradnl"/>
        </w:rPr>
        <w:t>influenciar</w:t>
      </w:r>
      <w:r w:rsidRPr="00241DFD">
        <w:rPr>
          <w:rFonts w:cstheme="minorHAnsi"/>
          <w:sz w:val="24"/>
          <w:szCs w:val="24"/>
          <w:lang w:val="es-ES_tradnl"/>
        </w:rPr>
        <w:t xml:space="preserve"> </w:t>
      </w:r>
      <w:r w:rsidR="002351FC" w:rsidRPr="00241DFD">
        <w:rPr>
          <w:rFonts w:cstheme="minorHAnsi"/>
          <w:sz w:val="24"/>
          <w:szCs w:val="24"/>
          <w:lang w:val="es-ES_tradnl"/>
        </w:rPr>
        <w:t xml:space="preserve">en una etapa temprana </w:t>
      </w:r>
      <w:r w:rsidRPr="00241DFD">
        <w:rPr>
          <w:rFonts w:cstheme="minorHAnsi"/>
          <w:sz w:val="24"/>
          <w:szCs w:val="24"/>
          <w:lang w:val="es-ES_tradnl"/>
        </w:rPr>
        <w:t>la política pública</w:t>
      </w:r>
      <w:r w:rsidR="002351FC" w:rsidRPr="00241DFD">
        <w:rPr>
          <w:rFonts w:cstheme="minorHAnsi"/>
          <w:sz w:val="24"/>
          <w:szCs w:val="24"/>
          <w:lang w:val="es-ES_tradnl"/>
        </w:rPr>
        <w:t xml:space="preserve"> de manera </w:t>
      </w:r>
      <w:r w:rsidRPr="00241DFD">
        <w:rPr>
          <w:rFonts w:cstheme="minorHAnsi"/>
          <w:sz w:val="24"/>
          <w:szCs w:val="24"/>
          <w:lang w:val="es-ES_tradnl"/>
        </w:rPr>
        <w:t>que incluya una perspectiva de competencia</w:t>
      </w:r>
      <w:r w:rsidR="002351FC" w:rsidRPr="00241DFD">
        <w:rPr>
          <w:rFonts w:cstheme="minorHAnsi"/>
          <w:sz w:val="24"/>
          <w:szCs w:val="24"/>
          <w:lang w:val="es-ES_tradnl"/>
        </w:rPr>
        <w:t xml:space="preserve"> desde su diseño. </w:t>
      </w:r>
      <w:r w:rsidR="009B4848" w:rsidRPr="00241DFD">
        <w:rPr>
          <w:rFonts w:cstheme="minorHAnsi"/>
          <w:sz w:val="24"/>
          <w:szCs w:val="24"/>
          <w:lang w:val="es-ES_tradnl"/>
        </w:rPr>
        <w:t xml:space="preserve">Sensibilizar a </w:t>
      </w:r>
      <w:r w:rsidRPr="00241DFD">
        <w:rPr>
          <w:rFonts w:cstheme="minorHAnsi"/>
          <w:sz w:val="24"/>
          <w:szCs w:val="24"/>
          <w:lang w:val="es-ES_tradnl"/>
        </w:rPr>
        <w:t xml:space="preserve">jueces </w:t>
      </w:r>
      <w:r w:rsidR="009B4848" w:rsidRPr="00241DFD">
        <w:rPr>
          <w:rFonts w:cstheme="minorHAnsi"/>
          <w:sz w:val="24"/>
          <w:szCs w:val="24"/>
          <w:lang w:val="es-ES_tradnl"/>
        </w:rPr>
        <w:t xml:space="preserve">y magistrados </w:t>
      </w:r>
      <w:r w:rsidRPr="00241DFD">
        <w:rPr>
          <w:rFonts w:cstheme="minorHAnsi"/>
          <w:sz w:val="24"/>
          <w:szCs w:val="24"/>
          <w:lang w:val="es-ES_tradnl"/>
        </w:rPr>
        <w:t>puede estar encaminad</w:t>
      </w:r>
      <w:r w:rsidR="009B4848" w:rsidRPr="00241DFD">
        <w:rPr>
          <w:rFonts w:cstheme="minorHAnsi"/>
          <w:sz w:val="24"/>
          <w:szCs w:val="24"/>
          <w:lang w:val="es-ES_tradnl"/>
        </w:rPr>
        <w:t>o</w:t>
      </w:r>
      <w:r w:rsidRPr="00241DFD">
        <w:rPr>
          <w:rFonts w:cstheme="minorHAnsi"/>
          <w:sz w:val="24"/>
          <w:szCs w:val="24"/>
          <w:lang w:val="es-ES_tradnl"/>
        </w:rPr>
        <w:t xml:space="preserve"> </w:t>
      </w:r>
      <w:r w:rsidR="00532D5D" w:rsidRPr="00241DFD">
        <w:rPr>
          <w:rFonts w:cstheme="minorHAnsi"/>
          <w:sz w:val="24"/>
          <w:szCs w:val="24"/>
          <w:lang w:val="es-ES_tradnl"/>
        </w:rPr>
        <w:t xml:space="preserve">a </w:t>
      </w:r>
      <w:r w:rsidR="009B4848" w:rsidRPr="00241DFD">
        <w:rPr>
          <w:rFonts w:cstheme="minorHAnsi"/>
          <w:sz w:val="24"/>
          <w:szCs w:val="24"/>
          <w:lang w:val="es-ES_tradnl"/>
        </w:rPr>
        <w:t xml:space="preserve">informarlos y capacitarlos </w:t>
      </w:r>
      <w:r w:rsidR="002351FC" w:rsidRPr="00241DFD">
        <w:rPr>
          <w:rFonts w:cstheme="minorHAnsi"/>
          <w:sz w:val="24"/>
          <w:szCs w:val="24"/>
          <w:lang w:val="es-ES_tradnl"/>
        </w:rPr>
        <w:t xml:space="preserve">para una toma de decisiones judiciales más informada. </w:t>
      </w:r>
      <w:r w:rsidR="009B4848" w:rsidRPr="00241DFD">
        <w:rPr>
          <w:rFonts w:cstheme="minorHAnsi"/>
          <w:sz w:val="24"/>
          <w:szCs w:val="24"/>
          <w:lang w:val="es-ES_tradnl"/>
        </w:rPr>
        <w:t xml:space="preserve">Interactuar y sensibilizar a </w:t>
      </w:r>
      <w:r w:rsidR="002351FC" w:rsidRPr="00241DFD">
        <w:rPr>
          <w:rFonts w:cstheme="minorHAnsi"/>
          <w:sz w:val="24"/>
          <w:szCs w:val="24"/>
          <w:lang w:val="es-ES_tradnl"/>
        </w:rPr>
        <w:t>la academia</w:t>
      </w:r>
      <w:r w:rsidR="009B4848" w:rsidRPr="00241DFD">
        <w:rPr>
          <w:rFonts w:cstheme="minorHAnsi"/>
          <w:sz w:val="24"/>
          <w:szCs w:val="24"/>
          <w:lang w:val="es-ES_tradnl"/>
        </w:rPr>
        <w:t xml:space="preserve"> está encaminado</w:t>
      </w:r>
      <w:r w:rsidR="002351FC" w:rsidRPr="00241DFD">
        <w:rPr>
          <w:rFonts w:cstheme="minorHAnsi"/>
          <w:sz w:val="24"/>
          <w:szCs w:val="24"/>
          <w:lang w:val="es-ES_tradnl"/>
        </w:rPr>
        <w:t xml:space="preserve"> a promover la investigación académica en temas de competencia</w:t>
      </w:r>
      <w:r w:rsidR="009B4848" w:rsidRPr="00241DFD">
        <w:rPr>
          <w:rFonts w:cstheme="minorHAnsi"/>
          <w:sz w:val="24"/>
          <w:szCs w:val="24"/>
          <w:lang w:val="es-ES_tradnl"/>
        </w:rPr>
        <w:t xml:space="preserve"> para dar solidez a los análisis y las herramientas que se utilizan en la aplicación de política de la competencia</w:t>
      </w:r>
      <w:r w:rsidR="002351FC" w:rsidRPr="00241DFD">
        <w:rPr>
          <w:rFonts w:cstheme="minorHAnsi"/>
          <w:sz w:val="24"/>
          <w:szCs w:val="24"/>
          <w:lang w:val="es-ES_tradnl"/>
        </w:rPr>
        <w:t xml:space="preserve">. </w:t>
      </w:r>
    </w:p>
    <w:p w:rsidR="00BC0B29" w:rsidRPr="00241DFD" w:rsidRDefault="002351FC" w:rsidP="00A868F9">
      <w:pPr>
        <w:spacing w:line="276" w:lineRule="auto"/>
        <w:jc w:val="both"/>
        <w:rPr>
          <w:rFonts w:cstheme="minorHAnsi"/>
          <w:sz w:val="24"/>
          <w:szCs w:val="24"/>
          <w:lang w:val="es-ES_tradnl"/>
        </w:rPr>
      </w:pPr>
      <w:r w:rsidRPr="00241DFD">
        <w:rPr>
          <w:rFonts w:cstheme="minorHAnsi"/>
          <w:sz w:val="24"/>
          <w:szCs w:val="24"/>
          <w:lang w:val="es-ES_tradnl"/>
        </w:rPr>
        <w:lastRenderedPageBreak/>
        <w:t xml:space="preserve">Las opiniones </w:t>
      </w:r>
      <w:r w:rsidR="009B4848" w:rsidRPr="00241DFD">
        <w:rPr>
          <w:rFonts w:cstheme="minorHAnsi"/>
          <w:sz w:val="24"/>
          <w:szCs w:val="24"/>
          <w:lang w:val="es-ES_tradnl"/>
        </w:rPr>
        <w:t xml:space="preserve">que emite una agencia de competencia </w:t>
      </w:r>
      <w:r w:rsidRPr="00241DFD">
        <w:rPr>
          <w:rFonts w:cstheme="minorHAnsi"/>
          <w:sz w:val="24"/>
          <w:szCs w:val="24"/>
          <w:lang w:val="es-ES_tradnl"/>
        </w:rPr>
        <w:t xml:space="preserve">buscan </w:t>
      </w:r>
      <w:r w:rsidR="00AB7F99" w:rsidRPr="00241DFD">
        <w:rPr>
          <w:rFonts w:cstheme="minorHAnsi"/>
          <w:sz w:val="24"/>
          <w:szCs w:val="24"/>
          <w:lang w:val="es-ES_tradnl"/>
        </w:rPr>
        <w:t xml:space="preserve">influenciar </w:t>
      </w:r>
      <w:r w:rsidRPr="00241DFD">
        <w:rPr>
          <w:rFonts w:cstheme="minorHAnsi"/>
          <w:sz w:val="24"/>
          <w:szCs w:val="24"/>
          <w:lang w:val="es-ES_tradnl"/>
        </w:rPr>
        <w:t xml:space="preserve">la política pública en una etapa </w:t>
      </w:r>
      <w:r w:rsidR="009B4848" w:rsidRPr="00241DFD">
        <w:rPr>
          <w:rFonts w:cstheme="minorHAnsi"/>
          <w:sz w:val="24"/>
          <w:szCs w:val="24"/>
          <w:lang w:val="es-ES_tradnl"/>
        </w:rPr>
        <w:t xml:space="preserve">preventiva—en el caso de proyectos de ley o de normas—o hacerlo ya en una etapa </w:t>
      </w:r>
      <w:r w:rsidRPr="00241DFD">
        <w:rPr>
          <w:rFonts w:cstheme="minorHAnsi"/>
          <w:sz w:val="24"/>
          <w:szCs w:val="24"/>
          <w:lang w:val="es-ES_tradnl"/>
        </w:rPr>
        <w:t>más</w:t>
      </w:r>
      <w:r w:rsidR="009B4848" w:rsidRPr="00241DFD">
        <w:rPr>
          <w:rFonts w:cstheme="minorHAnsi"/>
          <w:sz w:val="24"/>
          <w:szCs w:val="24"/>
          <w:lang w:val="es-ES_tradnl"/>
        </w:rPr>
        <w:t xml:space="preserve"> tardía</w:t>
      </w:r>
      <w:r w:rsidRPr="00241DFD">
        <w:rPr>
          <w:rFonts w:cstheme="minorHAnsi"/>
          <w:sz w:val="24"/>
          <w:szCs w:val="24"/>
          <w:lang w:val="es-ES_tradnl"/>
        </w:rPr>
        <w:t xml:space="preserve">. La difusión de los beneficios de la competencia afianza la confianza </w:t>
      </w:r>
      <w:r w:rsidR="009B4848" w:rsidRPr="00241DFD">
        <w:rPr>
          <w:rFonts w:cstheme="minorHAnsi"/>
          <w:sz w:val="24"/>
          <w:szCs w:val="24"/>
          <w:lang w:val="es-ES_tradnl"/>
        </w:rPr>
        <w:t>hacia</w:t>
      </w:r>
      <w:r w:rsidRPr="00241DFD">
        <w:rPr>
          <w:rFonts w:cstheme="minorHAnsi"/>
          <w:sz w:val="24"/>
          <w:szCs w:val="24"/>
          <w:lang w:val="es-ES_tradnl"/>
        </w:rPr>
        <w:t xml:space="preserve"> la institución</w:t>
      </w:r>
      <w:r w:rsidR="009B4848" w:rsidRPr="00241DFD">
        <w:rPr>
          <w:rFonts w:cstheme="minorHAnsi"/>
          <w:sz w:val="24"/>
          <w:szCs w:val="24"/>
          <w:lang w:val="es-ES_tradnl"/>
        </w:rPr>
        <w:t xml:space="preserve"> y su quehacer</w:t>
      </w:r>
      <w:r w:rsidRPr="00241DFD">
        <w:rPr>
          <w:rFonts w:cstheme="minorHAnsi"/>
          <w:sz w:val="24"/>
          <w:szCs w:val="24"/>
          <w:lang w:val="es-ES_tradnl"/>
        </w:rPr>
        <w:t xml:space="preserve">. La difusión de las actividades de la autoridad consolida </w:t>
      </w:r>
      <w:r w:rsidR="009B4848" w:rsidRPr="00241DFD">
        <w:rPr>
          <w:rFonts w:cstheme="minorHAnsi"/>
          <w:sz w:val="24"/>
          <w:szCs w:val="24"/>
          <w:lang w:val="es-ES_tradnl"/>
        </w:rPr>
        <w:t xml:space="preserve">su </w:t>
      </w:r>
      <w:r w:rsidRPr="00241DFD">
        <w:rPr>
          <w:rFonts w:cstheme="minorHAnsi"/>
          <w:sz w:val="24"/>
          <w:szCs w:val="24"/>
          <w:lang w:val="es-ES_tradnl"/>
        </w:rPr>
        <w:t xml:space="preserve">credibilidad </w:t>
      </w:r>
      <w:r w:rsidR="009B4848" w:rsidRPr="00241DFD">
        <w:rPr>
          <w:rFonts w:cstheme="minorHAnsi"/>
          <w:sz w:val="24"/>
          <w:szCs w:val="24"/>
          <w:lang w:val="es-ES_tradnl"/>
        </w:rPr>
        <w:t>como defensor y promotor de la competencia</w:t>
      </w:r>
      <w:r w:rsidR="003D2B23" w:rsidRPr="00241DFD">
        <w:rPr>
          <w:rFonts w:cstheme="minorHAnsi"/>
          <w:sz w:val="24"/>
          <w:szCs w:val="24"/>
          <w:lang w:val="es-ES_tradnl"/>
        </w:rPr>
        <w:t>, lo cual disuade</w:t>
      </w:r>
      <w:r w:rsidRPr="00241DFD">
        <w:rPr>
          <w:rFonts w:cstheme="minorHAnsi"/>
          <w:sz w:val="24"/>
          <w:szCs w:val="24"/>
          <w:lang w:val="es-ES_tradnl"/>
        </w:rPr>
        <w:t xml:space="preserve"> futuras prácticas anticompetitivas. </w:t>
      </w:r>
    </w:p>
    <w:p w:rsidR="00AB7F99" w:rsidRPr="00241DFD" w:rsidRDefault="002351FC" w:rsidP="00A868F9">
      <w:pPr>
        <w:spacing w:line="276" w:lineRule="auto"/>
        <w:jc w:val="both"/>
        <w:rPr>
          <w:rFonts w:cstheme="minorHAnsi"/>
          <w:sz w:val="24"/>
          <w:szCs w:val="24"/>
          <w:lang w:val="es-ES_tradnl"/>
        </w:rPr>
      </w:pPr>
      <w:r w:rsidRPr="00241DFD">
        <w:rPr>
          <w:rFonts w:cstheme="minorHAnsi"/>
          <w:sz w:val="24"/>
          <w:szCs w:val="24"/>
          <w:lang w:val="es-ES_tradnl"/>
        </w:rPr>
        <w:t>Un rol de educador entre empresarios puede igualmente inhibir conductas o promover denuncias.</w:t>
      </w:r>
      <w:r w:rsidR="006E6993" w:rsidRPr="00241DFD">
        <w:rPr>
          <w:rFonts w:cstheme="minorHAnsi"/>
          <w:sz w:val="24"/>
          <w:szCs w:val="24"/>
          <w:lang w:val="es-ES_tradnl"/>
        </w:rPr>
        <w:t xml:space="preserve"> </w:t>
      </w:r>
      <w:r w:rsidR="00BC0B29" w:rsidRPr="00241DFD">
        <w:rPr>
          <w:rFonts w:cstheme="minorHAnsi"/>
          <w:sz w:val="24"/>
          <w:szCs w:val="24"/>
          <w:lang w:val="es-ES_tradnl"/>
        </w:rPr>
        <w:t>Así, l</w:t>
      </w:r>
      <w:r w:rsidR="00AB7F99" w:rsidRPr="00241DFD">
        <w:rPr>
          <w:rFonts w:cstheme="minorHAnsi"/>
          <w:sz w:val="24"/>
          <w:szCs w:val="24"/>
          <w:lang w:val="es-ES_tradnl"/>
        </w:rPr>
        <w:t xml:space="preserve">a abogacía </w:t>
      </w:r>
      <w:r w:rsidR="009B4848" w:rsidRPr="00241DFD">
        <w:rPr>
          <w:rFonts w:cstheme="minorHAnsi"/>
          <w:sz w:val="24"/>
          <w:szCs w:val="24"/>
          <w:lang w:val="es-ES_tradnl"/>
        </w:rPr>
        <w:t xml:space="preserve">en pro de la </w:t>
      </w:r>
      <w:r w:rsidR="00AB7F99" w:rsidRPr="00241DFD">
        <w:rPr>
          <w:rFonts w:cstheme="minorHAnsi"/>
          <w:sz w:val="24"/>
          <w:szCs w:val="24"/>
          <w:lang w:val="es-ES_tradnl"/>
        </w:rPr>
        <w:t>competencia y las act</w:t>
      </w:r>
      <w:r w:rsidR="00383CDD" w:rsidRPr="00241DFD">
        <w:rPr>
          <w:rFonts w:cstheme="minorHAnsi"/>
          <w:sz w:val="24"/>
          <w:szCs w:val="24"/>
          <w:lang w:val="es-ES_tradnl"/>
        </w:rPr>
        <w:t xml:space="preserve">ividades de cumplimiento de la </w:t>
      </w:r>
      <w:r w:rsidR="00532D5D" w:rsidRPr="00241DFD">
        <w:rPr>
          <w:rFonts w:cstheme="minorHAnsi"/>
          <w:sz w:val="24"/>
          <w:szCs w:val="24"/>
          <w:lang w:val="es-ES_tradnl"/>
        </w:rPr>
        <w:t>l</w:t>
      </w:r>
      <w:r w:rsidR="00AB7F99" w:rsidRPr="00241DFD">
        <w:rPr>
          <w:rFonts w:cstheme="minorHAnsi"/>
          <w:sz w:val="24"/>
          <w:szCs w:val="24"/>
          <w:lang w:val="es-ES_tradnl"/>
        </w:rPr>
        <w:t>ey</w:t>
      </w:r>
      <w:r w:rsidR="00BC0B29" w:rsidRPr="00241DFD">
        <w:rPr>
          <w:rFonts w:cstheme="minorHAnsi"/>
          <w:sz w:val="24"/>
          <w:szCs w:val="24"/>
          <w:lang w:val="es-ES_tradnl"/>
        </w:rPr>
        <w:t xml:space="preserve"> que incluyen </w:t>
      </w:r>
      <w:r w:rsidR="00AB7F99" w:rsidRPr="00241DFD">
        <w:rPr>
          <w:rFonts w:cstheme="minorHAnsi"/>
          <w:sz w:val="24"/>
          <w:szCs w:val="24"/>
          <w:lang w:val="es-ES_tradnl"/>
        </w:rPr>
        <w:t>vigilar y sancionar conductas no son completamente ajenas entre ellas. Como se mencionó antes, la abogacía también puede tener efectos y objetivos disuasorios</w:t>
      </w:r>
      <w:r w:rsidR="003D2B23" w:rsidRPr="00241DFD">
        <w:rPr>
          <w:rFonts w:cstheme="minorHAnsi"/>
          <w:sz w:val="24"/>
          <w:szCs w:val="24"/>
          <w:lang w:val="es-ES_tradnl"/>
        </w:rPr>
        <w:t>, lo cual</w:t>
      </w:r>
      <w:r w:rsidR="00AB7F99" w:rsidRPr="00241DFD">
        <w:rPr>
          <w:rFonts w:cstheme="minorHAnsi"/>
          <w:sz w:val="24"/>
          <w:szCs w:val="24"/>
          <w:lang w:val="es-ES_tradnl"/>
        </w:rPr>
        <w:t xml:space="preserve"> tiene un impacto directo en la </w:t>
      </w:r>
      <w:r w:rsidR="00BC0B29" w:rsidRPr="00241DFD">
        <w:rPr>
          <w:rFonts w:cstheme="minorHAnsi"/>
          <w:sz w:val="24"/>
          <w:szCs w:val="24"/>
          <w:lang w:val="es-ES_tradnl"/>
        </w:rPr>
        <w:t xml:space="preserve">realización </w:t>
      </w:r>
      <w:r w:rsidR="00AB7F99" w:rsidRPr="00241DFD">
        <w:rPr>
          <w:rFonts w:cstheme="minorHAnsi"/>
          <w:sz w:val="24"/>
          <w:szCs w:val="24"/>
          <w:lang w:val="es-ES_tradnl"/>
        </w:rPr>
        <w:t>de conductas y en la cooperación de los agentes</w:t>
      </w:r>
      <w:r w:rsidR="00BC0B29" w:rsidRPr="00241DFD">
        <w:rPr>
          <w:rFonts w:cstheme="minorHAnsi"/>
          <w:sz w:val="24"/>
          <w:szCs w:val="24"/>
          <w:lang w:val="es-ES_tradnl"/>
        </w:rPr>
        <w:t xml:space="preserve"> en procedimientos de investigación</w:t>
      </w:r>
      <w:r w:rsidR="00AB7F99" w:rsidRPr="00241DFD">
        <w:rPr>
          <w:rFonts w:cstheme="minorHAnsi"/>
          <w:sz w:val="24"/>
          <w:szCs w:val="24"/>
          <w:lang w:val="es-ES_tradnl"/>
        </w:rPr>
        <w:t xml:space="preserve">. </w:t>
      </w:r>
    </w:p>
    <w:p w:rsidR="006A54D4" w:rsidRPr="00241DFD" w:rsidRDefault="00AB7F99" w:rsidP="00A868F9">
      <w:pPr>
        <w:spacing w:line="276" w:lineRule="auto"/>
        <w:jc w:val="both"/>
        <w:rPr>
          <w:rFonts w:cstheme="minorHAnsi"/>
          <w:sz w:val="24"/>
          <w:szCs w:val="24"/>
          <w:lang w:val="es-ES_tradnl"/>
        </w:rPr>
      </w:pPr>
      <w:r w:rsidRPr="00241DFD">
        <w:rPr>
          <w:rFonts w:cstheme="minorHAnsi"/>
          <w:sz w:val="24"/>
          <w:szCs w:val="24"/>
          <w:lang w:val="es-ES_tradnl"/>
        </w:rPr>
        <w:t xml:space="preserve">Para que la política de abogacía surta efectos debe ser dirigida, articulada y evaluada. Esfuerzos aislados que carecen de estrategia conjunta corren el riesgo de no ser </w:t>
      </w:r>
      <w:r w:rsidR="003D2B23" w:rsidRPr="00241DFD">
        <w:rPr>
          <w:rFonts w:cstheme="minorHAnsi"/>
          <w:sz w:val="24"/>
          <w:szCs w:val="24"/>
          <w:lang w:val="es-ES_tradnl"/>
        </w:rPr>
        <w:t>efectivos</w:t>
      </w:r>
      <w:r w:rsidR="00BC0B29" w:rsidRPr="00241DFD">
        <w:rPr>
          <w:rFonts w:cstheme="minorHAnsi"/>
          <w:sz w:val="24"/>
          <w:szCs w:val="24"/>
          <w:lang w:val="es-ES_tradnl"/>
        </w:rPr>
        <w:t xml:space="preserve"> o de ser menos </w:t>
      </w:r>
      <w:r w:rsidR="003D2B23" w:rsidRPr="00241DFD">
        <w:rPr>
          <w:rFonts w:cstheme="minorHAnsi"/>
          <w:sz w:val="24"/>
          <w:szCs w:val="24"/>
          <w:lang w:val="es-ES_tradnl"/>
        </w:rPr>
        <w:t xml:space="preserve">efectivos </w:t>
      </w:r>
      <w:r w:rsidR="00BC0B29" w:rsidRPr="00241DFD">
        <w:rPr>
          <w:rFonts w:cstheme="minorHAnsi"/>
          <w:sz w:val="24"/>
          <w:szCs w:val="24"/>
          <w:lang w:val="es-ES_tradnl"/>
        </w:rPr>
        <w:t xml:space="preserve">que </w:t>
      </w:r>
      <w:r w:rsidRPr="00241DFD">
        <w:rPr>
          <w:rFonts w:cstheme="minorHAnsi"/>
          <w:sz w:val="24"/>
          <w:szCs w:val="24"/>
          <w:lang w:val="es-ES_tradnl"/>
        </w:rPr>
        <w:t xml:space="preserve">si se llevaran a cabo de manera orquestada. Si bien las áreas de abogacía necesitarían </w:t>
      </w:r>
      <w:r w:rsidR="005F3659" w:rsidRPr="00241DFD">
        <w:rPr>
          <w:rFonts w:cstheme="minorHAnsi"/>
          <w:sz w:val="24"/>
          <w:szCs w:val="24"/>
          <w:lang w:val="es-ES_tradnl"/>
        </w:rPr>
        <w:t xml:space="preserve">contar con </w:t>
      </w:r>
      <w:r w:rsidR="007C7BC5" w:rsidRPr="00241DFD">
        <w:rPr>
          <w:rFonts w:cstheme="minorHAnsi"/>
          <w:sz w:val="24"/>
          <w:szCs w:val="24"/>
          <w:lang w:val="es-ES_tradnl"/>
        </w:rPr>
        <w:t xml:space="preserve">recursos humanos y materiales, </w:t>
      </w:r>
      <w:r w:rsidR="005F3659" w:rsidRPr="00241DFD">
        <w:rPr>
          <w:rFonts w:cstheme="minorHAnsi"/>
          <w:sz w:val="24"/>
          <w:szCs w:val="24"/>
          <w:lang w:val="es-ES_tradnl"/>
        </w:rPr>
        <w:t xml:space="preserve">fundamentalmente requieren de tener </w:t>
      </w:r>
      <w:r w:rsidR="007C7BC5" w:rsidRPr="00241DFD">
        <w:rPr>
          <w:rFonts w:cstheme="minorHAnsi"/>
          <w:sz w:val="24"/>
          <w:szCs w:val="24"/>
          <w:lang w:val="es-ES_tradnl"/>
        </w:rPr>
        <w:t xml:space="preserve">visión. Esta visión debería ser encabezada </w:t>
      </w:r>
      <w:r w:rsidR="005F3659" w:rsidRPr="00241DFD">
        <w:rPr>
          <w:rFonts w:cstheme="minorHAnsi"/>
          <w:sz w:val="24"/>
          <w:szCs w:val="24"/>
          <w:lang w:val="es-ES_tradnl"/>
        </w:rPr>
        <w:t>a</w:t>
      </w:r>
      <w:r w:rsidR="007C7BC5" w:rsidRPr="00241DFD">
        <w:rPr>
          <w:rFonts w:cstheme="minorHAnsi"/>
          <w:sz w:val="24"/>
          <w:szCs w:val="24"/>
          <w:lang w:val="es-ES_tradnl"/>
        </w:rPr>
        <w:t>l más alto nivel de la institución</w:t>
      </w:r>
      <w:r w:rsidR="00ED328E" w:rsidRPr="00241DFD">
        <w:rPr>
          <w:rFonts w:cstheme="minorHAnsi"/>
          <w:sz w:val="24"/>
          <w:szCs w:val="24"/>
          <w:lang w:val="es-ES_tradnl"/>
        </w:rPr>
        <w:t>, pues gran parte de la abogacía se hace hacia afuera de la institución</w:t>
      </w:r>
      <w:r w:rsidR="005F3659" w:rsidRPr="00241DFD">
        <w:rPr>
          <w:rFonts w:cstheme="minorHAnsi"/>
          <w:sz w:val="24"/>
          <w:szCs w:val="24"/>
          <w:lang w:val="es-ES_tradnl"/>
        </w:rPr>
        <w:t>—</w:t>
      </w:r>
      <w:r w:rsidR="00ED328E" w:rsidRPr="00241DFD">
        <w:rPr>
          <w:rFonts w:cstheme="minorHAnsi"/>
          <w:sz w:val="24"/>
          <w:szCs w:val="24"/>
          <w:lang w:val="es-ES_tradnl"/>
        </w:rPr>
        <w:t>con</w:t>
      </w:r>
      <w:r w:rsidR="005F3659" w:rsidRPr="00241DFD">
        <w:rPr>
          <w:rFonts w:cstheme="minorHAnsi"/>
          <w:sz w:val="24"/>
          <w:szCs w:val="24"/>
          <w:lang w:val="es-ES_tradnl"/>
        </w:rPr>
        <w:t xml:space="preserve"> </w:t>
      </w:r>
      <w:r w:rsidR="00ED328E" w:rsidRPr="00241DFD">
        <w:rPr>
          <w:rFonts w:cstheme="minorHAnsi"/>
          <w:sz w:val="24"/>
          <w:szCs w:val="24"/>
          <w:lang w:val="es-ES_tradnl"/>
        </w:rPr>
        <w:t>gobiernos, empresas, academia</w:t>
      </w:r>
      <w:r w:rsidR="00532D5D" w:rsidRPr="00241DFD">
        <w:rPr>
          <w:rFonts w:cstheme="minorHAnsi"/>
          <w:sz w:val="24"/>
          <w:szCs w:val="24"/>
          <w:lang w:val="es-ES_tradnl"/>
        </w:rPr>
        <w:t>, consumidores y usuarios</w:t>
      </w:r>
      <w:r w:rsidR="005F3659" w:rsidRPr="00241DFD">
        <w:rPr>
          <w:rFonts w:cstheme="minorHAnsi"/>
          <w:sz w:val="24"/>
          <w:szCs w:val="24"/>
          <w:lang w:val="es-ES_tradnl"/>
        </w:rPr>
        <w:t>—</w:t>
      </w:r>
      <w:r w:rsidR="00ED328E" w:rsidRPr="00241DFD">
        <w:rPr>
          <w:rFonts w:cstheme="minorHAnsi"/>
          <w:sz w:val="24"/>
          <w:szCs w:val="24"/>
          <w:lang w:val="es-ES_tradnl"/>
        </w:rPr>
        <w:t>y</w:t>
      </w:r>
      <w:r w:rsidR="005F3659" w:rsidRPr="00241DFD">
        <w:rPr>
          <w:rFonts w:cstheme="minorHAnsi"/>
          <w:sz w:val="24"/>
          <w:szCs w:val="24"/>
          <w:lang w:val="es-ES_tradnl"/>
        </w:rPr>
        <w:t xml:space="preserve"> requieren de la cabeza del organismo para articularla de forma que</w:t>
      </w:r>
      <w:r w:rsidR="00ED328E" w:rsidRPr="00241DFD">
        <w:rPr>
          <w:rFonts w:cstheme="minorHAnsi"/>
          <w:sz w:val="24"/>
          <w:szCs w:val="24"/>
          <w:lang w:val="es-ES_tradnl"/>
        </w:rPr>
        <w:t xml:space="preserve"> el mensaje </w:t>
      </w:r>
      <w:r w:rsidR="005F3659" w:rsidRPr="00241DFD">
        <w:rPr>
          <w:rFonts w:cstheme="minorHAnsi"/>
          <w:sz w:val="24"/>
          <w:szCs w:val="24"/>
          <w:lang w:val="es-ES_tradnl"/>
        </w:rPr>
        <w:t xml:space="preserve">sea </w:t>
      </w:r>
      <w:r w:rsidR="00ED328E" w:rsidRPr="00241DFD">
        <w:rPr>
          <w:rFonts w:cstheme="minorHAnsi"/>
          <w:sz w:val="24"/>
          <w:szCs w:val="24"/>
          <w:lang w:val="es-ES_tradnl"/>
        </w:rPr>
        <w:t xml:space="preserve">institucional y claro. </w:t>
      </w:r>
      <w:r w:rsidR="00532D5D" w:rsidRPr="00241DFD">
        <w:rPr>
          <w:rFonts w:cstheme="minorHAnsi"/>
          <w:sz w:val="24"/>
          <w:szCs w:val="24"/>
          <w:lang w:val="es-ES_tradnl"/>
        </w:rPr>
        <w:t>E</w:t>
      </w:r>
      <w:r w:rsidR="00ED328E" w:rsidRPr="00241DFD">
        <w:rPr>
          <w:rFonts w:cstheme="minorHAnsi"/>
          <w:sz w:val="24"/>
          <w:szCs w:val="24"/>
          <w:lang w:val="es-ES_tradnl"/>
        </w:rPr>
        <w:t xml:space="preserve">scuchar el mensaje de parte de quien preside una autoridad de competencia es importante para consolidar una percepción de opinión institucional, en lugar de la opinión aislada de un área </w:t>
      </w:r>
      <w:r w:rsidR="005F3659" w:rsidRPr="00241DFD">
        <w:rPr>
          <w:rFonts w:cstheme="minorHAnsi"/>
          <w:sz w:val="24"/>
          <w:szCs w:val="24"/>
          <w:lang w:val="es-ES_tradnl"/>
        </w:rPr>
        <w:t>o un grupo de personas dentro de la autoridad</w:t>
      </w:r>
      <w:r w:rsidR="00ED328E" w:rsidRPr="00241DFD">
        <w:rPr>
          <w:rFonts w:cstheme="minorHAnsi"/>
          <w:sz w:val="24"/>
          <w:szCs w:val="24"/>
          <w:lang w:val="es-ES_tradnl"/>
        </w:rPr>
        <w:t xml:space="preserve">. </w:t>
      </w:r>
    </w:p>
    <w:p w:rsidR="00183E6C" w:rsidRPr="00115370" w:rsidRDefault="00A71730" w:rsidP="00183E6C">
      <w:pPr>
        <w:pStyle w:val="Ttulo2"/>
        <w:rPr>
          <w:rFonts w:asciiTheme="minorHAnsi" w:hAnsiTheme="minorHAnsi" w:cstheme="minorHAnsi"/>
          <w:b/>
          <w:color w:val="auto"/>
          <w:sz w:val="24"/>
          <w:szCs w:val="24"/>
          <w:lang w:val="es-ES_tradnl"/>
        </w:rPr>
      </w:pPr>
      <w:r w:rsidRPr="00115370">
        <w:rPr>
          <w:rFonts w:asciiTheme="minorHAnsi" w:hAnsiTheme="minorHAnsi" w:cstheme="minorHAnsi"/>
          <w:b/>
          <w:color w:val="auto"/>
          <w:sz w:val="24"/>
          <w:szCs w:val="24"/>
        </w:rPr>
        <w:t>Recomendaciones</w:t>
      </w:r>
    </w:p>
    <w:p w:rsidR="006F5C6B" w:rsidRPr="00115370" w:rsidRDefault="00A71730" w:rsidP="00F03C42">
      <w:pPr>
        <w:pStyle w:val="Ttulo3"/>
        <w:numPr>
          <w:ilvl w:val="0"/>
          <w:numId w:val="6"/>
        </w:numPr>
        <w:ind w:left="0" w:hanging="142"/>
        <w:jc w:val="both"/>
        <w:rPr>
          <w:rFonts w:asciiTheme="minorHAnsi" w:hAnsiTheme="minorHAnsi" w:cstheme="minorHAnsi"/>
          <w:i w:val="0"/>
          <w:color w:val="auto"/>
        </w:rPr>
      </w:pPr>
      <w:r w:rsidRPr="00115370">
        <w:rPr>
          <w:rFonts w:asciiTheme="minorHAnsi" w:hAnsiTheme="minorHAnsi" w:cstheme="minorHAnsi"/>
          <w:i w:val="0"/>
          <w:color w:val="auto"/>
          <w:u w:val="single"/>
        </w:rPr>
        <w:t>Responsabilidad de política de abogacía</w:t>
      </w:r>
      <w:r w:rsidRPr="00115370">
        <w:rPr>
          <w:rFonts w:asciiTheme="minorHAnsi" w:hAnsiTheme="minorHAnsi" w:cstheme="minorHAnsi"/>
          <w:i w:val="0"/>
          <w:color w:val="auto"/>
        </w:rPr>
        <w:t xml:space="preserve">. </w:t>
      </w:r>
      <w:r w:rsidR="00144A8A" w:rsidRPr="00115370">
        <w:rPr>
          <w:rFonts w:asciiTheme="minorHAnsi" w:hAnsiTheme="minorHAnsi" w:cstheme="minorHAnsi"/>
          <w:i w:val="0"/>
          <w:color w:val="auto"/>
        </w:rPr>
        <w:t>Tomando en cuenta el recuento anterior, consideramos que p</w:t>
      </w:r>
      <w:r w:rsidR="00ED328E" w:rsidRPr="00115370">
        <w:rPr>
          <w:rFonts w:asciiTheme="minorHAnsi" w:hAnsiTheme="minorHAnsi" w:cstheme="minorHAnsi"/>
          <w:i w:val="0"/>
          <w:color w:val="auto"/>
        </w:rPr>
        <w:t xml:space="preserve">ara el Instituto Federal de Telecomunicaciones (IFT), </w:t>
      </w:r>
      <w:r w:rsidR="00144A8A" w:rsidRPr="00115370">
        <w:rPr>
          <w:rFonts w:asciiTheme="minorHAnsi" w:hAnsiTheme="minorHAnsi" w:cstheme="minorHAnsi"/>
          <w:i w:val="0"/>
          <w:color w:val="auto"/>
        </w:rPr>
        <w:t>el principal rol</w:t>
      </w:r>
      <w:r w:rsidR="00003C09" w:rsidRPr="00115370">
        <w:rPr>
          <w:rFonts w:asciiTheme="minorHAnsi" w:hAnsiTheme="minorHAnsi" w:cstheme="minorHAnsi"/>
          <w:i w:val="0"/>
          <w:color w:val="auto"/>
        </w:rPr>
        <w:t xml:space="preserve"> de abogacía debe recaer en el C</w:t>
      </w:r>
      <w:r w:rsidR="00144A8A" w:rsidRPr="00115370">
        <w:rPr>
          <w:rFonts w:asciiTheme="minorHAnsi" w:hAnsiTheme="minorHAnsi" w:cstheme="minorHAnsi"/>
          <w:i w:val="0"/>
          <w:color w:val="auto"/>
        </w:rPr>
        <w:t xml:space="preserve">omisionado </w:t>
      </w:r>
      <w:r w:rsidR="00003C09" w:rsidRPr="00115370">
        <w:rPr>
          <w:rFonts w:asciiTheme="minorHAnsi" w:hAnsiTheme="minorHAnsi" w:cstheme="minorHAnsi"/>
          <w:i w:val="0"/>
          <w:color w:val="auto"/>
        </w:rPr>
        <w:t>P</w:t>
      </w:r>
      <w:r w:rsidR="00ED328E" w:rsidRPr="00115370">
        <w:rPr>
          <w:rFonts w:asciiTheme="minorHAnsi" w:hAnsiTheme="minorHAnsi" w:cstheme="minorHAnsi"/>
          <w:i w:val="0"/>
          <w:color w:val="auto"/>
        </w:rPr>
        <w:t>resi</w:t>
      </w:r>
      <w:r w:rsidR="0045229A" w:rsidRPr="00115370">
        <w:rPr>
          <w:rFonts w:asciiTheme="minorHAnsi" w:hAnsiTheme="minorHAnsi" w:cstheme="minorHAnsi"/>
          <w:i w:val="0"/>
          <w:color w:val="auto"/>
        </w:rPr>
        <w:t>dente, el P</w:t>
      </w:r>
      <w:r w:rsidR="00ED328E" w:rsidRPr="00115370">
        <w:rPr>
          <w:rFonts w:asciiTheme="minorHAnsi" w:hAnsiTheme="minorHAnsi" w:cstheme="minorHAnsi"/>
          <w:i w:val="0"/>
          <w:color w:val="auto"/>
        </w:rPr>
        <w:t>leno o un órga</w:t>
      </w:r>
      <w:r w:rsidR="00183E6C" w:rsidRPr="00115370">
        <w:rPr>
          <w:rFonts w:asciiTheme="minorHAnsi" w:hAnsiTheme="minorHAnsi" w:cstheme="minorHAnsi"/>
          <w:i w:val="0"/>
          <w:color w:val="auto"/>
        </w:rPr>
        <w:t>no que dependa directamente de é</w:t>
      </w:r>
      <w:r w:rsidR="00ED328E" w:rsidRPr="00115370">
        <w:rPr>
          <w:rFonts w:asciiTheme="minorHAnsi" w:hAnsiTheme="minorHAnsi" w:cstheme="minorHAnsi"/>
          <w:i w:val="0"/>
          <w:color w:val="auto"/>
        </w:rPr>
        <w:t>stos</w:t>
      </w:r>
      <w:r w:rsidR="00144A8A" w:rsidRPr="00115370">
        <w:rPr>
          <w:rFonts w:asciiTheme="minorHAnsi" w:hAnsiTheme="minorHAnsi" w:cstheme="minorHAnsi"/>
          <w:i w:val="0"/>
          <w:color w:val="auto"/>
        </w:rPr>
        <w:t xml:space="preserve">. Así quien encabece </w:t>
      </w:r>
      <w:r w:rsidR="00ED328E" w:rsidRPr="00115370">
        <w:rPr>
          <w:rFonts w:asciiTheme="minorHAnsi" w:hAnsiTheme="minorHAnsi" w:cstheme="minorHAnsi"/>
          <w:i w:val="0"/>
          <w:color w:val="auto"/>
        </w:rPr>
        <w:t xml:space="preserve">los esfuerzos </w:t>
      </w:r>
      <w:r w:rsidR="00144A8A" w:rsidRPr="00115370">
        <w:rPr>
          <w:rFonts w:asciiTheme="minorHAnsi" w:hAnsiTheme="minorHAnsi" w:cstheme="minorHAnsi"/>
          <w:i w:val="0"/>
          <w:color w:val="auto"/>
        </w:rPr>
        <w:t xml:space="preserve">de abogacía a favor de la competencia puede hacerlo </w:t>
      </w:r>
      <w:r w:rsidR="00ED328E" w:rsidRPr="00115370">
        <w:rPr>
          <w:rFonts w:asciiTheme="minorHAnsi" w:hAnsiTheme="minorHAnsi" w:cstheme="minorHAnsi"/>
          <w:i w:val="0"/>
          <w:color w:val="auto"/>
        </w:rPr>
        <w:t xml:space="preserve">con una visión única </w:t>
      </w:r>
      <w:r w:rsidR="00144A8A" w:rsidRPr="00115370">
        <w:rPr>
          <w:rFonts w:asciiTheme="minorHAnsi" w:hAnsiTheme="minorHAnsi" w:cstheme="minorHAnsi"/>
          <w:i w:val="0"/>
          <w:color w:val="auto"/>
        </w:rPr>
        <w:t xml:space="preserve">que establezca </w:t>
      </w:r>
      <w:r w:rsidR="00ED328E" w:rsidRPr="00115370">
        <w:rPr>
          <w:rFonts w:asciiTheme="minorHAnsi" w:hAnsiTheme="minorHAnsi" w:cstheme="minorHAnsi"/>
          <w:i w:val="0"/>
          <w:color w:val="auto"/>
        </w:rPr>
        <w:t xml:space="preserve">prioridades y </w:t>
      </w:r>
      <w:r w:rsidR="00144A8A" w:rsidRPr="00115370">
        <w:rPr>
          <w:rFonts w:asciiTheme="minorHAnsi" w:hAnsiTheme="minorHAnsi" w:cstheme="minorHAnsi"/>
          <w:i w:val="0"/>
          <w:color w:val="auto"/>
        </w:rPr>
        <w:t xml:space="preserve">coordine las </w:t>
      </w:r>
      <w:r w:rsidR="00532D5D" w:rsidRPr="00115370">
        <w:rPr>
          <w:rFonts w:asciiTheme="minorHAnsi" w:hAnsiTheme="minorHAnsi" w:cstheme="minorHAnsi"/>
          <w:i w:val="0"/>
          <w:color w:val="auto"/>
        </w:rPr>
        <w:t>la</w:t>
      </w:r>
      <w:r w:rsidR="00144A8A" w:rsidRPr="00115370">
        <w:rPr>
          <w:rFonts w:asciiTheme="minorHAnsi" w:hAnsiTheme="minorHAnsi" w:cstheme="minorHAnsi"/>
          <w:i w:val="0"/>
          <w:color w:val="auto"/>
        </w:rPr>
        <w:t>bores de las dife</w:t>
      </w:r>
      <w:bookmarkStart w:id="0" w:name="_GoBack"/>
      <w:bookmarkEnd w:id="0"/>
      <w:r w:rsidR="00144A8A" w:rsidRPr="00115370">
        <w:rPr>
          <w:rFonts w:asciiTheme="minorHAnsi" w:hAnsiTheme="minorHAnsi" w:cstheme="minorHAnsi"/>
          <w:i w:val="0"/>
          <w:color w:val="auto"/>
        </w:rPr>
        <w:t>rentes áreas al interior del IFT</w:t>
      </w:r>
      <w:r w:rsidR="00ED328E" w:rsidRPr="00115370">
        <w:rPr>
          <w:rFonts w:asciiTheme="minorHAnsi" w:hAnsiTheme="minorHAnsi" w:cstheme="minorHAnsi"/>
          <w:i w:val="0"/>
          <w:color w:val="auto"/>
        </w:rPr>
        <w:t>.</w:t>
      </w:r>
      <w:r w:rsidR="006A54D4" w:rsidRPr="00115370">
        <w:rPr>
          <w:rFonts w:asciiTheme="minorHAnsi" w:hAnsiTheme="minorHAnsi" w:cstheme="minorHAnsi"/>
          <w:i w:val="0"/>
          <w:color w:val="auto"/>
        </w:rPr>
        <w:t xml:space="preserve"> Hoy, el IFT tiene cuatro coordinaciones y una unidad que asume</w:t>
      </w:r>
      <w:r w:rsidR="00532D5D" w:rsidRPr="00115370">
        <w:rPr>
          <w:rFonts w:asciiTheme="minorHAnsi" w:hAnsiTheme="minorHAnsi" w:cstheme="minorHAnsi"/>
          <w:i w:val="0"/>
          <w:color w:val="auto"/>
        </w:rPr>
        <w:t>n</w:t>
      </w:r>
      <w:r w:rsidR="006A54D4" w:rsidRPr="00115370">
        <w:rPr>
          <w:rFonts w:asciiTheme="minorHAnsi" w:hAnsiTheme="minorHAnsi" w:cstheme="minorHAnsi"/>
          <w:i w:val="0"/>
          <w:color w:val="auto"/>
        </w:rPr>
        <w:t xml:space="preserve"> algún papel de abogacía</w:t>
      </w:r>
      <w:r w:rsidR="00532D5D" w:rsidRPr="00115370">
        <w:rPr>
          <w:rFonts w:asciiTheme="minorHAnsi" w:hAnsiTheme="minorHAnsi" w:cstheme="minorHAnsi"/>
          <w:i w:val="0"/>
          <w:color w:val="auto"/>
        </w:rPr>
        <w:t xml:space="preserve"> de la competencia</w:t>
      </w:r>
      <w:r w:rsidR="006A54D4" w:rsidRPr="00115370">
        <w:rPr>
          <w:rFonts w:asciiTheme="minorHAnsi" w:hAnsiTheme="minorHAnsi" w:cstheme="minorHAnsi"/>
          <w:i w:val="0"/>
          <w:color w:val="auto"/>
        </w:rPr>
        <w:t xml:space="preserve">: </w:t>
      </w:r>
    </w:p>
    <w:p w:rsidR="006F5C6B" w:rsidRPr="00241DFD" w:rsidRDefault="006A54D4" w:rsidP="00A868F9">
      <w:pPr>
        <w:pStyle w:val="Prrafodelista"/>
        <w:numPr>
          <w:ilvl w:val="0"/>
          <w:numId w:val="2"/>
        </w:numPr>
        <w:spacing w:line="276" w:lineRule="auto"/>
        <w:jc w:val="both"/>
        <w:rPr>
          <w:rFonts w:cstheme="minorHAnsi"/>
          <w:sz w:val="24"/>
          <w:szCs w:val="24"/>
          <w:lang w:val="es-ES_tradnl"/>
        </w:rPr>
      </w:pPr>
      <w:r w:rsidRPr="00241DFD">
        <w:rPr>
          <w:rFonts w:cstheme="minorHAnsi"/>
          <w:sz w:val="24"/>
          <w:szCs w:val="24"/>
          <w:lang w:val="es-ES_tradnl"/>
        </w:rPr>
        <w:t>Coordinación Gen</w:t>
      </w:r>
      <w:r w:rsidR="006F5C6B" w:rsidRPr="00241DFD">
        <w:rPr>
          <w:rFonts w:cstheme="minorHAnsi"/>
          <w:sz w:val="24"/>
          <w:szCs w:val="24"/>
          <w:lang w:val="es-ES_tradnl"/>
        </w:rPr>
        <w:t>eral de Planeación Estratégica</w:t>
      </w:r>
      <w:r w:rsidR="00300A38" w:rsidRPr="00241DFD">
        <w:rPr>
          <w:rFonts w:cstheme="minorHAnsi"/>
          <w:sz w:val="24"/>
          <w:szCs w:val="24"/>
          <w:lang w:val="es-ES_tradnl"/>
        </w:rPr>
        <w:t>;</w:t>
      </w:r>
    </w:p>
    <w:p w:rsidR="006F5C6B" w:rsidRPr="00241DFD" w:rsidRDefault="006A54D4" w:rsidP="00A868F9">
      <w:pPr>
        <w:pStyle w:val="Prrafodelista"/>
        <w:numPr>
          <w:ilvl w:val="0"/>
          <w:numId w:val="2"/>
        </w:numPr>
        <w:spacing w:line="276" w:lineRule="auto"/>
        <w:jc w:val="both"/>
        <w:rPr>
          <w:rFonts w:cstheme="minorHAnsi"/>
          <w:sz w:val="24"/>
          <w:szCs w:val="24"/>
          <w:lang w:val="es-ES_tradnl"/>
        </w:rPr>
      </w:pPr>
      <w:r w:rsidRPr="00241DFD">
        <w:rPr>
          <w:rFonts w:cstheme="minorHAnsi"/>
          <w:sz w:val="24"/>
          <w:szCs w:val="24"/>
          <w:lang w:val="es-ES_tradnl"/>
        </w:rPr>
        <w:t>Coordinación</w:t>
      </w:r>
      <w:r w:rsidR="006F5C6B" w:rsidRPr="00241DFD">
        <w:rPr>
          <w:rFonts w:cstheme="minorHAnsi"/>
          <w:sz w:val="24"/>
          <w:szCs w:val="24"/>
          <w:lang w:val="es-ES_tradnl"/>
        </w:rPr>
        <w:t xml:space="preserve"> General de Mejora Regulatoria</w:t>
      </w:r>
      <w:r w:rsidR="00300A38" w:rsidRPr="00241DFD">
        <w:rPr>
          <w:rFonts w:cstheme="minorHAnsi"/>
          <w:sz w:val="24"/>
          <w:szCs w:val="24"/>
          <w:lang w:val="es-ES_tradnl"/>
        </w:rPr>
        <w:t>;</w:t>
      </w:r>
    </w:p>
    <w:p w:rsidR="006F5C6B" w:rsidRPr="00241DFD" w:rsidRDefault="006A54D4" w:rsidP="00A868F9">
      <w:pPr>
        <w:pStyle w:val="Prrafodelista"/>
        <w:numPr>
          <w:ilvl w:val="0"/>
          <w:numId w:val="2"/>
        </w:numPr>
        <w:spacing w:line="276" w:lineRule="auto"/>
        <w:jc w:val="both"/>
        <w:rPr>
          <w:rFonts w:cstheme="minorHAnsi"/>
          <w:sz w:val="24"/>
          <w:szCs w:val="24"/>
          <w:lang w:val="es-ES_tradnl"/>
        </w:rPr>
      </w:pPr>
      <w:r w:rsidRPr="00241DFD">
        <w:rPr>
          <w:rFonts w:cstheme="minorHAnsi"/>
          <w:sz w:val="24"/>
          <w:szCs w:val="24"/>
          <w:lang w:val="es-ES_tradnl"/>
        </w:rPr>
        <w:t>Coordinación Genera</w:t>
      </w:r>
      <w:r w:rsidR="006F5C6B" w:rsidRPr="00241DFD">
        <w:rPr>
          <w:rFonts w:cstheme="minorHAnsi"/>
          <w:sz w:val="24"/>
          <w:szCs w:val="24"/>
          <w:lang w:val="es-ES_tradnl"/>
        </w:rPr>
        <w:t>l de Vinculación Institucional</w:t>
      </w:r>
      <w:r w:rsidR="00300A38" w:rsidRPr="00241DFD">
        <w:rPr>
          <w:rFonts w:cstheme="minorHAnsi"/>
          <w:sz w:val="24"/>
          <w:szCs w:val="24"/>
          <w:lang w:val="es-ES_tradnl"/>
        </w:rPr>
        <w:t>;</w:t>
      </w:r>
    </w:p>
    <w:p w:rsidR="006F5C6B" w:rsidRPr="00241DFD" w:rsidRDefault="006A54D4" w:rsidP="00A868F9">
      <w:pPr>
        <w:pStyle w:val="Prrafodelista"/>
        <w:numPr>
          <w:ilvl w:val="0"/>
          <w:numId w:val="2"/>
        </w:numPr>
        <w:spacing w:line="276" w:lineRule="auto"/>
        <w:jc w:val="both"/>
        <w:rPr>
          <w:rFonts w:cstheme="minorHAnsi"/>
          <w:sz w:val="24"/>
          <w:szCs w:val="24"/>
          <w:lang w:val="es-ES_tradnl"/>
        </w:rPr>
      </w:pPr>
      <w:r w:rsidRPr="00241DFD">
        <w:rPr>
          <w:rFonts w:cstheme="minorHAnsi"/>
          <w:sz w:val="24"/>
          <w:szCs w:val="24"/>
          <w:lang w:val="es-ES_tradnl"/>
        </w:rPr>
        <w:t xml:space="preserve">Coordinación </w:t>
      </w:r>
      <w:r w:rsidR="006F5C6B" w:rsidRPr="00241DFD">
        <w:rPr>
          <w:rFonts w:cstheme="minorHAnsi"/>
          <w:sz w:val="24"/>
          <w:szCs w:val="24"/>
          <w:lang w:val="es-ES_tradnl"/>
        </w:rPr>
        <w:t>General de Comunicación Social</w:t>
      </w:r>
      <w:r w:rsidR="00300A38" w:rsidRPr="00241DFD">
        <w:rPr>
          <w:rFonts w:cstheme="minorHAnsi"/>
          <w:sz w:val="24"/>
          <w:szCs w:val="24"/>
          <w:lang w:val="es-ES_tradnl"/>
        </w:rPr>
        <w:t>, y</w:t>
      </w:r>
    </w:p>
    <w:p w:rsidR="006F5C6B" w:rsidRPr="00241DFD" w:rsidRDefault="006A54D4" w:rsidP="00A868F9">
      <w:pPr>
        <w:pStyle w:val="Prrafodelista"/>
        <w:numPr>
          <w:ilvl w:val="0"/>
          <w:numId w:val="2"/>
        </w:numPr>
        <w:spacing w:line="276" w:lineRule="auto"/>
        <w:jc w:val="both"/>
        <w:rPr>
          <w:rFonts w:cstheme="minorHAnsi"/>
          <w:sz w:val="24"/>
          <w:szCs w:val="24"/>
          <w:lang w:val="es-ES_tradnl"/>
        </w:rPr>
      </w:pPr>
      <w:r w:rsidRPr="00241DFD">
        <w:rPr>
          <w:rFonts w:cstheme="minorHAnsi"/>
          <w:sz w:val="24"/>
          <w:szCs w:val="24"/>
          <w:lang w:val="es-ES_tradnl"/>
        </w:rPr>
        <w:lastRenderedPageBreak/>
        <w:t>U</w:t>
      </w:r>
      <w:r w:rsidR="006F5C6B" w:rsidRPr="00241DFD">
        <w:rPr>
          <w:rFonts w:cstheme="minorHAnsi"/>
          <w:sz w:val="24"/>
          <w:szCs w:val="24"/>
          <w:lang w:val="es-ES_tradnl"/>
        </w:rPr>
        <w:t>nidad de Competencia Económica</w:t>
      </w:r>
      <w:r w:rsidR="00300A38" w:rsidRPr="00241DFD">
        <w:rPr>
          <w:rFonts w:cstheme="minorHAnsi"/>
          <w:sz w:val="24"/>
          <w:szCs w:val="24"/>
          <w:lang w:val="es-ES_tradnl"/>
        </w:rPr>
        <w:t>.</w:t>
      </w:r>
    </w:p>
    <w:p w:rsidR="00115370" w:rsidRDefault="006A54D4" w:rsidP="00F03C42">
      <w:pPr>
        <w:spacing w:line="276" w:lineRule="auto"/>
        <w:ind w:left="142"/>
        <w:jc w:val="both"/>
        <w:rPr>
          <w:rFonts w:cstheme="minorHAnsi"/>
          <w:sz w:val="24"/>
          <w:szCs w:val="24"/>
          <w:lang w:val="es-ES_tradnl"/>
        </w:rPr>
      </w:pPr>
      <w:r w:rsidRPr="00241DFD">
        <w:rPr>
          <w:rFonts w:cstheme="minorHAnsi"/>
          <w:sz w:val="24"/>
          <w:szCs w:val="24"/>
          <w:lang w:val="es-ES_tradnl"/>
        </w:rPr>
        <w:t>Algunas tienen funciones de r</w:t>
      </w:r>
      <w:r w:rsidR="00144A8A" w:rsidRPr="00241DFD">
        <w:rPr>
          <w:rFonts w:cstheme="minorHAnsi"/>
          <w:sz w:val="24"/>
          <w:szCs w:val="24"/>
          <w:lang w:val="es-ES_tradnl"/>
        </w:rPr>
        <w:t>ecomendaciones al interior del I</w:t>
      </w:r>
      <w:r w:rsidRPr="00241DFD">
        <w:rPr>
          <w:rFonts w:cstheme="minorHAnsi"/>
          <w:sz w:val="24"/>
          <w:szCs w:val="24"/>
          <w:lang w:val="es-ES_tradnl"/>
        </w:rPr>
        <w:t xml:space="preserve">nstituto, mientras </w:t>
      </w:r>
      <w:r w:rsidR="00144A8A" w:rsidRPr="00241DFD">
        <w:rPr>
          <w:rFonts w:cstheme="minorHAnsi"/>
          <w:sz w:val="24"/>
          <w:szCs w:val="24"/>
          <w:lang w:val="es-ES_tradnl"/>
        </w:rPr>
        <w:t xml:space="preserve">que </w:t>
      </w:r>
      <w:r w:rsidRPr="00241DFD">
        <w:rPr>
          <w:rFonts w:cstheme="minorHAnsi"/>
          <w:sz w:val="24"/>
          <w:szCs w:val="24"/>
          <w:lang w:val="es-ES_tradnl"/>
        </w:rPr>
        <w:t xml:space="preserve">otras </w:t>
      </w:r>
      <w:r w:rsidR="00144A8A" w:rsidRPr="00241DFD">
        <w:rPr>
          <w:rFonts w:cstheme="minorHAnsi"/>
          <w:sz w:val="24"/>
          <w:szCs w:val="24"/>
          <w:lang w:val="es-ES_tradnl"/>
        </w:rPr>
        <w:t xml:space="preserve">las tienen </w:t>
      </w:r>
      <w:r w:rsidRPr="00241DFD">
        <w:rPr>
          <w:rFonts w:cstheme="minorHAnsi"/>
          <w:sz w:val="24"/>
          <w:szCs w:val="24"/>
          <w:lang w:val="es-ES_tradnl"/>
        </w:rPr>
        <w:t xml:space="preserve">más al exterior con </w:t>
      </w:r>
      <w:r w:rsidR="00144A8A" w:rsidRPr="00241DFD">
        <w:rPr>
          <w:rFonts w:cstheme="minorHAnsi"/>
          <w:sz w:val="24"/>
          <w:szCs w:val="24"/>
          <w:lang w:val="es-ES_tradnl"/>
        </w:rPr>
        <w:t xml:space="preserve">diferentes </w:t>
      </w:r>
      <w:r w:rsidRPr="00241DFD">
        <w:rPr>
          <w:rFonts w:cstheme="minorHAnsi"/>
          <w:sz w:val="24"/>
          <w:szCs w:val="24"/>
          <w:lang w:val="es-ES_tradnl"/>
        </w:rPr>
        <w:t xml:space="preserve">actores </w:t>
      </w:r>
      <w:r w:rsidR="00144A8A" w:rsidRPr="00241DFD">
        <w:rPr>
          <w:rFonts w:cstheme="minorHAnsi"/>
          <w:sz w:val="24"/>
          <w:szCs w:val="24"/>
          <w:lang w:val="es-ES_tradnl"/>
        </w:rPr>
        <w:t xml:space="preserve">que inciden sobre </w:t>
      </w:r>
      <w:r w:rsidRPr="00241DFD">
        <w:rPr>
          <w:rFonts w:cstheme="minorHAnsi"/>
          <w:sz w:val="24"/>
          <w:szCs w:val="24"/>
          <w:lang w:val="es-ES_tradnl"/>
        </w:rPr>
        <w:t xml:space="preserve">las telecomunicaciones, </w:t>
      </w:r>
      <w:r w:rsidR="00144A8A" w:rsidRPr="00241DFD">
        <w:rPr>
          <w:rFonts w:cstheme="minorHAnsi"/>
          <w:sz w:val="24"/>
          <w:szCs w:val="24"/>
          <w:lang w:val="es-ES_tradnl"/>
        </w:rPr>
        <w:t xml:space="preserve">ya sea </w:t>
      </w:r>
      <w:r w:rsidRPr="00241DFD">
        <w:rPr>
          <w:rFonts w:cstheme="minorHAnsi"/>
          <w:sz w:val="24"/>
          <w:szCs w:val="24"/>
          <w:lang w:val="es-ES_tradnl"/>
        </w:rPr>
        <w:t xml:space="preserve">gobiernos, prensa, etcétera. </w:t>
      </w:r>
      <w:r w:rsidR="00144A8A" w:rsidRPr="00241DFD">
        <w:rPr>
          <w:rFonts w:cstheme="minorHAnsi"/>
          <w:sz w:val="24"/>
          <w:szCs w:val="24"/>
          <w:lang w:val="es-ES_tradnl"/>
        </w:rPr>
        <w:t>Todas e</w:t>
      </w:r>
      <w:r w:rsidRPr="00241DFD">
        <w:rPr>
          <w:rFonts w:cstheme="minorHAnsi"/>
          <w:sz w:val="24"/>
          <w:szCs w:val="24"/>
          <w:lang w:val="es-ES_tradnl"/>
        </w:rPr>
        <w:t xml:space="preserve">stas acciones deben tener una visión </w:t>
      </w:r>
      <w:r w:rsidR="00E26A55" w:rsidRPr="00241DFD">
        <w:rPr>
          <w:rFonts w:cstheme="minorHAnsi"/>
          <w:sz w:val="24"/>
          <w:szCs w:val="24"/>
          <w:lang w:val="es-ES_tradnl"/>
        </w:rPr>
        <w:t xml:space="preserve">y estrategia </w:t>
      </w:r>
      <w:r w:rsidRPr="00241DFD">
        <w:rPr>
          <w:rFonts w:cstheme="minorHAnsi"/>
          <w:sz w:val="24"/>
          <w:szCs w:val="24"/>
          <w:lang w:val="es-ES_tradnl"/>
        </w:rPr>
        <w:t>compartida</w:t>
      </w:r>
      <w:r w:rsidR="00144A8A" w:rsidRPr="00241DFD">
        <w:rPr>
          <w:rFonts w:cstheme="minorHAnsi"/>
          <w:sz w:val="24"/>
          <w:szCs w:val="24"/>
          <w:lang w:val="es-ES_tradnl"/>
        </w:rPr>
        <w:t>, coordinada desde arriba</w:t>
      </w:r>
      <w:r w:rsidRPr="00241DFD">
        <w:rPr>
          <w:rFonts w:cstheme="minorHAnsi"/>
          <w:sz w:val="24"/>
          <w:szCs w:val="24"/>
          <w:lang w:val="es-ES_tradnl"/>
        </w:rPr>
        <w:t xml:space="preserve">. </w:t>
      </w:r>
    </w:p>
    <w:p w:rsidR="00F03C42" w:rsidRDefault="00F03C42" w:rsidP="00F03C42">
      <w:pPr>
        <w:pStyle w:val="Ttulo3"/>
        <w:numPr>
          <w:ilvl w:val="0"/>
          <w:numId w:val="6"/>
        </w:numPr>
        <w:ind w:left="142"/>
        <w:jc w:val="both"/>
        <w:rPr>
          <w:rFonts w:cstheme="minorHAnsi"/>
          <w:i w:val="0"/>
        </w:rPr>
      </w:pPr>
      <w:r w:rsidRPr="00115370">
        <w:rPr>
          <w:rFonts w:asciiTheme="minorHAnsi" w:hAnsiTheme="minorHAnsi" w:cstheme="minorHAnsi"/>
          <w:i w:val="0"/>
          <w:color w:val="auto"/>
          <w:u w:val="single"/>
        </w:rPr>
        <w:t>Reconocimiento hacia fuera y hacia adentro del doble rol del IFT: regulador y autoridad de competencia</w:t>
      </w:r>
      <w:r w:rsidRPr="00115370">
        <w:rPr>
          <w:rFonts w:asciiTheme="minorHAnsi" w:hAnsiTheme="minorHAnsi" w:cstheme="minorHAnsi"/>
          <w:i w:val="0"/>
          <w:color w:val="auto"/>
        </w:rPr>
        <w:t xml:space="preserve">. Dado que una parte de la abogacía se dedica a convencer a los reguladores de incluir una agenda que promueva la competencia en el sector regulado, el IFT tiene un reto mayor, pues una gran parte de las actividades de abogacía en competencia en telecomunicaciones tendría que ocurrir al interior del Instituto para articular y armonizar la política regulatoria con la de competencia. Así, parte de la agenda de abogacía tendría que considerar si el IFT considera relevante que ciertas recomendaciones sean públicas, de manera que le permita preservar su reputación y credibilidad, tanto como autoridad regulatoria, como autoridad de competencia. En este sentido, los canales de flujo de la información de abogacía deben ser claros y ágiles. El objetivo es armonizar la política de abogacía, por lo que los esfuerzos que vayan en ese camino deben estar libres y no entorpecidos por burocracia innecesaria. Al interior los retos son dos: (1) armonizar la visión y estrategia, y (2) ser origen y recipiente de la política de abogacía. </w:t>
      </w:r>
    </w:p>
    <w:p w:rsidR="00F03C42" w:rsidRPr="00F03C42" w:rsidRDefault="00F03C42" w:rsidP="00F03C42">
      <w:pPr>
        <w:pStyle w:val="Ttulo3"/>
        <w:numPr>
          <w:ilvl w:val="0"/>
          <w:numId w:val="6"/>
        </w:numPr>
        <w:ind w:left="142"/>
        <w:jc w:val="both"/>
        <w:rPr>
          <w:rFonts w:asciiTheme="minorHAnsi" w:hAnsiTheme="minorHAnsi" w:cstheme="minorHAnsi"/>
          <w:color w:val="auto"/>
        </w:rPr>
      </w:pPr>
      <w:r w:rsidRPr="00F03C42">
        <w:rPr>
          <w:rFonts w:asciiTheme="minorHAnsi" w:hAnsiTheme="minorHAnsi" w:cstheme="minorHAnsi"/>
          <w:color w:val="auto"/>
          <w:u w:val="single"/>
        </w:rPr>
        <w:t>Prioridades en establecer labores de abogacía hacia fuera del Instituto.</w:t>
      </w:r>
      <w:r w:rsidRPr="00F03C42">
        <w:rPr>
          <w:rFonts w:asciiTheme="minorHAnsi" w:hAnsiTheme="minorHAnsi" w:cstheme="minorHAnsi"/>
          <w:color w:val="auto"/>
        </w:rPr>
        <w:t xml:space="preserve"> En cuanto a la labor de abogacía hacia afuera, el IFT debe buscar concretar sus esfuerzos identificando (1) áreas clave que necesitan ser atendidas para solucionar problemas de telecomunicaciones y (2) mejores formas para sensibilizar al órgano que tenga la autoridad para solucionar esto problemas. Un ejemplo son las barreras regulatorias que algunos gobiernos locales imponen para la construcción y despliegue de infraestructura de telecomunicaciones. Aunque no es necesariamente la intención de estos gobiernos obstaculizar la competencia—y por ello actuar con procedimientos sancionatorios no es ideal—las labores de abogacía en este caso sí podrían articular un frente coordinado de todas las áreas del IFT para mejor informarlos y convencerlos de los beneficios de la competencia y de la mayor conectividad para la sociedad en general.</w:t>
      </w:r>
    </w:p>
    <w:p w:rsidR="00F03C42" w:rsidRDefault="00F03C42" w:rsidP="00115370">
      <w:pPr>
        <w:spacing w:line="276" w:lineRule="auto"/>
        <w:ind w:left="360"/>
        <w:jc w:val="both"/>
        <w:rPr>
          <w:rFonts w:cstheme="minorHAnsi"/>
          <w:sz w:val="24"/>
          <w:szCs w:val="24"/>
          <w:lang w:val="es-ES_tradnl"/>
        </w:rPr>
      </w:pPr>
    </w:p>
    <w:p w:rsidR="00B7418D" w:rsidRPr="00115370" w:rsidRDefault="00397CB0" w:rsidP="00F03C42">
      <w:pPr>
        <w:pStyle w:val="Ttulo3"/>
        <w:numPr>
          <w:ilvl w:val="0"/>
          <w:numId w:val="6"/>
        </w:numPr>
        <w:spacing w:after="240"/>
        <w:ind w:left="142"/>
        <w:jc w:val="both"/>
        <w:rPr>
          <w:rFonts w:asciiTheme="minorHAnsi" w:hAnsiTheme="minorHAnsi" w:cstheme="minorHAnsi"/>
          <w:i w:val="0"/>
          <w:color w:val="auto"/>
        </w:rPr>
      </w:pPr>
      <w:r w:rsidRPr="00F03C42">
        <w:rPr>
          <w:rFonts w:asciiTheme="minorHAnsi" w:hAnsiTheme="minorHAnsi" w:cstheme="minorHAnsi"/>
          <w:i w:val="0"/>
          <w:color w:val="auto"/>
          <w:u w:val="single"/>
        </w:rPr>
        <w:lastRenderedPageBreak/>
        <w:t xml:space="preserve">Identificación de audiencias </w:t>
      </w:r>
      <w:r w:rsidRPr="00115370">
        <w:rPr>
          <w:rFonts w:asciiTheme="minorHAnsi" w:hAnsiTheme="minorHAnsi" w:cstheme="minorHAnsi"/>
          <w:i w:val="0"/>
          <w:color w:val="auto"/>
          <w:u w:val="single"/>
        </w:rPr>
        <w:t xml:space="preserve">y temas para llevar a cabo labores de abogacía. </w:t>
      </w:r>
      <w:r w:rsidR="003F38AC" w:rsidRPr="00115370">
        <w:rPr>
          <w:rFonts w:asciiTheme="minorHAnsi" w:hAnsiTheme="minorHAnsi" w:cstheme="minorHAnsi"/>
          <w:i w:val="0"/>
          <w:color w:val="auto"/>
        </w:rPr>
        <w:t xml:space="preserve">Las labores de abogacía hacia afuera </w:t>
      </w:r>
      <w:r w:rsidR="00585349" w:rsidRPr="00115370">
        <w:rPr>
          <w:rFonts w:asciiTheme="minorHAnsi" w:hAnsiTheme="minorHAnsi" w:cstheme="minorHAnsi"/>
          <w:i w:val="0"/>
          <w:color w:val="auto"/>
        </w:rPr>
        <w:t xml:space="preserve">del Instituto </w:t>
      </w:r>
      <w:r w:rsidR="003F38AC" w:rsidRPr="00115370">
        <w:rPr>
          <w:rFonts w:asciiTheme="minorHAnsi" w:hAnsiTheme="minorHAnsi" w:cstheme="minorHAnsi"/>
          <w:i w:val="0"/>
          <w:color w:val="auto"/>
        </w:rPr>
        <w:t>con legisladores,</w:t>
      </w:r>
      <w:r w:rsidR="00B9029B" w:rsidRPr="00115370">
        <w:rPr>
          <w:rFonts w:asciiTheme="minorHAnsi" w:hAnsiTheme="minorHAnsi" w:cstheme="minorHAnsi"/>
          <w:i w:val="0"/>
          <w:color w:val="auto"/>
        </w:rPr>
        <w:t xml:space="preserve"> gobiernos,</w:t>
      </w:r>
      <w:r w:rsidR="003F38AC" w:rsidRPr="00115370">
        <w:rPr>
          <w:rFonts w:asciiTheme="minorHAnsi" w:hAnsiTheme="minorHAnsi" w:cstheme="minorHAnsi"/>
          <w:i w:val="0"/>
          <w:color w:val="auto"/>
        </w:rPr>
        <w:t xml:space="preserve"> jueces</w:t>
      </w:r>
      <w:r w:rsidR="00B9029B" w:rsidRPr="00115370">
        <w:rPr>
          <w:rFonts w:asciiTheme="minorHAnsi" w:hAnsiTheme="minorHAnsi" w:cstheme="minorHAnsi"/>
          <w:i w:val="0"/>
          <w:color w:val="auto"/>
        </w:rPr>
        <w:t>,</w:t>
      </w:r>
      <w:r w:rsidR="003F38AC" w:rsidRPr="00115370">
        <w:rPr>
          <w:rFonts w:asciiTheme="minorHAnsi" w:hAnsiTheme="minorHAnsi" w:cstheme="minorHAnsi"/>
          <w:i w:val="0"/>
          <w:color w:val="auto"/>
        </w:rPr>
        <w:t xml:space="preserve"> opinión pública </w:t>
      </w:r>
      <w:r w:rsidR="00B9029B" w:rsidRPr="00115370">
        <w:rPr>
          <w:rFonts w:asciiTheme="minorHAnsi" w:hAnsiTheme="minorHAnsi" w:cstheme="minorHAnsi"/>
          <w:i w:val="0"/>
          <w:color w:val="auto"/>
        </w:rPr>
        <w:t xml:space="preserve">y otros actores clave </w:t>
      </w:r>
      <w:r w:rsidR="003F38AC" w:rsidRPr="00115370">
        <w:rPr>
          <w:rFonts w:asciiTheme="minorHAnsi" w:hAnsiTheme="minorHAnsi" w:cstheme="minorHAnsi"/>
          <w:i w:val="0"/>
          <w:color w:val="auto"/>
        </w:rPr>
        <w:t>deben estar coordinadas</w:t>
      </w:r>
      <w:r w:rsidR="00B9029B" w:rsidRPr="00115370">
        <w:rPr>
          <w:rFonts w:asciiTheme="minorHAnsi" w:hAnsiTheme="minorHAnsi" w:cstheme="minorHAnsi"/>
          <w:i w:val="0"/>
          <w:color w:val="auto"/>
        </w:rPr>
        <w:t xml:space="preserve"> para lograr objetivos particulares. Si el IFT está preocupad</w:t>
      </w:r>
      <w:r w:rsidR="00B7418D" w:rsidRPr="00115370">
        <w:rPr>
          <w:rFonts w:asciiTheme="minorHAnsi" w:hAnsiTheme="minorHAnsi" w:cstheme="minorHAnsi"/>
          <w:i w:val="0"/>
          <w:color w:val="auto"/>
        </w:rPr>
        <w:t>o</w:t>
      </w:r>
      <w:r w:rsidR="00B9029B" w:rsidRPr="00115370">
        <w:rPr>
          <w:rFonts w:asciiTheme="minorHAnsi" w:hAnsiTheme="minorHAnsi" w:cstheme="minorHAnsi"/>
          <w:i w:val="0"/>
          <w:color w:val="auto"/>
        </w:rPr>
        <w:t xml:space="preserve"> por la conectividad, sería sensato encaminar hacia allá </w:t>
      </w:r>
      <w:r w:rsidR="00B7418D" w:rsidRPr="00115370">
        <w:rPr>
          <w:rFonts w:asciiTheme="minorHAnsi" w:hAnsiTheme="minorHAnsi" w:cstheme="minorHAnsi"/>
          <w:i w:val="0"/>
          <w:color w:val="auto"/>
        </w:rPr>
        <w:t>el esfuerzo de abogacía de competencia para que se logre el objetivo (conectividad) sin obstaculizar la competencia, o mejor aún, que se logre mediante competencia. Lo mismo sucede con la abogacía al interior. Un estudio de mercado, que es un instrumento de abogacía,</w:t>
      </w:r>
      <w:r w:rsidR="00EA1787" w:rsidRPr="00115370">
        <w:rPr>
          <w:rFonts w:asciiTheme="minorHAnsi" w:hAnsiTheme="minorHAnsi" w:cstheme="minorHAnsi"/>
          <w:i w:val="0"/>
          <w:color w:val="auto"/>
        </w:rPr>
        <w:t xml:space="preserve"> puede tener como destinatario a</w:t>
      </w:r>
      <w:r w:rsidR="00B7418D" w:rsidRPr="00115370">
        <w:rPr>
          <w:rFonts w:asciiTheme="minorHAnsi" w:hAnsiTheme="minorHAnsi" w:cstheme="minorHAnsi"/>
          <w:i w:val="0"/>
          <w:color w:val="auto"/>
        </w:rPr>
        <w:t xml:space="preserve">l mismo IFT haciéndole ver los obstáculos de competencia que se pueden solucionar cambiando la regulación o su implementación. En este sentido, el flujo interno de </w:t>
      </w:r>
      <w:r w:rsidR="00EA1787" w:rsidRPr="00115370">
        <w:rPr>
          <w:rFonts w:asciiTheme="minorHAnsi" w:hAnsiTheme="minorHAnsi" w:cstheme="minorHAnsi"/>
          <w:i w:val="0"/>
          <w:color w:val="auto"/>
        </w:rPr>
        <w:t xml:space="preserve">comunicación a través de herramientas de </w:t>
      </w:r>
      <w:r w:rsidR="00B7418D" w:rsidRPr="00115370">
        <w:rPr>
          <w:rFonts w:asciiTheme="minorHAnsi" w:hAnsiTheme="minorHAnsi" w:cstheme="minorHAnsi"/>
          <w:i w:val="0"/>
          <w:color w:val="auto"/>
        </w:rPr>
        <w:t xml:space="preserve">abogacía </w:t>
      </w:r>
      <w:r w:rsidR="00EA1787" w:rsidRPr="00115370">
        <w:rPr>
          <w:rFonts w:asciiTheme="minorHAnsi" w:hAnsiTheme="minorHAnsi" w:cstheme="minorHAnsi"/>
          <w:i w:val="0"/>
          <w:color w:val="auto"/>
        </w:rPr>
        <w:t xml:space="preserve">hacia adentro del </w:t>
      </w:r>
      <w:r w:rsidR="00B7418D" w:rsidRPr="00115370">
        <w:rPr>
          <w:rFonts w:asciiTheme="minorHAnsi" w:hAnsiTheme="minorHAnsi" w:cstheme="minorHAnsi"/>
          <w:i w:val="0"/>
          <w:color w:val="auto"/>
        </w:rPr>
        <w:t xml:space="preserve">instituto </w:t>
      </w:r>
      <w:r w:rsidR="00EA1787" w:rsidRPr="00115370">
        <w:rPr>
          <w:rFonts w:asciiTheme="minorHAnsi" w:hAnsiTheme="minorHAnsi" w:cstheme="minorHAnsi"/>
          <w:i w:val="0"/>
          <w:color w:val="auto"/>
        </w:rPr>
        <w:t>s</w:t>
      </w:r>
      <w:r w:rsidR="00B7418D" w:rsidRPr="00115370">
        <w:rPr>
          <w:rFonts w:asciiTheme="minorHAnsi" w:hAnsiTheme="minorHAnsi" w:cstheme="minorHAnsi"/>
          <w:i w:val="0"/>
          <w:color w:val="auto"/>
        </w:rPr>
        <w:t>er</w:t>
      </w:r>
      <w:r w:rsidR="00EA1787" w:rsidRPr="00115370">
        <w:rPr>
          <w:rFonts w:asciiTheme="minorHAnsi" w:hAnsiTheme="minorHAnsi" w:cstheme="minorHAnsi"/>
          <w:i w:val="0"/>
          <w:color w:val="auto"/>
        </w:rPr>
        <w:t>ía</w:t>
      </w:r>
      <w:r w:rsidR="00B7418D" w:rsidRPr="00115370">
        <w:rPr>
          <w:rFonts w:asciiTheme="minorHAnsi" w:hAnsiTheme="minorHAnsi" w:cstheme="minorHAnsi"/>
          <w:i w:val="0"/>
          <w:color w:val="auto"/>
        </w:rPr>
        <w:t xml:space="preserve"> ágil y efectivo. </w:t>
      </w:r>
    </w:p>
    <w:p w:rsidR="001D5E5D" w:rsidRPr="00115370" w:rsidRDefault="00F77569" w:rsidP="00115370">
      <w:pPr>
        <w:pStyle w:val="Ttulo3"/>
        <w:numPr>
          <w:ilvl w:val="0"/>
          <w:numId w:val="6"/>
        </w:numPr>
        <w:spacing w:after="240"/>
        <w:ind w:left="142"/>
        <w:jc w:val="both"/>
        <w:rPr>
          <w:rFonts w:asciiTheme="minorHAnsi" w:hAnsiTheme="minorHAnsi" w:cstheme="minorHAnsi"/>
          <w:i w:val="0"/>
          <w:color w:val="auto"/>
        </w:rPr>
      </w:pPr>
      <w:r w:rsidRPr="00115370">
        <w:rPr>
          <w:rFonts w:asciiTheme="minorHAnsi" w:hAnsiTheme="minorHAnsi" w:cstheme="minorHAnsi"/>
          <w:i w:val="0"/>
          <w:color w:val="auto"/>
          <w:u w:val="single"/>
        </w:rPr>
        <w:t>Reorganización de labores de abogacía bajo una visión común</w:t>
      </w:r>
      <w:r w:rsidRPr="00115370">
        <w:rPr>
          <w:rFonts w:asciiTheme="minorHAnsi" w:hAnsiTheme="minorHAnsi" w:cstheme="minorHAnsi"/>
          <w:i w:val="0"/>
          <w:color w:val="auto"/>
        </w:rPr>
        <w:t xml:space="preserve">. </w:t>
      </w:r>
      <w:r w:rsidR="00585349" w:rsidRPr="00115370">
        <w:rPr>
          <w:rFonts w:asciiTheme="minorHAnsi" w:hAnsiTheme="minorHAnsi" w:cstheme="minorHAnsi"/>
          <w:i w:val="0"/>
          <w:color w:val="auto"/>
        </w:rPr>
        <w:t>L</w:t>
      </w:r>
      <w:r w:rsidR="00BC4E70" w:rsidRPr="00115370">
        <w:rPr>
          <w:rFonts w:asciiTheme="minorHAnsi" w:hAnsiTheme="minorHAnsi" w:cstheme="minorHAnsi"/>
          <w:i w:val="0"/>
          <w:color w:val="auto"/>
        </w:rPr>
        <w:t xml:space="preserve">a labor de abogacía de competencia es importante para cualquier autoridad de competencia, incluyendo el IFT. El IFT debe reorganizar sus esfuerzos de abogacía para que tengan una visión y estrategia compartida. El nivel al que se plantea la estrategia y la visión es importante para la abogacía. Deben ser los órganos de más alto nivel los que pongan la agenda de abogacía y difundan sus mensajes. La </w:t>
      </w:r>
      <w:r w:rsidR="00105C4B" w:rsidRPr="00115370">
        <w:rPr>
          <w:rFonts w:asciiTheme="minorHAnsi" w:hAnsiTheme="minorHAnsi" w:cstheme="minorHAnsi"/>
          <w:i w:val="0"/>
          <w:color w:val="auto"/>
        </w:rPr>
        <w:t>abogacía</w:t>
      </w:r>
      <w:r w:rsidR="00BC4E70" w:rsidRPr="00115370">
        <w:rPr>
          <w:rFonts w:asciiTheme="minorHAnsi" w:hAnsiTheme="minorHAnsi" w:cstheme="minorHAnsi"/>
          <w:i w:val="0"/>
          <w:color w:val="auto"/>
        </w:rPr>
        <w:t xml:space="preserve"> necesita reorganizarse para fluir sin burocracias innecesarias para lograr</w:t>
      </w:r>
      <w:r w:rsidR="00105C4B" w:rsidRPr="00115370">
        <w:rPr>
          <w:rFonts w:asciiTheme="minorHAnsi" w:hAnsiTheme="minorHAnsi" w:cstheme="minorHAnsi"/>
          <w:i w:val="0"/>
          <w:color w:val="auto"/>
        </w:rPr>
        <w:t xml:space="preserve">: </w:t>
      </w:r>
    </w:p>
    <w:p w:rsidR="00DD3378" w:rsidRPr="00241DFD" w:rsidRDefault="001D5E5D" w:rsidP="00A868F9">
      <w:pPr>
        <w:pStyle w:val="Prrafodelista"/>
        <w:numPr>
          <w:ilvl w:val="0"/>
          <w:numId w:val="3"/>
        </w:numPr>
        <w:spacing w:line="276" w:lineRule="auto"/>
        <w:jc w:val="both"/>
        <w:rPr>
          <w:rFonts w:cstheme="minorHAnsi"/>
          <w:sz w:val="24"/>
          <w:szCs w:val="24"/>
          <w:lang w:val="es-ES_tradnl"/>
        </w:rPr>
      </w:pPr>
      <w:r w:rsidRPr="00241DFD">
        <w:rPr>
          <w:rFonts w:cstheme="minorHAnsi"/>
          <w:sz w:val="24"/>
          <w:szCs w:val="24"/>
          <w:lang w:val="es-ES_tradnl"/>
        </w:rPr>
        <w:t>E</w:t>
      </w:r>
      <w:r w:rsidR="00105C4B" w:rsidRPr="00241DFD">
        <w:rPr>
          <w:rFonts w:cstheme="minorHAnsi"/>
          <w:sz w:val="24"/>
          <w:szCs w:val="24"/>
          <w:lang w:val="es-ES_tradnl"/>
        </w:rPr>
        <w:t>strategia compar</w:t>
      </w:r>
      <w:r w:rsidR="00DD3378" w:rsidRPr="00241DFD">
        <w:rPr>
          <w:rFonts w:cstheme="minorHAnsi"/>
          <w:sz w:val="24"/>
          <w:szCs w:val="24"/>
          <w:lang w:val="es-ES_tradnl"/>
        </w:rPr>
        <w:t>tida y unificación del mensaje</w:t>
      </w:r>
      <w:r w:rsidR="00105C4B" w:rsidRPr="00241DFD">
        <w:rPr>
          <w:rFonts w:cstheme="minorHAnsi"/>
          <w:sz w:val="24"/>
          <w:szCs w:val="24"/>
          <w:lang w:val="es-ES_tradnl"/>
        </w:rPr>
        <w:t>, y</w:t>
      </w:r>
      <w:r w:rsidR="00BC4E70" w:rsidRPr="00241DFD">
        <w:rPr>
          <w:rFonts w:cstheme="minorHAnsi"/>
          <w:sz w:val="24"/>
          <w:szCs w:val="24"/>
          <w:lang w:val="es-ES_tradnl"/>
        </w:rPr>
        <w:t xml:space="preserve"> </w:t>
      </w:r>
    </w:p>
    <w:p w:rsidR="00DD3378" w:rsidRPr="00241DFD" w:rsidRDefault="00DD3378" w:rsidP="00A868F9">
      <w:pPr>
        <w:pStyle w:val="Prrafodelista"/>
        <w:numPr>
          <w:ilvl w:val="0"/>
          <w:numId w:val="3"/>
        </w:numPr>
        <w:spacing w:line="276" w:lineRule="auto"/>
        <w:jc w:val="both"/>
        <w:rPr>
          <w:rFonts w:cstheme="minorHAnsi"/>
          <w:sz w:val="24"/>
          <w:szCs w:val="24"/>
          <w:lang w:val="es-ES_tradnl"/>
        </w:rPr>
      </w:pPr>
      <w:r w:rsidRPr="00241DFD">
        <w:rPr>
          <w:rFonts w:cstheme="minorHAnsi"/>
          <w:sz w:val="24"/>
          <w:szCs w:val="24"/>
          <w:lang w:val="es-ES_tradnl"/>
        </w:rPr>
        <w:t>Q</w:t>
      </w:r>
      <w:r w:rsidR="00BC4E70" w:rsidRPr="00241DFD">
        <w:rPr>
          <w:rFonts w:cstheme="minorHAnsi"/>
          <w:sz w:val="24"/>
          <w:szCs w:val="24"/>
          <w:lang w:val="es-ES_tradnl"/>
        </w:rPr>
        <w:t xml:space="preserve">ue fluya el mensaje de un área de abogacía de competencia a un área regulatoria, ambas al interior del </w:t>
      </w:r>
      <w:r w:rsidR="00105C4B" w:rsidRPr="00241DFD">
        <w:rPr>
          <w:rFonts w:cstheme="minorHAnsi"/>
          <w:sz w:val="24"/>
          <w:szCs w:val="24"/>
          <w:lang w:val="es-ES_tradnl"/>
        </w:rPr>
        <w:t xml:space="preserve">IFT (abogacía interna). </w:t>
      </w:r>
    </w:p>
    <w:p w:rsidR="00105C4B" w:rsidRPr="00241DFD" w:rsidRDefault="00105C4B" w:rsidP="00F77569">
      <w:pPr>
        <w:spacing w:line="276" w:lineRule="auto"/>
        <w:ind w:left="360"/>
        <w:jc w:val="both"/>
        <w:rPr>
          <w:rFonts w:cstheme="minorHAnsi"/>
          <w:sz w:val="24"/>
          <w:szCs w:val="24"/>
          <w:lang w:val="es-ES_tradnl"/>
        </w:rPr>
      </w:pPr>
      <w:r w:rsidRPr="00241DFD">
        <w:rPr>
          <w:rFonts w:cstheme="minorHAnsi"/>
          <w:sz w:val="24"/>
          <w:szCs w:val="24"/>
          <w:lang w:val="es-ES_tradnl"/>
        </w:rPr>
        <w:t xml:space="preserve">La abogacía al exterior del IFT necesita ser más activa y organizada, lo cual se puede lograr con una estrategia compartida y coordinación entre los órganos encargados de ejecutarla. </w:t>
      </w:r>
    </w:p>
    <w:p w:rsidR="00105C4B" w:rsidRPr="00241DFD" w:rsidRDefault="00105C4B" w:rsidP="00A868F9">
      <w:pPr>
        <w:pStyle w:val="Ttulo2"/>
        <w:spacing w:line="276" w:lineRule="auto"/>
        <w:rPr>
          <w:rFonts w:asciiTheme="minorHAnsi" w:hAnsiTheme="minorHAnsi" w:cstheme="minorHAnsi"/>
          <w:sz w:val="24"/>
          <w:szCs w:val="24"/>
          <w:lang w:val="en-US"/>
        </w:rPr>
      </w:pPr>
      <w:proofErr w:type="spellStart"/>
      <w:r w:rsidRPr="00241DFD">
        <w:rPr>
          <w:rFonts w:asciiTheme="minorHAnsi" w:hAnsiTheme="minorHAnsi" w:cstheme="minorHAnsi"/>
          <w:sz w:val="24"/>
          <w:szCs w:val="24"/>
          <w:lang w:val="en-US"/>
        </w:rPr>
        <w:t>Referencias</w:t>
      </w:r>
      <w:proofErr w:type="spellEnd"/>
      <w:r w:rsidRPr="00241DFD">
        <w:rPr>
          <w:rFonts w:asciiTheme="minorHAnsi" w:hAnsiTheme="minorHAnsi" w:cstheme="minorHAnsi"/>
          <w:sz w:val="24"/>
          <w:szCs w:val="24"/>
          <w:lang w:val="en-US"/>
        </w:rPr>
        <w:t xml:space="preserve"> </w:t>
      </w:r>
    </w:p>
    <w:p w:rsidR="00105C4B" w:rsidRPr="00241DFD" w:rsidRDefault="00105C4B" w:rsidP="00A868F9">
      <w:pPr>
        <w:spacing w:line="276" w:lineRule="auto"/>
        <w:rPr>
          <w:rFonts w:cstheme="minorHAnsi"/>
          <w:sz w:val="24"/>
          <w:szCs w:val="24"/>
          <w:lang w:val="es-ES_tradnl"/>
        </w:rPr>
      </w:pPr>
      <w:r w:rsidRPr="00241DFD">
        <w:rPr>
          <w:rFonts w:cstheme="minorHAnsi"/>
          <w:sz w:val="24"/>
          <w:szCs w:val="24"/>
          <w:lang w:val="en-US"/>
        </w:rPr>
        <w:t xml:space="preserve">Clark, John. 2005. </w:t>
      </w:r>
      <w:r w:rsidRPr="00241DFD">
        <w:rPr>
          <w:rFonts w:cstheme="minorHAnsi"/>
          <w:i/>
          <w:sz w:val="24"/>
          <w:szCs w:val="24"/>
          <w:lang w:val="en-US"/>
        </w:rPr>
        <w:t>Competition Advocacy: Challenges for Developing Countries</w:t>
      </w:r>
      <w:r w:rsidRPr="00241DFD">
        <w:rPr>
          <w:rFonts w:cstheme="minorHAnsi"/>
          <w:sz w:val="24"/>
          <w:szCs w:val="24"/>
          <w:lang w:val="en-US"/>
        </w:rPr>
        <w:t xml:space="preserve">. </w:t>
      </w:r>
      <w:r w:rsidRPr="00241DFD">
        <w:rPr>
          <w:rFonts w:cstheme="minorHAnsi"/>
          <w:sz w:val="24"/>
          <w:szCs w:val="24"/>
          <w:lang w:val="es-ES_tradnl"/>
        </w:rPr>
        <w:t xml:space="preserve">OCDE. Disponible en </w:t>
      </w:r>
      <w:hyperlink r:id="rId7" w:history="1">
        <w:r w:rsidRPr="00241DFD">
          <w:rPr>
            <w:rStyle w:val="Hipervnculo"/>
            <w:rFonts w:cstheme="minorHAnsi"/>
            <w:sz w:val="24"/>
            <w:szCs w:val="24"/>
            <w:lang w:val="es-ES_tradnl"/>
          </w:rPr>
          <w:t>http://www.oecd.org/daf/competition/prosecutionandlawenforcement/32033710.pdf</w:t>
        </w:r>
      </w:hyperlink>
      <w:r w:rsidRPr="00241DFD">
        <w:rPr>
          <w:rFonts w:cstheme="minorHAnsi"/>
          <w:sz w:val="24"/>
          <w:szCs w:val="24"/>
          <w:lang w:val="es-ES_tradnl"/>
        </w:rPr>
        <w:t xml:space="preserve"> </w:t>
      </w:r>
    </w:p>
    <w:p w:rsidR="00105C4B" w:rsidRPr="00241DFD" w:rsidRDefault="00105C4B" w:rsidP="00A868F9">
      <w:pPr>
        <w:spacing w:line="276" w:lineRule="auto"/>
        <w:rPr>
          <w:rFonts w:cstheme="minorHAnsi"/>
          <w:sz w:val="24"/>
          <w:szCs w:val="24"/>
          <w:lang w:val="es-ES_tradnl"/>
        </w:rPr>
      </w:pPr>
      <w:r w:rsidRPr="00241DFD">
        <w:rPr>
          <w:rFonts w:cstheme="minorHAnsi"/>
          <w:sz w:val="24"/>
          <w:szCs w:val="24"/>
          <w:lang w:val="en-US"/>
        </w:rPr>
        <w:t xml:space="preserve">ICN. 2002. </w:t>
      </w:r>
      <w:r w:rsidRPr="00241DFD">
        <w:rPr>
          <w:rFonts w:cstheme="minorHAnsi"/>
          <w:i/>
          <w:sz w:val="24"/>
          <w:szCs w:val="24"/>
          <w:lang w:val="en-US"/>
        </w:rPr>
        <w:t>Advocacy and Competition Policy</w:t>
      </w:r>
      <w:r w:rsidRPr="00241DFD">
        <w:rPr>
          <w:rFonts w:cstheme="minorHAnsi"/>
          <w:sz w:val="24"/>
          <w:szCs w:val="24"/>
          <w:lang w:val="en-US"/>
        </w:rPr>
        <w:t xml:space="preserve">. </w:t>
      </w:r>
      <w:r w:rsidRPr="00241DFD">
        <w:rPr>
          <w:rFonts w:cstheme="minorHAnsi"/>
          <w:sz w:val="24"/>
          <w:szCs w:val="24"/>
          <w:lang w:val="es-ES_tradnl"/>
        </w:rPr>
        <w:t xml:space="preserve">Disponible en </w:t>
      </w:r>
      <w:hyperlink r:id="rId8" w:history="1">
        <w:r w:rsidRPr="00241DFD">
          <w:rPr>
            <w:rStyle w:val="Hipervnculo"/>
            <w:rFonts w:cstheme="minorHAnsi"/>
            <w:sz w:val="24"/>
            <w:szCs w:val="24"/>
            <w:lang w:val="es-ES_tradnl"/>
          </w:rPr>
          <w:t>http://www.internationalcompetitionnetwork.org/uploads/library/doc358.pdf</w:t>
        </w:r>
      </w:hyperlink>
    </w:p>
    <w:p w:rsidR="00241DFD" w:rsidRDefault="00241DFD" w:rsidP="00A868F9">
      <w:pPr>
        <w:spacing w:line="276" w:lineRule="auto"/>
        <w:rPr>
          <w:rFonts w:cstheme="minorHAnsi"/>
          <w:sz w:val="24"/>
          <w:szCs w:val="24"/>
          <w:lang w:val="es-ES_tradnl"/>
        </w:rPr>
      </w:pPr>
    </w:p>
    <w:p w:rsidR="00241DFD" w:rsidRPr="00A33AA1" w:rsidRDefault="00241DFD" w:rsidP="00241DFD">
      <w:pPr>
        <w:autoSpaceDE w:val="0"/>
        <w:autoSpaceDN w:val="0"/>
        <w:adjustRightInd w:val="0"/>
        <w:spacing w:before="240"/>
        <w:jc w:val="center"/>
        <w:rPr>
          <w:rFonts w:eastAsia="Calibri" w:cstheme="minorHAnsi"/>
          <w:b/>
          <w:bCs/>
          <w:sz w:val="24"/>
          <w:szCs w:val="24"/>
        </w:rPr>
      </w:pPr>
      <w:r w:rsidRPr="00A33AA1">
        <w:rPr>
          <w:rFonts w:eastAsia="Calibri" w:cstheme="minorHAnsi"/>
          <w:b/>
          <w:bCs/>
          <w:sz w:val="24"/>
          <w:szCs w:val="24"/>
        </w:rPr>
        <w:t xml:space="preserve">Dr. Ernesto M. Flores-Roux </w:t>
      </w:r>
    </w:p>
    <w:p w:rsidR="00241DFD" w:rsidRPr="00A33AA1" w:rsidRDefault="00241DFD" w:rsidP="00F03C42">
      <w:pPr>
        <w:autoSpaceDE w:val="0"/>
        <w:autoSpaceDN w:val="0"/>
        <w:adjustRightInd w:val="0"/>
        <w:spacing w:after="0"/>
        <w:jc w:val="center"/>
        <w:rPr>
          <w:rFonts w:eastAsia="Calibri" w:cstheme="minorHAnsi"/>
          <w:b/>
          <w:bCs/>
          <w:sz w:val="24"/>
          <w:szCs w:val="24"/>
        </w:rPr>
      </w:pPr>
      <w:r w:rsidRPr="00A33AA1">
        <w:rPr>
          <w:rFonts w:eastAsia="Calibri" w:cstheme="minorHAnsi"/>
          <w:b/>
          <w:bCs/>
          <w:sz w:val="24"/>
          <w:szCs w:val="24"/>
        </w:rPr>
        <w:t>Presidente</w:t>
      </w:r>
    </w:p>
    <w:p w:rsidR="00241DFD" w:rsidRPr="00A33AA1" w:rsidRDefault="00241DFD" w:rsidP="00F03C42">
      <w:pPr>
        <w:autoSpaceDE w:val="0"/>
        <w:autoSpaceDN w:val="0"/>
        <w:adjustRightInd w:val="0"/>
        <w:spacing w:after="0"/>
        <w:jc w:val="center"/>
        <w:rPr>
          <w:rFonts w:eastAsia="Calibri" w:cstheme="minorHAnsi"/>
          <w:b/>
          <w:bCs/>
          <w:sz w:val="24"/>
          <w:szCs w:val="24"/>
        </w:rPr>
      </w:pPr>
      <w:r w:rsidRPr="00A33AA1">
        <w:rPr>
          <w:rFonts w:eastAsia="Calibri" w:cstheme="minorHAnsi"/>
          <w:b/>
          <w:bCs/>
          <w:sz w:val="24"/>
          <w:szCs w:val="24"/>
        </w:rPr>
        <w:lastRenderedPageBreak/>
        <w:t xml:space="preserve">Lic. </w:t>
      </w:r>
      <w:r>
        <w:rPr>
          <w:rFonts w:eastAsia="Calibri" w:cstheme="minorHAnsi"/>
          <w:b/>
          <w:bCs/>
          <w:sz w:val="24"/>
          <w:szCs w:val="24"/>
        </w:rPr>
        <w:t>Juan José Crispín Borbolla</w:t>
      </w:r>
    </w:p>
    <w:p w:rsidR="00241DFD" w:rsidRPr="00241DFD" w:rsidRDefault="00241DFD" w:rsidP="00241DFD">
      <w:pPr>
        <w:autoSpaceDE w:val="0"/>
        <w:autoSpaceDN w:val="0"/>
        <w:adjustRightInd w:val="0"/>
        <w:spacing w:before="240"/>
        <w:jc w:val="center"/>
        <w:rPr>
          <w:rFonts w:eastAsia="Calibri" w:cstheme="minorHAnsi"/>
          <w:b/>
          <w:bCs/>
          <w:sz w:val="24"/>
          <w:szCs w:val="24"/>
        </w:rPr>
      </w:pPr>
      <w:r>
        <w:rPr>
          <w:rFonts w:eastAsia="Calibri" w:cstheme="minorHAnsi"/>
          <w:b/>
          <w:bCs/>
          <w:sz w:val="24"/>
          <w:szCs w:val="24"/>
        </w:rPr>
        <w:t>Secretario</w:t>
      </w:r>
    </w:p>
    <w:p w:rsidR="00115370" w:rsidRDefault="00241DFD" w:rsidP="00115370">
      <w:pPr>
        <w:spacing w:before="120" w:after="0" w:line="276" w:lineRule="auto"/>
        <w:jc w:val="both"/>
      </w:pPr>
      <w:r w:rsidRPr="00241DFD">
        <w:rPr>
          <w:rFonts w:asciiTheme="majorHAnsi" w:eastAsia="Times New Roman" w:hAnsiTheme="majorHAnsi" w:cstheme="majorHAnsi"/>
          <w:sz w:val="18"/>
          <w:szCs w:val="18"/>
          <w:lang w:val="es-ES" w:eastAsia="es-ES"/>
        </w:rPr>
        <w:t xml:space="preserve">La Recomendación fue aprobada por el </w:t>
      </w:r>
      <w:r w:rsidR="00003C09">
        <w:rPr>
          <w:rFonts w:asciiTheme="majorHAnsi" w:eastAsia="Times New Roman" w:hAnsiTheme="majorHAnsi" w:cstheme="majorHAnsi"/>
          <w:sz w:val="18"/>
          <w:szCs w:val="18"/>
          <w:lang w:val="es-ES" w:eastAsia="es-ES"/>
        </w:rPr>
        <w:t xml:space="preserve">III </w:t>
      </w:r>
      <w:r w:rsidRPr="00241DFD">
        <w:rPr>
          <w:rFonts w:asciiTheme="majorHAnsi" w:eastAsia="Times New Roman" w:hAnsiTheme="majorHAnsi" w:cstheme="majorHAnsi"/>
          <w:sz w:val="18"/>
          <w:szCs w:val="18"/>
          <w:lang w:val="es-ES" w:eastAsia="es-ES"/>
        </w:rPr>
        <w:t xml:space="preserve">Consejo Consultivo del Instituto Federal de Telecomunicaciones por unanimidad de votos de los Consejeros presentes: Rodolfo De la Rosa Rábago, Ernesto M. Flores-Roux, Gerardo Francisco González Abarca, </w:t>
      </w:r>
      <w:r w:rsidR="00003C09">
        <w:rPr>
          <w:rFonts w:asciiTheme="majorHAnsi" w:eastAsia="Times New Roman" w:hAnsiTheme="majorHAnsi" w:cstheme="majorHAnsi"/>
          <w:sz w:val="18"/>
          <w:szCs w:val="18"/>
          <w:lang w:val="es-ES" w:eastAsia="es-ES"/>
        </w:rPr>
        <w:t xml:space="preserve">Santiago Gutiérrez Fernández, </w:t>
      </w:r>
      <w:r w:rsidRPr="00241DFD">
        <w:rPr>
          <w:rFonts w:asciiTheme="majorHAnsi" w:eastAsia="Times New Roman" w:hAnsiTheme="majorHAnsi" w:cstheme="majorHAnsi"/>
          <w:sz w:val="18"/>
          <w:szCs w:val="18"/>
          <w:lang w:val="es-ES" w:eastAsia="es-ES"/>
        </w:rPr>
        <w:t xml:space="preserve">Salma Leticia Jalife Villalón, </w:t>
      </w:r>
      <w:r w:rsidR="00003C09">
        <w:rPr>
          <w:rFonts w:asciiTheme="majorHAnsi" w:eastAsia="Times New Roman" w:hAnsiTheme="majorHAnsi" w:cstheme="majorHAnsi"/>
          <w:sz w:val="18"/>
          <w:szCs w:val="18"/>
          <w:lang w:val="es-ES" w:eastAsia="es-ES"/>
        </w:rPr>
        <w:t xml:space="preserve">Federico Kuhlmann Rodríguez, Elisa V. Mariscal Medina, </w:t>
      </w:r>
      <w:r w:rsidRPr="00241DFD">
        <w:rPr>
          <w:rFonts w:asciiTheme="majorHAnsi" w:eastAsia="Times New Roman" w:hAnsiTheme="majorHAnsi" w:cstheme="majorHAnsi"/>
          <w:sz w:val="18"/>
          <w:szCs w:val="18"/>
          <w:lang w:val="es-ES" w:eastAsia="es-ES"/>
        </w:rPr>
        <w:t>Luis Miguel Martínez Cervantes, Alejandro Ulises Mendoza Pérez</w:t>
      </w:r>
      <w:r w:rsidR="00003C09">
        <w:rPr>
          <w:rFonts w:asciiTheme="majorHAnsi" w:eastAsia="Times New Roman" w:hAnsiTheme="majorHAnsi" w:cstheme="majorHAnsi"/>
          <w:sz w:val="18"/>
          <w:szCs w:val="18"/>
          <w:lang w:val="es-ES" w:eastAsia="es-ES"/>
        </w:rPr>
        <w:t xml:space="preserve"> y</w:t>
      </w:r>
      <w:r w:rsidRPr="00241DFD">
        <w:rPr>
          <w:rFonts w:asciiTheme="majorHAnsi" w:eastAsia="Times New Roman" w:hAnsiTheme="majorHAnsi" w:cstheme="majorHAnsi"/>
          <w:sz w:val="18"/>
          <w:szCs w:val="18"/>
          <w:lang w:val="es-ES" w:eastAsia="es-ES"/>
        </w:rPr>
        <w:t xml:space="preserve"> Jorge Fernando Negrete Pac</w:t>
      </w:r>
      <w:r w:rsidR="00003C09">
        <w:rPr>
          <w:rFonts w:asciiTheme="majorHAnsi" w:eastAsia="Times New Roman" w:hAnsiTheme="majorHAnsi" w:cstheme="majorHAnsi"/>
          <w:sz w:val="18"/>
          <w:szCs w:val="18"/>
          <w:lang w:val="es-ES" w:eastAsia="es-ES"/>
        </w:rPr>
        <w:t>heco, en su V</w:t>
      </w:r>
      <w:r w:rsidRPr="00241DFD">
        <w:rPr>
          <w:rFonts w:asciiTheme="majorHAnsi" w:eastAsia="Times New Roman" w:hAnsiTheme="majorHAnsi" w:cstheme="majorHAnsi"/>
          <w:sz w:val="18"/>
          <w:szCs w:val="18"/>
          <w:lang w:val="es-ES" w:eastAsia="es-ES"/>
        </w:rPr>
        <w:t xml:space="preserve">I Sesión Ordinaria celebrada el </w:t>
      </w:r>
      <w:r w:rsidR="00003C09">
        <w:rPr>
          <w:rFonts w:asciiTheme="majorHAnsi" w:eastAsia="Times New Roman" w:hAnsiTheme="majorHAnsi" w:cstheme="majorHAnsi"/>
          <w:sz w:val="18"/>
          <w:szCs w:val="18"/>
          <w:lang w:val="es-ES" w:eastAsia="es-ES"/>
        </w:rPr>
        <w:t>28 de junio de 2018</w:t>
      </w:r>
      <w:r w:rsidRPr="00241DFD">
        <w:rPr>
          <w:rFonts w:asciiTheme="majorHAnsi" w:eastAsia="Times New Roman" w:hAnsiTheme="majorHAnsi" w:cstheme="majorHAnsi"/>
          <w:sz w:val="18"/>
          <w:szCs w:val="18"/>
          <w:lang w:val="es-ES" w:eastAsia="es-ES"/>
        </w:rPr>
        <w:t xml:space="preserve">, mediante Acuerdo </w:t>
      </w:r>
      <w:r w:rsidR="00003C09" w:rsidRPr="00003C09">
        <w:rPr>
          <w:rFonts w:asciiTheme="majorHAnsi" w:eastAsia="Times New Roman" w:hAnsiTheme="majorHAnsi" w:cstheme="majorHAnsi"/>
          <w:sz w:val="18"/>
          <w:szCs w:val="18"/>
          <w:lang w:val="es-ES" w:eastAsia="es-ES"/>
        </w:rPr>
        <w:t>CC/IFT/280618/13</w:t>
      </w:r>
      <w:r w:rsidRPr="00241DFD">
        <w:rPr>
          <w:rFonts w:asciiTheme="majorHAnsi" w:eastAsia="Times New Roman" w:hAnsiTheme="majorHAnsi" w:cstheme="majorHAnsi"/>
          <w:sz w:val="18"/>
          <w:szCs w:val="18"/>
          <w:lang w:val="es-ES" w:eastAsia="es-ES"/>
        </w:rPr>
        <w:t>.</w:t>
      </w:r>
    </w:p>
    <w:sectPr w:rsidR="00115370" w:rsidSect="00241DFD">
      <w:headerReference w:type="default" r:id="rId9"/>
      <w:footerReference w:type="default" r:id="rId10"/>
      <w:pgSz w:w="12240" w:h="15840"/>
      <w:pgMar w:top="211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7C6" w:rsidRDefault="00B617C6" w:rsidP="00241DFD">
      <w:pPr>
        <w:spacing w:after="0" w:line="240" w:lineRule="auto"/>
      </w:pPr>
      <w:r>
        <w:separator/>
      </w:r>
    </w:p>
  </w:endnote>
  <w:endnote w:type="continuationSeparator" w:id="0">
    <w:p w:rsidR="00B617C6" w:rsidRDefault="00B617C6" w:rsidP="00241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911939"/>
      <w:docPartObj>
        <w:docPartGallery w:val="Page Numbers (Bottom of Page)"/>
        <w:docPartUnique/>
      </w:docPartObj>
    </w:sdtPr>
    <w:sdtEndPr>
      <w:rPr>
        <w:sz w:val="18"/>
        <w:szCs w:val="18"/>
      </w:rPr>
    </w:sdtEndPr>
    <w:sdtContent>
      <w:p w:rsidR="00241DFD" w:rsidRPr="00241DFD" w:rsidRDefault="00241DFD">
        <w:pPr>
          <w:pStyle w:val="Piedepgina"/>
          <w:jc w:val="right"/>
          <w:rPr>
            <w:sz w:val="18"/>
            <w:szCs w:val="18"/>
          </w:rPr>
        </w:pPr>
        <w:r w:rsidRPr="00241DFD">
          <w:rPr>
            <w:sz w:val="18"/>
            <w:szCs w:val="18"/>
          </w:rPr>
          <w:fldChar w:fldCharType="begin"/>
        </w:r>
        <w:r w:rsidRPr="00241DFD">
          <w:rPr>
            <w:sz w:val="18"/>
            <w:szCs w:val="18"/>
          </w:rPr>
          <w:instrText>PAGE   \* MERGEFORMAT</w:instrText>
        </w:r>
        <w:r w:rsidRPr="00241DFD">
          <w:rPr>
            <w:sz w:val="18"/>
            <w:szCs w:val="18"/>
          </w:rPr>
          <w:fldChar w:fldCharType="separate"/>
        </w:r>
        <w:r w:rsidR="00F03C42" w:rsidRPr="00F03C42">
          <w:rPr>
            <w:noProof/>
            <w:sz w:val="18"/>
            <w:szCs w:val="18"/>
            <w:lang w:val="es-ES"/>
          </w:rPr>
          <w:t>3</w:t>
        </w:r>
        <w:r w:rsidRPr="00241DFD">
          <w:rPr>
            <w:sz w:val="18"/>
            <w:szCs w:val="18"/>
          </w:rPr>
          <w:fldChar w:fldCharType="end"/>
        </w:r>
      </w:p>
    </w:sdtContent>
  </w:sdt>
  <w:p w:rsidR="00241DFD" w:rsidRDefault="00241D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7C6" w:rsidRDefault="00B617C6" w:rsidP="00241DFD">
      <w:pPr>
        <w:spacing w:after="0" w:line="240" w:lineRule="auto"/>
      </w:pPr>
      <w:r>
        <w:separator/>
      </w:r>
    </w:p>
  </w:footnote>
  <w:footnote w:type="continuationSeparator" w:id="0">
    <w:p w:rsidR="00B617C6" w:rsidRDefault="00B617C6" w:rsidP="00241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DFD" w:rsidRDefault="00241DFD">
    <w:pPr>
      <w:pStyle w:val="Encabezado"/>
    </w:pPr>
    <w:r w:rsidRPr="001454A2">
      <w:rPr>
        <w:noProof/>
        <w:lang w:eastAsia="es-MX"/>
      </w:rPr>
      <w:drawing>
        <wp:inline distT="0" distB="0" distL="0" distR="0" wp14:anchorId="737373B7" wp14:editId="2F2B399A">
          <wp:extent cx="3962400" cy="704850"/>
          <wp:effectExtent l="0" t="0" r="0" b="0"/>
          <wp:docPr id="9" name="Imagen 9" descr="Logotipo Consejo Consultivo&#10;"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CC-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E25"/>
    <w:multiLevelType w:val="hybridMultilevel"/>
    <w:tmpl w:val="39BA21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76320C"/>
    <w:multiLevelType w:val="hybridMultilevel"/>
    <w:tmpl w:val="6B8C7AB0"/>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09B1EEB"/>
    <w:multiLevelType w:val="hybridMultilevel"/>
    <w:tmpl w:val="C3DECCEC"/>
    <w:lvl w:ilvl="0" w:tplc="AEF8DDC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5510F75"/>
    <w:multiLevelType w:val="hybridMultilevel"/>
    <w:tmpl w:val="CC9AAD92"/>
    <w:lvl w:ilvl="0" w:tplc="3154CC50">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ADD3898"/>
    <w:multiLevelType w:val="hybridMultilevel"/>
    <w:tmpl w:val="81EA5A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69B51AC"/>
    <w:multiLevelType w:val="hybridMultilevel"/>
    <w:tmpl w:val="904665D6"/>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6E"/>
    <w:rsid w:val="00003C09"/>
    <w:rsid w:val="000460F3"/>
    <w:rsid w:val="000B28C3"/>
    <w:rsid w:val="000E4BFE"/>
    <w:rsid w:val="00105C4B"/>
    <w:rsid w:val="00115370"/>
    <w:rsid w:val="001233E4"/>
    <w:rsid w:val="00144A8A"/>
    <w:rsid w:val="00176C49"/>
    <w:rsid w:val="00183E6C"/>
    <w:rsid w:val="001D5E5D"/>
    <w:rsid w:val="00212EC1"/>
    <w:rsid w:val="002351FC"/>
    <w:rsid w:val="00241DFD"/>
    <w:rsid w:val="00280EFC"/>
    <w:rsid w:val="002B3729"/>
    <w:rsid w:val="00300A38"/>
    <w:rsid w:val="00315C7B"/>
    <w:rsid w:val="00335D79"/>
    <w:rsid w:val="00345748"/>
    <w:rsid w:val="003678F4"/>
    <w:rsid w:val="00383CDD"/>
    <w:rsid w:val="00397CB0"/>
    <w:rsid w:val="003D2B23"/>
    <w:rsid w:val="003D6EB3"/>
    <w:rsid w:val="003F38AC"/>
    <w:rsid w:val="004366D6"/>
    <w:rsid w:val="0045229A"/>
    <w:rsid w:val="004D050E"/>
    <w:rsid w:val="00532D5D"/>
    <w:rsid w:val="00585349"/>
    <w:rsid w:val="005F3659"/>
    <w:rsid w:val="00674FB4"/>
    <w:rsid w:val="006817E3"/>
    <w:rsid w:val="006A54D4"/>
    <w:rsid w:val="006E6993"/>
    <w:rsid w:val="006F5C6B"/>
    <w:rsid w:val="00742A49"/>
    <w:rsid w:val="00782858"/>
    <w:rsid w:val="007C7BC5"/>
    <w:rsid w:val="0081126D"/>
    <w:rsid w:val="00831ED4"/>
    <w:rsid w:val="00850B43"/>
    <w:rsid w:val="008567E8"/>
    <w:rsid w:val="009B4848"/>
    <w:rsid w:val="009C1C6E"/>
    <w:rsid w:val="009D4F4D"/>
    <w:rsid w:val="00A077B9"/>
    <w:rsid w:val="00A71730"/>
    <w:rsid w:val="00A868F9"/>
    <w:rsid w:val="00AB7F99"/>
    <w:rsid w:val="00B617C6"/>
    <w:rsid w:val="00B7418D"/>
    <w:rsid w:val="00B80EFD"/>
    <w:rsid w:val="00B9029B"/>
    <w:rsid w:val="00BA6F3E"/>
    <w:rsid w:val="00BC0B29"/>
    <w:rsid w:val="00BC4E70"/>
    <w:rsid w:val="00CC7956"/>
    <w:rsid w:val="00D67902"/>
    <w:rsid w:val="00DD3378"/>
    <w:rsid w:val="00E06DC6"/>
    <w:rsid w:val="00E24BF9"/>
    <w:rsid w:val="00E26A55"/>
    <w:rsid w:val="00EA1787"/>
    <w:rsid w:val="00ED328E"/>
    <w:rsid w:val="00ED5430"/>
    <w:rsid w:val="00F03C42"/>
    <w:rsid w:val="00F77569"/>
    <w:rsid w:val="00FD2B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3D5F1"/>
  <w15:chartTrackingRefBased/>
  <w15:docId w15:val="{D71BA2D2-86C5-4BA6-85BB-17BDC7F8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741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741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144A8A"/>
    <w:pPr>
      <w:keepNext/>
      <w:keepLines/>
      <w:spacing w:before="40" w:after="0"/>
      <w:outlineLvl w:val="2"/>
    </w:pPr>
    <w:rPr>
      <w:rFonts w:asciiTheme="majorHAnsi" w:eastAsiaTheme="majorEastAsia" w:hAnsiTheme="majorHAnsi" w:cstheme="majorBidi"/>
      <w:i/>
      <w:color w:val="1F3763"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418D"/>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B7418D"/>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105C4B"/>
    <w:rPr>
      <w:color w:val="0563C1" w:themeColor="hyperlink"/>
      <w:u w:val="single"/>
    </w:rPr>
  </w:style>
  <w:style w:type="character" w:customStyle="1" w:styleId="UnresolvedMention">
    <w:name w:val="Unresolved Mention"/>
    <w:basedOn w:val="Fuentedeprrafopredeter"/>
    <w:uiPriority w:val="99"/>
    <w:semiHidden/>
    <w:unhideWhenUsed/>
    <w:rsid w:val="00105C4B"/>
    <w:rPr>
      <w:color w:val="605E5C"/>
      <w:shd w:val="clear" w:color="auto" w:fill="E1DFDD"/>
    </w:rPr>
  </w:style>
  <w:style w:type="paragraph" w:styleId="Prrafodelista">
    <w:name w:val="List Paragraph"/>
    <w:basedOn w:val="Normal"/>
    <w:uiPriority w:val="34"/>
    <w:qFormat/>
    <w:rsid w:val="004366D6"/>
    <w:pPr>
      <w:ind w:left="720"/>
      <w:contextualSpacing/>
    </w:pPr>
  </w:style>
  <w:style w:type="character" w:customStyle="1" w:styleId="Ttulo3Car">
    <w:name w:val="Título 3 Car"/>
    <w:basedOn w:val="Fuentedeprrafopredeter"/>
    <w:link w:val="Ttulo3"/>
    <w:uiPriority w:val="9"/>
    <w:rsid w:val="00144A8A"/>
    <w:rPr>
      <w:rFonts w:asciiTheme="majorHAnsi" w:eastAsiaTheme="majorEastAsia" w:hAnsiTheme="majorHAnsi" w:cstheme="majorBidi"/>
      <w:i/>
      <w:color w:val="1F3763" w:themeColor="accent1" w:themeShade="7F"/>
      <w:sz w:val="24"/>
      <w:szCs w:val="24"/>
      <w:lang w:val="es-ES_tradnl"/>
    </w:rPr>
  </w:style>
  <w:style w:type="paragraph" w:styleId="Encabezado">
    <w:name w:val="header"/>
    <w:basedOn w:val="Normal"/>
    <w:link w:val="EncabezadoCar"/>
    <w:uiPriority w:val="99"/>
    <w:unhideWhenUsed/>
    <w:rsid w:val="00241D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1DFD"/>
  </w:style>
  <w:style w:type="paragraph" w:styleId="Piedepgina">
    <w:name w:val="footer"/>
    <w:basedOn w:val="Normal"/>
    <w:link w:val="PiedepginaCar"/>
    <w:uiPriority w:val="99"/>
    <w:unhideWhenUsed/>
    <w:rsid w:val="00241D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1DFD"/>
  </w:style>
  <w:style w:type="paragraph" w:styleId="Textodeglobo">
    <w:name w:val="Balloon Text"/>
    <w:basedOn w:val="Normal"/>
    <w:link w:val="TextodegloboCar"/>
    <w:uiPriority w:val="99"/>
    <w:semiHidden/>
    <w:unhideWhenUsed/>
    <w:rsid w:val="00A077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77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98836">
      <w:bodyDiv w:val="1"/>
      <w:marLeft w:val="0"/>
      <w:marRight w:val="0"/>
      <w:marTop w:val="0"/>
      <w:marBottom w:val="0"/>
      <w:divBdr>
        <w:top w:val="none" w:sz="0" w:space="0" w:color="auto"/>
        <w:left w:val="none" w:sz="0" w:space="0" w:color="auto"/>
        <w:bottom w:val="none" w:sz="0" w:space="0" w:color="auto"/>
        <w:right w:val="none" w:sz="0" w:space="0" w:color="auto"/>
      </w:divBdr>
      <w:divsChild>
        <w:div w:id="497499611">
          <w:marLeft w:val="-225"/>
          <w:marRight w:val="-225"/>
          <w:marTop w:val="0"/>
          <w:marBottom w:val="0"/>
          <w:divBdr>
            <w:top w:val="none" w:sz="0" w:space="0" w:color="auto"/>
            <w:left w:val="none" w:sz="0" w:space="0" w:color="auto"/>
            <w:bottom w:val="single" w:sz="6" w:space="0" w:color="CACACF"/>
            <w:right w:val="none" w:sz="0" w:space="0" w:color="auto"/>
          </w:divBdr>
          <w:divsChild>
            <w:div w:id="513501489">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competitionnetwork.org/uploads/library/doc358.pdf" TargetMode="External"/><Relationship Id="rId3" Type="http://schemas.openxmlformats.org/officeDocument/2006/relationships/settings" Target="settings.xml"/><Relationship Id="rId7" Type="http://schemas.openxmlformats.org/officeDocument/2006/relationships/hyperlink" Target="http://www.oecd.org/daf/competition/prosecutionandlawenforcement/3203371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1581</Words>
  <Characters>8699</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Enrique Brito Gomez</dc:creator>
  <cp:keywords/>
  <dc:description/>
  <cp:lastModifiedBy>Cynthia Fabiola Dominguez Jacobo</cp:lastModifiedBy>
  <cp:revision>6</cp:revision>
  <cp:lastPrinted>2018-07-09T17:33:00Z</cp:lastPrinted>
  <dcterms:created xsi:type="dcterms:W3CDTF">2018-07-04T15:39:00Z</dcterms:created>
  <dcterms:modified xsi:type="dcterms:W3CDTF">2018-07-09T21:58:00Z</dcterms:modified>
</cp:coreProperties>
</file>