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A0B64" w14:textId="24D160D0" w:rsidR="008A42F1" w:rsidRPr="003B52A4" w:rsidRDefault="00585065" w:rsidP="003B52A4">
      <w:pPr>
        <w:pStyle w:val="Ttulo1"/>
        <w:rPr>
          <w:rFonts w:asciiTheme="minorHAnsi" w:hAnsiTheme="minorHAnsi"/>
          <w:b/>
          <w:color w:val="auto"/>
          <w:sz w:val="22"/>
          <w:szCs w:val="22"/>
        </w:rPr>
      </w:pPr>
      <w:r w:rsidRPr="003B52A4">
        <w:rPr>
          <w:rFonts w:asciiTheme="minorHAnsi" w:hAnsiTheme="minorHAnsi"/>
          <w:b/>
          <w:color w:val="auto"/>
          <w:sz w:val="22"/>
          <w:szCs w:val="22"/>
        </w:rPr>
        <w:t>RECOMENDACIONES QUE EMITE EL CONSEJO CONSULTIVO DEL INSTITUTO FEDERAL DE TELECOMUNICACIONES RESPECTO DE LOS LINEAMIENTOS PRELIMINARES SOBRE NEUTRALIDAD DE RED QUE SE SOMETERÁN A CONSULTA.</w:t>
      </w:r>
    </w:p>
    <w:p w14:paraId="6CE64A07" w14:textId="77777777" w:rsidR="003B52A4" w:rsidRDefault="003B52A4" w:rsidP="003B52A4"/>
    <w:p w14:paraId="0EC2DE78" w14:textId="64DD62A1" w:rsidR="00DA2553" w:rsidRPr="00585065" w:rsidRDefault="00710D89" w:rsidP="003B52A4">
      <w:pPr>
        <w:pStyle w:val="Ttulo2"/>
        <w:rPr>
          <w:rFonts w:asciiTheme="minorHAnsi" w:hAnsiTheme="minorHAnsi"/>
          <w:color w:val="auto"/>
          <w:sz w:val="22"/>
          <w:szCs w:val="22"/>
        </w:rPr>
      </w:pPr>
      <w:r w:rsidRPr="00585065">
        <w:rPr>
          <w:rFonts w:asciiTheme="minorHAnsi" w:hAnsiTheme="minorHAnsi"/>
          <w:color w:val="auto"/>
          <w:sz w:val="22"/>
          <w:szCs w:val="22"/>
        </w:rPr>
        <w:t>Proemio</w:t>
      </w:r>
    </w:p>
    <w:p w14:paraId="1A3F2CC0" w14:textId="77777777" w:rsidR="003B52A4" w:rsidRDefault="003B52A4" w:rsidP="003B52A4"/>
    <w:p w14:paraId="5928D74D" w14:textId="1E7CA750" w:rsidR="007E26AE" w:rsidRPr="003B52A4" w:rsidRDefault="006D6C4C" w:rsidP="003B52A4">
      <w:pPr>
        <w:pStyle w:val="Ttulo3"/>
        <w:rPr>
          <w:rFonts w:asciiTheme="minorHAnsi" w:hAnsiTheme="minorHAnsi"/>
          <w:b/>
          <w:i/>
          <w:color w:val="auto"/>
          <w:sz w:val="22"/>
          <w:szCs w:val="22"/>
        </w:rPr>
      </w:pPr>
      <w:r w:rsidRPr="003B52A4">
        <w:rPr>
          <w:rFonts w:asciiTheme="minorHAnsi" w:hAnsiTheme="minorHAnsi"/>
          <w:b/>
          <w:i/>
          <w:color w:val="auto"/>
          <w:sz w:val="22"/>
          <w:szCs w:val="22"/>
        </w:rPr>
        <w:t>Terminología Internacional</w:t>
      </w:r>
    </w:p>
    <w:p w14:paraId="2544904B" w14:textId="65E9A4B3" w:rsidR="006D6C4C" w:rsidRPr="00585065" w:rsidRDefault="006D6C4C">
      <w:pPr>
        <w:rPr>
          <w:rFonts w:asciiTheme="minorHAnsi" w:hAnsiTheme="minorHAnsi"/>
        </w:rPr>
      </w:pPr>
      <w:r w:rsidRPr="00585065">
        <w:rPr>
          <w:rFonts w:asciiTheme="minorHAnsi" w:hAnsiTheme="minorHAnsi"/>
        </w:rPr>
        <w:t>Aunque no existe una definición universalmente</w:t>
      </w:r>
      <w:bookmarkStart w:id="0" w:name="_GoBack"/>
      <w:bookmarkEnd w:id="0"/>
      <w:r w:rsidRPr="00585065">
        <w:rPr>
          <w:rFonts w:asciiTheme="minorHAnsi" w:hAnsiTheme="minorHAnsi"/>
        </w:rPr>
        <w:t xml:space="preserve"> aceptada para </w:t>
      </w:r>
      <w:r w:rsidR="007100E0" w:rsidRPr="00585065">
        <w:rPr>
          <w:rFonts w:asciiTheme="minorHAnsi" w:hAnsiTheme="minorHAnsi"/>
        </w:rPr>
        <w:t xml:space="preserve">el concepto de </w:t>
      </w:r>
      <w:r w:rsidRPr="00585065">
        <w:rPr>
          <w:rFonts w:asciiTheme="minorHAnsi" w:hAnsiTheme="minorHAnsi"/>
        </w:rPr>
        <w:t>Neutralidad de Red</w:t>
      </w:r>
      <w:r w:rsidR="007100E0" w:rsidRPr="00585065">
        <w:rPr>
          <w:rFonts w:asciiTheme="minorHAnsi" w:hAnsiTheme="minorHAnsi"/>
        </w:rPr>
        <w:t xml:space="preserve"> (NR)</w:t>
      </w:r>
      <w:r w:rsidRPr="00585065">
        <w:rPr>
          <w:rFonts w:asciiTheme="minorHAnsi" w:hAnsiTheme="minorHAnsi"/>
        </w:rPr>
        <w:t xml:space="preserve">, existen elementos generalmente aceptados </w:t>
      </w:r>
      <w:r w:rsidR="007100E0" w:rsidRPr="00585065">
        <w:rPr>
          <w:rFonts w:asciiTheme="minorHAnsi" w:hAnsiTheme="minorHAnsi"/>
        </w:rPr>
        <w:t>como componentes indispensables.</w:t>
      </w:r>
      <w:r w:rsidRPr="00585065">
        <w:rPr>
          <w:rFonts w:asciiTheme="minorHAnsi" w:hAnsiTheme="minorHAnsi"/>
        </w:rPr>
        <w:t xml:space="preserve"> El principio general de NR es que todas las comunicaciones electrónicas que transitan por una red deben ser tratadas de la misma manera. Dicho de manera más específica, como lo define el BEREC,</w:t>
      </w:r>
      <w:r w:rsidRPr="00585065">
        <w:rPr>
          <w:rFonts w:asciiTheme="minorHAnsi" w:hAnsiTheme="minorHAnsi"/>
          <w:vertAlign w:val="superscript"/>
        </w:rPr>
        <w:footnoteReference w:id="1"/>
      </w:r>
      <w:r w:rsidRPr="00585065">
        <w:rPr>
          <w:rFonts w:asciiTheme="minorHAnsi" w:hAnsiTheme="minorHAnsi"/>
        </w:rPr>
        <w:t xml:space="preserve"> NR es un conjunto de reglas comunes para salvaguardar el tratamiento igualitario y no discriminatorio del tráfico relacionado al aprovisionamiento del Servicio de Acceso a Internet y de los derechos relacionados de los usuarios finales.</w:t>
      </w:r>
    </w:p>
    <w:p w14:paraId="58E0454B" w14:textId="7E1F145B" w:rsidR="006D6C4C" w:rsidRPr="00585065" w:rsidRDefault="006D6C4C">
      <w:pPr>
        <w:rPr>
          <w:rFonts w:asciiTheme="minorHAnsi" w:hAnsiTheme="minorHAnsi"/>
        </w:rPr>
      </w:pPr>
      <w:r w:rsidRPr="00585065">
        <w:rPr>
          <w:rFonts w:asciiTheme="minorHAnsi" w:hAnsiTheme="minorHAnsi"/>
        </w:rPr>
        <w:t>De manera más específica, el BEREC puntualiza:</w:t>
      </w:r>
      <w:r w:rsidRPr="00585065">
        <w:rPr>
          <w:rFonts w:asciiTheme="minorHAnsi" w:hAnsiTheme="minorHAnsi"/>
          <w:vertAlign w:val="superscript"/>
        </w:rPr>
        <w:footnoteReference w:id="2"/>
      </w:r>
      <w:r w:rsidR="007100E0" w:rsidRPr="00585065">
        <w:rPr>
          <w:rFonts w:asciiTheme="minorHAnsi" w:hAnsiTheme="minorHAnsi"/>
        </w:rPr>
        <w:t xml:space="preserve"> Los ISP</w:t>
      </w:r>
      <w:r w:rsidRPr="00585065">
        <w:rPr>
          <w:rFonts w:asciiTheme="minorHAnsi" w:hAnsiTheme="minorHAnsi"/>
        </w:rPr>
        <w:t xml:space="preserve"> deberán tratar todo el tráfico de manera igual al proveer el servicio de Acceso a Internet, sin ninguna discriminación, restricción o interferencia, sin importar quién lo envía o recibe, el contenido que se ac</w:t>
      </w:r>
      <w:r w:rsidR="007100E0" w:rsidRPr="00585065">
        <w:rPr>
          <w:rFonts w:asciiTheme="minorHAnsi" w:hAnsiTheme="minorHAnsi"/>
        </w:rPr>
        <w:t>cede</w:t>
      </w:r>
      <w:r w:rsidRPr="00585065">
        <w:rPr>
          <w:rFonts w:asciiTheme="minorHAnsi" w:hAnsiTheme="minorHAnsi"/>
        </w:rPr>
        <w:t xml:space="preserve"> o que se distribuye, las aplicaciones o los servicios utilizados, o el equipo terminal que se utilice.</w:t>
      </w:r>
    </w:p>
    <w:p w14:paraId="2184006B" w14:textId="07A185D7" w:rsidR="006D6C4C" w:rsidRPr="00585065" w:rsidRDefault="007100E0">
      <w:pPr>
        <w:rPr>
          <w:rFonts w:asciiTheme="minorHAnsi" w:hAnsiTheme="minorHAnsi"/>
        </w:rPr>
      </w:pPr>
      <w:r w:rsidRPr="00585065">
        <w:rPr>
          <w:rFonts w:asciiTheme="minorHAnsi" w:hAnsiTheme="minorHAnsi"/>
        </w:rPr>
        <w:t>La regulación sobre NR varía</w:t>
      </w:r>
      <w:r w:rsidR="006D6C4C" w:rsidRPr="00585065">
        <w:rPr>
          <w:rFonts w:asciiTheme="minorHAnsi" w:hAnsiTheme="minorHAnsi"/>
        </w:rPr>
        <w:t xml:space="preserve"> en su alcance de país a país. Algunos países se focalizan más en las medidas específicas para asegurar la NR y otros encuadran la NR en un esquema más amplio de Internet Abierto y en la transparencia en informa</w:t>
      </w:r>
      <w:r w:rsidRPr="00585065">
        <w:rPr>
          <w:rFonts w:asciiTheme="minorHAnsi" w:hAnsiTheme="minorHAnsi"/>
        </w:rPr>
        <w:t xml:space="preserve">ción al usuario para asegurar </w:t>
      </w:r>
      <w:r w:rsidR="006D6C4C" w:rsidRPr="00585065">
        <w:rPr>
          <w:rFonts w:asciiTheme="minorHAnsi" w:hAnsiTheme="minorHAnsi"/>
        </w:rPr>
        <w:t>Internet Abierto.</w:t>
      </w:r>
    </w:p>
    <w:p w14:paraId="7EFABF7F" w14:textId="0A3BA2D1" w:rsidR="006D6C4C" w:rsidRPr="00585065" w:rsidRDefault="006D6C4C">
      <w:pPr>
        <w:rPr>
          <w:rFonts w:asciiTheme="minorHAnsi" w:hAnsiTheme="minorHAnsi"/>
        </w:rPr>
      </w:pPr>
      <w:r w:rsidRPr="00585065">
        <w:rPr>
          <w:rFonts w:asciiTheme="minorHAnsi" w:hAnsiTheme="minorHAnsi"/>
        </w:rPr>
        <w:t>Por su parte, la Internet Society enfatiza tres principios rectores en el alcance de NR:</w:t>
      </w:r>
      <w:r w:rsidR="00221915" w:rsidRPr="00585065">
        <w:rPr>
          <w:rStyle w:val="Refdenotaalpie"/>
          <w:rFonts w:asciiTheme="minorHAnsi" w:hAnsiTheme="minorHAnsi"/>
        </w:rPr>
        <w:footnoteReference w:id="3"/>
      </w:r>
    </w:p>
    <w:p w14:paraId="1A230DBE" w14:textId="0DFA42D8" w:rsidR="006D6C4C" w:rsidRPr="00585065" w:rsidRDefault="006D6C4C" w:rsidP="00780DB6">
      <w:pPr>
        <w:pStyle w:val="Prrafodelista"/>
        <w:numPr>
          <w:ilvl w:val="0"/>
          <w:numId w:val="3"/>
        </w:numPr>
        <w:rPr>
          <w:rFonts w:asciiTheme="minorHAnsi" w:hAnsiTheme="minorHAnsi"/>
        </w:rPr>
      </w:pPr>
      <w:r w:rsidRPr="00585065">
        <w:rPr>
          <w:rFonts w:asciiTheme="minorHAnsi" w:hAnsiTheme="minorHAnsi"/>
        </w:rPr>
        <w:t>Debe regirse por el principio general de apertura, así como por características que promuevan el acceso, la capacidad de elección y la transparencia</w:t>
      </w:r>
      <w:r w:rsidR="00780DB6" w:rsidRPr="00585065">
        <w:rPr>
          <w:rFonts w:asciiTheme="minorHAnsi" w:hAnsiTheme="minorHAnsi"/>
        </w:rPr>
        <w:t xml:space="preserve">. </w:t>
      </w:r>
      <w:r w:rsidRPr="00585065">
        <w:rPr>
          <w:rFonts w:asciiTheme="minorHAnsi" w:hAnsiTheme="minorHAnsi"/>
        </w:rPr>
        <w:t>Las prácticas que limiten o bloqueen el acceso a contenidos de Internet constituyen una preocupación primordial.</w:t>
      </w:r>
    </w:p>
    <w:p w14:paraId="5BC8BD2F" w14:textId="7B716F9A" w:rsidR="006D6C4C" w:rsidRPr="00585065" w:rsidRDefault="006D6C4C" w:rsidP="00780DB6">
      <w:pPr>
        <w:pStyle w:val="Prrafodelista"/>
        <w:numPr>
          <w:ilvl w:val="0"/>
          <w:numId w:val="3"/>
        </w:numPr>
        <w:rPr>
          <w:rFonts w:asciiTheme="minorHAnsi" w:hAnsiTheme="minorHAnsi"/>
        </w:rPr>
      </w:pPr>
      <w:r w:rsidRPr="00585065">
        <w:rPr>
          <w:rFonts w:asciiTheme="minorHAnsi" w:hAnsiTheme="minorHAnsi"/>
        </w:rPr>
        <w:t>Que los usuarios escojan y controlen sus actividades en línea incluyendo sus proveedores, servicios y aplicaciones —reconociendo las limitaciones legales y técnicas— es importante</w:t>
      </w:r>
      <w:r w:rsidR="00780DB6" w:rsidRPr="00585065">
        <w:rPr>
          <w:rFonts w:asciiTheme="minorHAnsi" w:hAnsiTheme="minorHAnsi"/>
        </w:rPr>
        <w:t xml:space="preserve"> para la interconexión abierta.</w:t>
      </w:r>
    </w:p>
    <w:p w14:paraId="2A4285C7" w14:textId="5512E348" w:rsidR="006D6C4C" w:rsidRPr="00585065" w:rsidRDefault="006D6C4C" w:rsidP="00780DB6">
      <w:pPr>
        <w:pStyle w:val="Prrafodelista"/>
        <w:numPr>
          <w:ilvl w:val="0"/>
          <w:numId w:val="3"/>
        </w:numPr>
        <w:rPr>
          <w:rFonts w:asciiTheme="minorHAnsi" w:hAnsiTheme="minorHAnsi"/>
        </w:rPr>
      </w:pPr>
      <w:r w:rsidRPr="00585065">
        <w:rPr>
          <w:rFonts w:asciiTheme="minorHAnsi" w:hAnsiTheme="minorHAnsi"/>
        </w:rPr>
        <w:t xml:space="preserve">La transparencia de las decisiones sobre los flujos de datos es importante para un acceso justo e imparcial a los recursos de Internet. El acceso transparente a información precisa sobre el ancho </w:t>
      </w:r>
      <w:r w:rsidRPr="00585065">
        <w:rPr>
          <w:rFonts w:asciiTheme="minorHAnsi" w:hAnsiTheme="minorHAnsi"/>
        </w:rPr>
        <w:lastRenderedPageBreak/>
        <w:t>de banda y las políticas de gestión de redes permite a los usuarios tomar decisiones informadas acerca de sus servicios de Internet.</w:t>
      </w:r>
    </w:p>
    <w:p w14:paraId="2F2B6727" w14:textId="286E7C0D" w:rsidR="006D6C4C" w:rsidRPr="003B52A4" w:rsidRDefault="006D6C4C" w:rsidP="003B52A4">
      <w:pPr>
        <w:pStyle w:val="Ttulo3"/>
        <w:rPr>
          <w:rFonts w:asciiTheme="minorHAnsi" w:hAnsiTheme="minorHAnsi"/>
          <w:b/>
          <w:i/>
          <w:color w:val="auto"/>
          <w:sz w:val="22"/>
          <w:szCs w:val="22"/>
        </w:rPr>
      </w:pPr>
      <w:r w:rsidRPr="003B52A4">
        <w:rPr>
          <w:rFonts w:asciiTheme="minorHAnsi" w:hAnsiTheme="minorHAnsi"/>
          <w:b/>
          <w:i/>
          <w:color w:val="auto"/>
          <w:sz w:val="22"/>
          <w:szCs w:val="22"/>
        </w:rPr>
        <w:t>Neutralidad de red en México</w:t>
      </w:r>
    </w:p>
    <w:p w14:paraId="3199B6D8" w14:textId="77777777" w:rsidR="007100E0" w:rsidRPr="00585065" w:rsidRDefault="007100E0" w:rsidP="007100E0">
      <w:pPr>
        <w:rPr>
          <w:rFonts w:asciiTheme="minorHAnsi" w:hAnsiTheme="minorHAnsi"/>
        </w:rPr>
      </w:pPr>
    </w:p>
    <w:p w14:paraId="55766C5C" w14:textId="7DF37FD8" w:rsidR="00780DB6" w:rsidRPr="00585065" w:rsidRDefault="006D6C4C">
      <w:pPr>
        <w:rPr>
          <w:rFonts w:asciiTheme="minorHAnsi" w:hAnsiTheme="minorHAnsi"/>
        </w:rPr>
      </w:pPr>
      <w:r w:rsidRPr="00585065">
        <w:rPr>
          <w:rFonts w:asciiTheme="minorHAnsi" w:hAnsiTheme="minorHAnsi"/>
        </w:rPr>
        <w:t>En México, en el contexto</w:t>
      </w:r>
      <w:r w:rsidR="007100E0" w:rsidRPr="00585065">
        <w:rPr>
          <w:rFonts w:asciiTheme="minorHAnsi" w:hAnsiTheme="minorHAnsi"/>
        </w:rPr>
        <w:t xml:space="preserve"> de las Reformas en materia de telecomunicaciones y r</w:t>
      </w:r>
      <w:r w:rsidRPr="00585065">
        <w:rPr>
          <w:rFonts w:asciiTheme="minorHAnsi" w:hAnsiTheme="minorHAnsi"/>
        </w:rPr>
        <w:t>adiodifusión y a la luz de la L</w:t>
      </w:r>
      <w:r w:rsidR="007100E0" w:rsidRPr="00585065">
        <w:rPr>
          <w:rFonts w:asciiTheme="minorHAnsi" w:hAnsiTheme="minorHAnsi"/>
        </w:rPr>
        <w:t>ey Federal de Telecomunicaciones y Radiodifusión (LFTR)</w:t>
      </w:r>
      <w:r w:rsidRPr="00585065">
        <w:rPr>
          <w:rFonts w:asciiTheme="minorHAnsi" w:hAnsiTheme="minorHAnsi"/>
        </w:rPr>
        <w:t xml:space="preserve">, se pueden desprender varios lineamientos para fomentar que el ecosistema de Internet se desarrolle acorde a las necesidades de la población. NR es uno de los elementos, mas no el único. En los Artículos 145 y 146 de la LFTR se definen los lineamientos generales a seguir en cuanto a NR: </w:t>
      </w:r>
    </w:p>
    <w:p w14:paraId="5D5EFA50" w14:textId="5B9FE4A9" w:rsidR="00780DB6" w:rsidRPr="00585065" w:rsidRDefault="006D6C4C" w:rsidP="00780DB6">
      <w:pPr>
        <w:pStyle w:val="Prrafodelista"/>
        <w:numPr>
          <w:ilvl w:val="0"/>
          <w:numId w:val="4"/>
        </w:numPr>
        <w:rPr>
          <w:rFonts w:asciiTheme="minorHAnsi" w:hAnsiTheme="minorHAnsi"/>
        </w:rPr>
      </w:pPr>
      <w:r w:rsidRPr="00585065">
        <w:rPr>
          <w:rFonts w:asciiTheme="minorHAnsi" w:hAnsiTheme="minorHAnsi"/>
        </w:rPr>
        <w:t>Libre elección de contenidos, aplicaciones o servicios, sin limitar equipo conectado a su red, si</w:t>
      </w:r>
      <w:r w:rsidR="007100E0" w:rsidRPr="00585065">
        <w:rPr>
          <w:rFonts w:asciiTheme="minorHAnsi" w:hAnsiTheme="minorHAnsi"/>
        </w:rPr>
        <w:t>empre y cuando esté homologado;</w:t>
      </w:r>
    </w:p>
    <w:p w14:paraId="448AFC2D" w14:textId="27247718" w:rsidR="00780DB6" w:rsidRPr="00585065" w:rsidRDefault="006D6C4C" w:rsidP="00780DB6">
      <w:pPr>
        <w:pStyle w:val="Prrafodelista"/>
        <w:numPr>
          <w:ilvl w:val="0"/>
          <w:numId w:val="4"/>
        </w:numPr>
        <w:rPr>
          <w:rFonts w:asciiTheme="minorHAnsi" w:hAnsiTheme="minorHAnsi"/>
        </w:rPr>
      </w:pPr>
      <w:r w:rsidRPr="00585065">
        <w:rPr>
          <w:rFonts w:asciiTheme="minorHAnsi" w:hAnsiTheme="minorHAnsi"/>
        </w:rPr>
        <w:t xml:space="preserve">No discriminación de </w:t>
      </w:r>
      <w:r w:rsidR="007100E0" w:rsidRPr="00585065">
        <w:rPr>
          <w:rFonts w:asciiTheme="minorHAnsi" w:hAnsiTheme="minorHAnsi"/>
        </w:rPr>
        <w:t>c</w:t>
      </w:r>
      <w:r w:rsidRPr="00585065">
        <w:rPr>
          <w:rFonts w:asciiTheme="minorHAnsi" w:hAnsiTheme="minorHAnsi"/>
        </w:rPr>
        <w:t>ontenidos, aplicaciones o servicios</w:t>
      </w:r>
      <w:r w:rsidR="007100E0" w:rsidRPr="00585065">
        <w:rPr>
          <w:rFonts w:asciiTheme="minorHAnsi" w:hAnsiTheme="minorHAnsi"/>
        </w:rPr>
        <w:t>;</w:t>
      </w:r>
      <w:r w:rsidRPr="00585065">
        <w:rPr>
          <w:rFonts w:asciiTheme="minorHAnsi" w:hAnsiTheme="minorHAnsi"/>
        </w:rPr>
        <w:t xml:space="preserve"> </w:t>
      </w:r>
    </w:p>
    <w:p w14:paraId="40DE1C1F" w14:textId="615A15DC" w:rsidR="00780DB6" w:rsidRPr="00585065" w:rsidRDefault="006D6C4C" w:rsidP="00780DB6">
      <w:pPr>
        <w:pStyle w:val="Prrafodelista"/>
        <w:numPr>
          <w:ilvl w:val="0"/>
          <w:numId w:val="4"/>
        </w:numPr>
        <w:rPr>
          <w:rFonts w:asciiTheme="minorHAnsi" w:hAnsiTheme="minorHAnsi"/>
        </w:rPr>
      </w:pPr>
      <w:r w:rsidRPr="00585065">
        <w:rPr>
          <w:rFonts w:asciiTheme="minorHAnsi" w:hAnsiTheme="minorHAnsi"/>
        </w:rPr>
        <w:t>Privacidad de los usuarios y seguridad de la</w:t>
      </w:r>
      <w:r w:rsidR="007100E0" w:rsidRPr="00585065">
        <w:rPr>
          <w:rFonts w:asciiTheme="minorHAnsi" w:hAnsiTheme="minorHAnsi"/>
        </w:rPr>
        <w:t xml:space="preserve"> red;</w:t>
      </w:r>
    </w:p>
    <w:p w14:paraId="6BAD4D0B" w14:textId="2570AFF2" w:rsidR="00780DB6" w:rsidRPr="00585065" w:rsidRDefault="007100E0" w:rsidP="00780DB6">
      <w:pPr>
        <w:pStyle w:val="Prrafodelista"/>
        <w:numPr>
          <w:ilvl w:val="0"/>
          <w:numId w:val="4"/>
        </w:numPr>
        <w:rPr>
          <w:rFonts w:asciiTheme="minorHAnsi" w:hAnsiTheme="minorHAnsi"/>
        </w:rPr>
      </w:pPr>
      <w:r w:rsidRPr="00585065">
        <w:rPr>
          <w:rFonts w:asciiTheme="minorHAnsi" w:hAnsiTheme="minorHAnsi"/>
        </w:rPr>
        <w:t>Transparencia e información;</w:t>
      </w:r>
    </w:p>
    <w:p w14:paraId="2123BEED" w14:textId="5346C047" w:rsidR="00780DB6" w:rsidRPr="00585065" w:rsidRDefault="007100E0" w:rsidP="00780DB6">
      <w:pPr>
        <w:pStyle w:val="Prrafodelista"/>
        <w:numPr>
          <w:ilvl w:val="0"/>
          <w:numId w:val="4"/>
        </w:numPr>
        <w:rPr>
          <w:rFonts w:asciiTheme="minorHAnsi" w:hAnsiTheme="minorHAnsi"/>
        </w:rPr>
      </w:pPr>
      <w:r w:rsidRPr="00585065">
        <w:rPr>
          <w:rFonts w:asciiTheme="minorHAnsi" w:hAnsiTheme="minorHAnsi"/>
        </w:rPr>
        <w:t>Gestión de tráfico;</w:t>
      </w:r>
    </w:p>
    <w:p w14:paraId="50E46285" w14:textId="10685161" w:rsidR="00780DB6" w:rsidRPr="00585065" w:rsidRDefault="006D6C4C" w:rsidP="00780DB6">
      <w:pPr>
        <w:pStyle w:val="Prrafodelista"/>
        <w:numPr>
          <w:ilvl w:val="0"/>
          <w:numId w:val="4"/>
        </w:numPr>
        <w:rPr>
          <w:rFonts w:asciiTheme="minorHAnsi" w:hAnsiTheme="minorHAnsi"/>
        </w:rPr>
      </w:pPr>
      <w:r w:rsidRPr="00585065">
        <w:rPr>
          <w:rFonts w:asciiTheme="minorHAnsi" w:hAnsiTheme="minorHAnsi"/>
        </w:rPr>
        <w:t xml:space="preserve">Calidad del servicio de </w:t>
      </w:r>
      <w:r w:rsidR="007100E0" w:rsidRPr="00585065">
        <w:rPr>
          <w:rFonts w:asciiTheme="minorHAnsi" w:hAnsiTheme="minorHAnsi"/>
        </w:rPr>
        <w:t>a</w:t>
      </w:r>
      <w:r w:rsidRPr="00585065">
        <w:rPr>
          <w:rFonts w:asciiTheme="minorHAnsi" w:hAnsiTheme="minorHAnsi"/>
        </w:rPr>
        <w:t>cceso a Internet</w:t>
      </w:r>
      <w:r w:rsidR="007100E0" w:rsidRPr="00585065">
        <w:rPr>
          <w:rFonts w:asciiTheme="minorHAnsi" w:hAnsiTheme="minorHAnsi"/>
        </w:rPr>
        <w:t>;</w:t>
      </w:r>
      <w:r w:rsidRPr="00585065">
        <w:rPr>
          <w:rFonts w:asciiTheme="minorHAnsi" w:hAnsiTheme="minorHAnsi"/>
        </w:rPr>
        <w:t xml:space="preserve"> y </w:t>
      </w:r>
    </w:p>
    <w:p w14:paraId="6B3BF8CE" w14:textId="0897B412" w:rsidR="006D6C4C" w:rsidRPr="00585065" w:rsidRDefault="006D6C4C" w:rsidP="00780DB6">
      <w:pPr>
        <w:pStyle w:val="Prrafodelista"/>
        <w:numPr>
          <w:ilvl w:val="0"/>
          <w:numId w:val="4"/>
        </w:numPr>
        <w:rPr>
          <w:rFonts w:asciiTheme="minorHAnsi" w:hAnsiTheme="minorHAnsi"/>
        </w:rPr>
      </w:pPr>
      <w:r w:rsidRPr="00585065">
        <w:rPr>
          <w:rFonts w:asciiTheme="minorHAnsi" w:hAnsiTheme="minorHAnsi"/>
        </w:rPr>
        <w:t>Desarrollo sostenido de infraestructura</w:t>
      </w:r>
      <w:r w:rsidR="007100E0" w:rsidRPr="00585065">
        <w:rPr>
          <w:rFonts w:asciiTheme="minorHAnsi" w:hAnsiTheme="minorHAnsi"/>
        </w:rPr>
        <w:t>.</w:t>
      </w:r>
    </w:p>
    <w:p w14:paraId="4CBB1162" w14:textId="77777777" w:rsidR="00AA4AEF" w:rsidRPr="00585065" w:rsidRDefault="00AA4AEF" w:rsidP="003B52A4">
      <w:pPr>
        <w:rPr>
          <w:rFonts w:asciiTheme="minorHAnsi" w:hAnsiTheme="minorHAnsi"/>
        </w:rPr>
      </w:pPr>
    </w:p>
    <w:p w14:paraId="40FDFABD" w14:textId="3F96A834" w:rsidR="0087686B" w:rsidRPr="003B52A4" w:rsidRDefault="006D6C4C" w:rsidP="003B52A4">
      <w:pPr>
        <w:pStyle w:val="Ttulo3"/>
        <w:rPr>
          <w:rFonts w:asciiTheme="minorHAnsi" w:hAnsiTheme="minorHAnsi"/>
          <w:b/>
          <w:i/>
          <w:color w:val="auto"/>
          <w:sz w:val="22"/>
          <w:szCs w:val="22"/>
        </w:rPr>
      </w:pPr>
      <w:r w:rsidRPr="003B52A4">
        <w:rPr>
          <w:rFonts w:asciiTheme="minorHAnsi" w:hAnsiTheme="minorHAnsi"/>
          <w:b/>
          <w:i/>
          <w:color w:val="auto"/>
          <w:sz w:val="22"/>
          <w:szCs w:val="22"/>
        </w:rPr>
        <w:t>Antecedentes y motivación para regular</w:t>
      </w:r>
    </w:p>
    <w:p w14:paraId="11BFB74C" w14:textId="77777777" w:rsidR="00AA4AEF" w:rsidRPr="00585065" w:rsidRDefault="00AA4AEF" w:rsidP="00AA4AEF">
      <w:pPr>
        <w:rPr>
          <w:rFonts w:asciiTheme="minorHAnsi" w:hAnsiTheme="minorHAnsi"/>
        </w:rPr>
      </w:pPr>
    </w:p>
    <w:p w14:paraId="0DA317A2" w14:textId="2C3DC7DB" w:rsidR="00643587" w:rsidRPr="00585065" w:rsidRDefault="008C064E">
      <w:pPr>
        <w:rPr>
          <w:rFonts w:asciiTheme="minorHAnsi" w:hAnsiTheme="minorHAnsi"/>
        </w:rPr>
      </w:pPr>
      <w:r w:rsidRPr="00585065">
        <w:rPr>
          <w:rFonts w:asciiTheme="minorHAnsi" w:hAnsiTheme="minorHAnsi"/>
        </w:rPr>
        <w:t xml:space="preserve">Existen varios documentos que resumen el estado de la discusión en materia de política pública sobre neutralidad de red, entre ellos </w:t>
      </w:r>
      <w:r w:rsidR="00013B29" w:rsidRPr="00585065">
        <w:rPr>
          <w:rFonts w:asciiTheme="minorHAnsi" w:hAnsiTheme="minorHAnsi"/>
        </w:rPr>
        <w:fldChar w:fldCharType="begin"/>
      </w:r>
      <w:r w:rsidR="00013B29" w:rsidRPr="00585065">
        <w:rPr>
          <w:rFonts w:asciiTheme="minorHAnsi" w:hAnsiTheme="minorHAnsi"/>
        </w:rPr>
        <w:instrText xml:space="preserve"> ADDIN ZOTERO_ITEM CSL_CITATION {"citationID":"01ZvmcMN","properties":{"formattedCitation":"(Cave 2011)","plainCitation":"(Cave 2011)"},"citationItems":[{"id":106,"uris":["http://zotero.org/users/3232333/items/VFU2BHCC"],"uri":["http://zotero.org/users/3232333/items/VFU2BHCC"],"itemData":{"id":106,"type":"report","title":"Competition and consumer protection issues in the net neutrality debate, with special reference to Europe, Report from Organisation for Economic Co-operation and Development (OECD).","URL":"http://www. oecd. org/dataoecd/0/18/48848979. pdf","author":[{"family":"Cave","given":"M"}],"issued":{"date-parts":[["2011"]]}}}],"schema":"https://github.com/citation-style-language/schema/raw/master/csl-citation.json"} </w:instrText>
      </w:r>
      <w:r w:rsidR="00013B29" w:rsidRPr="00585065">
        <w:rPr>
          <w:rFonts w:asciiTheme="minorHAnsi" w:hAnsiTheme="minorHAnsi"/>
        </w:rPr>
        <w:fldChar w:fldCharType="separate"/>
      </w:r>
      <w:r w:rsidR="00013B29" w:rsidRPr="00585065">
        <w:rPr>
          <w:rFonts w:asciiTheme="minorHAnsi" w:hAnsiTheme="minorHAnsi"/>
          <w:noProof/>
        </w:rPr>
        <w:t>Cave (2011)</w:t>
      </w:r>
      <w:r w:rsidR="00013B29" w:rsidRPr="00585065">
        <w:rPr>
          <w:rFonts w:asciiTheme="minorHAnsi" w:hAnsiTheme="minorHAnsi"/>
        </w:rPr>
        <w:fldChar w:fldCharType="end"/>
      </w:r>
      <w:r w:rsidR="00013B29" w:rsidRPr="00585065">
        <w:rPr>
          <w:rFonts w:asciiTheme="minorHAnsi" w:hAnsiTheme="minorHAnsi"/>
        </w:rPr>
        <w:t xml:space="preserve">, </w:t>
      </w:r>
      <w:r w:rsidR="00145BE4" w:rsidRPr="00585065">
        <w:rPr>
          <w:rFonts w:asciiTheme="minorHAnsi" w:hAnsiTheme="minorHAnsi"/>
        </w:rPr>
        <w:fldChar w:fldCharType="begin"/>
      </w:r>
      <w:r w:rsidR="00013B29" w:rsidRPr="00585065">
        <w:rPr>
          <w:rFonts w:asciiTheme="minorHAnsi" w:hAnsiTheme="minorHAnsi"/>
        </w:rPr>
        <w:instrText xml:space="preserve"> ADDIN ZOTERO_ITEM CSL_CITATION {"citationID":"pbkRTpkA","properties":{"formattedCitation":"(Lee and Wu 2009)","plainCitation":"(Lee and Wu 2009)"},"citationItems":[{"id":385,"uris":["http://zotero.org/users/3232333/items/P8EKXVZR"],"uri":["http://zotero.org/users/3232333/items/P8EKXVZR"],"itemData":{"id":385,"type":"article-journal","title":"Subsidizing Creativity through Network Design: Zero-Pricing and Net Neutrality","container-title":"The Journal of Economic Perspectives","page":"61-76","volume":"23","issue":"3","source":"IngentaConnect","abstract":"This paper focuses on the pricing aspect of the “net neutrality” debate—in particular, the de facto ban on fees levied by Internet service providers on content providers to reach users. This “zero-price” rule may prove desirable for several reasons. Using a two-sided market analysis, we suggest that it subsidizes creativity and innovation in new content creation—goals shared by copyright and patent laws. The rule also helps to solve a coordination problem: since Internet service providers do not completely internalize the effects of their own pricing decisions, lack of regulation may lead to even higher fees charged by all. Finally, allowing for such fees runs the risk of creating horizontally differentiated Internet service providers with different libraries of accessible content, thereby foreclosing consumers and leading to Internet fragmentation.","DOI":"10.1257/089533009789176780","shortTitle":"Subsidizing Creativity through Network Design","journalAbbreviation":"The Journal of Economic Perspectives","author":[{"family":"Lee","given":"Robin S."},{"family":"Wu","given":"Tim"}],"issued":{"date-parts":[["2009",8,1]]}}}],"schema":"https://github.com/citation-style-language/schema/raw/master/csl-citation.json"} </w:instrText>
      </w:r>
      <w:r w:rsidR="00145BE4" w:rsidRPr="00585065">
        <w:rPr>
          <w:rFonts w:asciiTheme="minorHAnsi" w:hAnsiTheme="minorHAnsi"/>
        </w:rPr>
        <w:fldChar w:fldCharType="separate"/>
      </w:r>
      <w:r w:rsidR="00013B29" w:rsidRPr="00585065">
        <w:rPr>
          <w:rFonts w:asciiTheme="minorHAnsi" w:hAnsiTheme="minorHAnsi"/>
          <w:noProof/>
        </w:rPr>
        <w:t>Lee and Wu (2009)</w:t>
      </w:r>
      <w:r w:rsidR="00145BE4" w:rsidRPr="00585065">
        <w:rPr>
          <w:rFonts w:asciiTheme="minorHAnsi" w:hAnsiTheme="minorHAnsi"/>
        </w:rPr>
        <w:fldChar w:fldCharType="end"/>
      </w:r>
      <w:r w:rsidR="002101DF" w:rsidRPr="00585065">
        <w:rPr>
          <w:rFonts w:asciiTheme="minorHAnsi" w:hAnsiTheme="minorHAnsi"/>
        </w:rPr>
        <w:t xml:space="preserve">, </w:t>
      </w:r>
      <w:r w:rsidR="002101DF" w:rsidRPr="00585065">
        <w:rPr>
          <w:rFonts w:asciiTheme="minorHAnsi" w:hAnsiTheme="minorHAnsi"/>
        </w:rPr>
        <w:fldChar w:fldCharType="begin"/>
      </w:r>
      <w:r w:rsidR="002101DF" w:rsidRPr="00585065">
        <w:rPr>
          <w:rFonts w:asciiTheme="minorHAnsi" w:hAnsiTheme="minorHAnsi"/>
        </w:rPr>
        <w:instrText xml:space="preserve"> ADDIN ZOTERO_ITEM CSL_CITATION {"citationID":"SzRCIC89","properties":{"formattedCitation":"(Faulhaber 2012)","plainCitation":"(Faulhaber 2012)"},"citationItems":[{"id":32,"uris":["http://zotero.org/users/3232333/items/A79SJR6N"],"uri":["http://zotero.org/users/3232333/items/A79SJR6N"],"itemData":{"id":32,"type":"article-journal","title":"\"Solving\" Net Neutrality: Regulation, Antitrust, Or More Competition","container-title":"Antitrust Chronicle","volume":"3","source":"RePEc - IDEAS","abstract":"The regulatory net neutrality cure will certainly be worse than the imagined disease it is meant to treat. Gerald Faulhaber (Wharton, Univ. of Pa.)","URL":"https://ideas.repec.org/a/cpi/atchrn/3.2.2012i=6755.html","shortTitle":"Ã¢â‚¬Å“SolvingÃ¢â‚¬Â Net Neutrality","author":[{"family":"Faulhaber","given":"Gerald"}],"issued":{"date-parts":[["2012"]]},"accessed":{"date-parts":[["2016",9,5]]}}}],"schema":"https://github.com/citation-style-language/schema/raw/master/csl-citation.json"} </w:instrText>
      </w:r>
      <w:r w:rsidR="002101DF" w:rsidRPr="00585065">
        <w:rPr>
          <w:rFonts w:asciiTheme="minorHAnsi" w:hAnsiTheme="minorHAnsi"/>
        </w:rPr>
        <w:fldChar w:fldCharType="separate"/>
      </w:r>
      <w:r w:rsidR="002101DF" w:rsidRPr="00585065">
        <w:rPr>
          <w:rFonts w:asciiTheme="minorHAnsi" w:hAnsiTheme="minorHAnsi"/>
          <w:noProof/>
        </w:rPr>
        <w:t>Faulhaber (2012)</w:t>
      </w:r>
      <w:r w:rsidR="002101DF" w:rsidRPr="00585065">
        <w:rPr>
          <w:rFonts w:asciiTheme="minorHAnsi" w:hAnsiTheme="minorHAnsi"/>
        </w:rPr>
        <w:fldChar w:fldCharType="end"/>
      </w:r>
      <w:r w:rsidR="002101DF" w:rsidRPr="00585065">
        <w:rPr>
          <w:rFonts w:asciiTheme="minorHAnsi" w:hAnsiTheme="minorHAnsi"/>
        </w:rPr>
        <w:t>, por mencionar algunos.</w:t>
      </w:r>
      <w:r w:rsidRPr="00585065">
        <w:rPr>
          <w:rFonts w:asciiTheme="minorHAnsi" w:hAnsiTheme="minorHAnsi"/>
        </w:rPr>
        <w:t xml:space="preserve"> </w:t>
      </w:r>
      <w:r w:rsidR="00CC1612" w:rsidRPr="00585065">
        <w:rPr>
          <w:rFonts w:asciiTheme="minorHAnsi" w:hAnsiTheme="minorHAnsi"/>
        </w:rPr>
        <w:t>El propó</w:t>
      </w:r>
      <w:r w:rsidRPr="00585065">
        <w:rPr>
          <w:rFonts w:asciiTheme="minorHAnsi" w:hAnsiTheme="minorHAnsi"/>
        </w:rPr>
        <w:t>sito de esta recomendación no es hacer un recuento de esta literatura</w:t>
      </w:r>
      <w:r w:rsidR="00CC1612" w:rsidRPr="00585065">
        <w:rPr>
          <w:rFonts w:asciiTheme="minorHAnsi" w:hAnsiTheme="minorHAnsi"/>
        </w:rPr>
        <w:t>,</w:t>
      </w:r>
      <w:r w:rsidRPr="00585065">
        <w:rPr>
          <w:rFonts w:asciiTheme="minorHAnsi" w:hAnsiTheme="minorHAnsi"/>
        </w:rPr>
        <w:t xml:space="preserve"> sino presentar algunos de los ángulos útiles </w:t>
      </w:r>
      <w:r w:rsidR="00CC1612" w:rsidRPr="00585065">
        <w:rPr>
          <w:rFonts w:asciiTheme="minorHAnsi" w:hAnsiTheme="minorHAnsi"/>
        </w:rPr>
        <w:t>a</w:t>
      </w:r>
      <w:r w:rsidRPr="00585065">
        <w:rPr>
          <w:rFonts w:asciiTheme="minorHAnsi" w:hAnsiTheme="minorHAnsi"/>
        </w:rPr>
        <w:t xml:space="preserve"> considerar desde un punto de vista de política pública</w:t>
      </w:r>
      <w:r w:rsidR="00CC1612" w:rsidRPr="00585065">
        <w:rPr>
          <w:rFonts w:asciiTheme="minorHAnsi" w:hAnsiTheme="minorHAnsi"/>
        </w:rPr>
        <w:t>,</w:t>
      </w:r>
      <w:r w:rsidRPr="00585065">
        <w:rPr>
          <w:rFonts w:asciiTheme="minorHAnsi" w:hAnsiTheme="minorHAnsi"/>
        </w:rPr>
        <w:t xml:space="preserve"> para después pasar a una propuesta más específica sobre los elementos que debieran considerarse al </w:t>
      </w:r>
      <w:r w:rsidR="00CC1612" w:rsidRPr="00585065">
        <w:rPr>
          <w:rFonts w:asciiTheme="minorHAnsi" w:hAnsiTheme="minorHAnsi"/>
        </w:rPr>
        <w:t>i</w:t>
      </w:r>
      <w:r w:rsidRPr="00585065">
        <w:rPr>
          <w:rFonts w:asciiTheme="minorHAnsi" w:hAnsiTheme="minorHAnsi"/>
        </w:rPr>
        <w:t>mplementar una po</w:t>
      </w:r>
      <w:r w:rsidR="00CC1612" w:rsidRPr="00585065">
        <w:rPr>
          <w:rFonts w:asciiTheme="minorHAnsi" w:hAnsiTheme="minorHAnsi"/>
        </w:rPr>
        <w:t>lí</w:t>
      </w:r>
      <w:r w:rsidRPr="00585065">
        <w:rPr>
          <w:rFonts w:asciiTheme="minorHAnsi" w:hAnsiTheme="minorHAnsi"/>
        </w:rPr>
        <w:t>tica de neutralidad de red en el caso espe</w:t>
      </w:r>
      <w:r w:rsidR="00CC1612" w:rsidRPr="00585065">
        <w:rPr>
          <w:rFonts w:asciiTheme="minorHAnsi" w:hAnsiTheme="minorHAnsi"/>
        </w:rPr>
        <w:t>cí</w:t>
      </w:r>
      <w:r w:rsidR="00BB1BFD" w:rsidRPr="00585065">
        <w:rPr>
          <w:rFonts w:asciiTheme="minorHAnsi" w:hAnsiTheme="minorHAnsi"/>
        </w:rPr>
        <w:t>fico</w:t>
      </w:r>
      <w:r w:rsidRPr="00585065">
        <w:rPr>
          <w:rFonts w:asciiTheme="minorHAnsi" w:hAnsiTheme="minorHAnsi"/>
        </w:rPr>
        <w:t xml:space="preserve"> de México.</w:t>
      </w:r>
      <w:r w:rsidR="00CC1612" w:rsidRPr="00585065">
        <w:rPr>
          <w:rFonts w:asciiTheme="minorHAnsi" w:hAnsiTheme="minorHAnsi"/>
        </w:rPr>
        <w:t xml:space="preserve"> Con ello en mente, presentamos un par de párrafos que buscan contextualizar la discusión y las recomendaciones que se hacen aquí.</w:t>
      </w:r>
    </w:p>
    <w:p w14:paraId="17108EA4" w14:textId="1E242CE2" w:rsidR="00AC6F2F" w:rsidRPr="00585065" w:rsidRDefault="005775D9" w:rsidP="005775D9">
      <w:pPr>
        <w:rPr>
          <w:rFonts w:asciiTheme="minorHAnsi" w:hAnsiTheme="minorHAnsi"/>
        </w:rPr>
      </w:pPr>
      <w:r w:rsidRPr="00585065">
        <w:rPr>
          <w:rFonts w:asciiTheme="minorHAnsi" w:hAnsiTheme="minorHAnsi"/>
        </w:rPr>
        <w:t>El debate sobre neutralidad de red gira en</w:t>
      </w:r>
      <w:r w:rsidR="00661385" w:rsidRPr="00585065">
        <w:rPr>
          <w:rFonts w:asciiTheme="minorHAnsi" w:hAnsiTheme="minorHAnsi"/>
        </w:rPr>
        <w:t xml:space="preserve"> </w:t>
      </w:r>
      <w:r w:rsidRPr="00585065">
        <w:rPr>
          <w:rFonts w:asciiTheme="minorHAnsi" w:hAnsiTheme="minorHAnsi"/>
        </w:rPr>
        <w:t xml:space="preserve">torno a un concepto aún en construcción, pero con líneas específicas en las cuales se busca </w:t>
      </w:r>
      <w:r w:rsidR="00C812E3" w:rsidRPr="00585065">
        <w:rPr>
          <w:rFonts w:asciiTheme="minorHAnsi" w:hAnsiTheme="minorHAnsi"/>
        </w:rPr>
        <w:t>un</w:t>
      </w:r>
      <w:r w:rsidRPr="00585065">
        <w:rPr>
          <w:rFonts w:asciiTheme="minorHAnsi" w:hAnsiTheme="minorHAnsi"/>
        </w:rPr>
        <w:t xml:space="preserve"> consenso. Internet es el principal involucrado en la neutralidad de red, </w:t>
      </w:r>
      <w:r w:rsidR="00661385" w:rsidRPr="00585065">
        <w:rPr>
          <w:rFonts w:asciiTheme="minorHAnsi" w:hAnsiTheme="minorHAnsi"/>
        </w:rPr>
        <w:t>que,</w:t>
      </w:r>
      <w:r w:rsidRPr="00585065">
        <w:rPr>
          <w:rFonts w:asciiTheme="minorHAnsi" w:hAnsiTheme="minorHAnsi"/>
        </w:rPr>
        <w:t xml:space="preserve"> al tratarse de un mercado de plataforma de dos lados con dos tipos de usuarios (generadores de contenido y consumidores de contenido)</w:t>
      </w:r>
      <w:r w:rsidR="00661385" w:rsidRPr="00585065">
        <w:rPr>
          <w:rFonts w:asciiTheme="minorHAnsi" w:hAnsiTheme="minorHAnsi"/>
        </w:rPr>
        <w:t>,</w:t>
      </w:r>
      <w:r w:rsidRPr="00585065">
        <w:rPr>
          <w:rFonts w:asciiTheme="minorHAnsi" w:hAnsiTheme="minorHAnsi"/>
        </w:rPr>
        <w:t xml:space="preserve"> genera puntos de vista diferentes </w:t>
      </w:r>
      <w:r w:rsidR="00923829" w:rsidRPr="00585065">
        <w:rPr>
          <w:rFonts w:asciiTheme="minorHAnsi" w:hAnsiTheme="minorHAnsi"/>
        </w:rPr>
        <w:t xml:space="preserve">dependiendo del ámbito </w:t>
      </w:r>
      <w:r w:rsidR="00183125" w:rsidRPr="00585065">
        <w:rPr>
          <w:rFonts w:asciiTheme="minorHAnsi" w:hAnsiTheme="minorHAnsi"/>
        </w:rPr>
        <w:t xml:space="preserve">desde </w:t>
      </w:r>
      <w:r w:rsidR="00923829" w:rsidRPr="00585065">
        <w:rPr>
          <w:rFonts w:asciiTheme="minorHAnsi" w:hAnsiTheme="minorHAnsi"/>
        </w:rPr>
        <w:t>el cual se mira el</w:t>
      </w:r>
      <w:r w:rsidRPr="00585065">
        <w:rPr>
          <w:rFonts w:asciiTheme="minorHAnsi" w:hAnsiTheme="minorHAnsi"/>
        </w:rPr>
        <w:t xml:space="preserve"> análisis</w:t>
      </w:r>
      <w:r w:rsidR="00882B0E" w:rsidRPr="00585065">
        <w:rPr>
          <w:rFonts w:asciiTheme="minorHAnsi" w:hAnsiTheme="minorHAnsi"/>
        </w:rPr>
        <w:t>; así también</w:t>
      </w:r>
      <w:r w:rsidR="007C3A44" w:rsidRPr="00585065">
        <w:rPr>
          <w:rFonts w:asciiTheme="minorHAnsi" w:hAnsiTheme="minorHAnsi"/>
        </w:rPr>
        <w:t>,</w:t>
      </w:r>
      <w:r w:rsidR="00882B0E" w:rsidRPr="00585065">
        <w:rPr>
          <w:rFonts w:asciiTheme="minorHAnsi" w:hAnsiTheme="minorHAnsi"/>
        </w:rPr>
        <w:t xml:space="preserve"> </w:t>
      </w:r>
      <w:r w:rsidR="00CA2BF4" w:rsidRPr="00585065">
        <w:rPr>
          <w:rFonts w:asciiTheme="minorHAnsi" w:hAnsiTheme="minorHAnsi"/>
        </w:rPr>
        <w:t>el debate</w:t>
      </w:r>
      <w:r w:rsidR="007C3A44" w:rsidRPr="00585065">
        <w:rPr>
          <w:rFonts w:asciiTheme="minorHAnsi" w:hAnsiTheme="minorHAnsi"/>
        </w:rPr>
        <w:t xml:space="preserve"> tiene varios niveles y ángulos</w:t>
      </w:r>
      <w:r w:rsidR="00CA2BF4" w:rsidRPr="00585065">
        <w:rPr>
          <w:rFonts w:asciiTheme="minorHAnsi" w:hAnsiTheme="minorHAnsi"/>
        </w:rPr>
        <w:t xml:space="preserve"> </w:t>
      </w:r>
      <w:r w:rsidR="00401C56" w:rsidRPr="00585065">
        <w:rPr>
          <w:rFonts w:asciiTheme="minorHAnsi" w:hAnsiTheme="minorHAnsi"/>
        </w:rPr>
        <w:t>desde</w:t>
      </w:r>
      <w:r w:rsidR="00101A28" w:rsidRPr="00585065">
        <w:rPr>
          <w:rFonts w:asciiTheme="minorHAnsi" w:hAnsiTheme="minorHAnsi"/>
        </w:rPr>
        <w:t xml:space="preserve"> la perspectiva de </w:t>
      </w:r>
      <w:r w:rsidR="00101A28" w:rsidRPr="00585065">
        <w:rPr>
          <w:rFonts w:asciiTheme="minorHAnsi" w:hAnsiTheme="minorHAnsi"/>
          <w:i/>
          <w:u w:val="single"/>
        </w:rPr>
        <w:t xml:space="preserve">tecnología de redes, </w:t>
      </w:r>
      <w:r w:rsidR="005A7CEB" w:rsidRPr="00585065">
        <w:rPr>
          <w:rFonts w:asciiTheme="minorHAnsi" w:hAnsiTheme="minorHAnsi"/>
          <w:i/>
          <w:u w:val="single"/>
        </w:rPr>
        <w:t>los mercados relevantes</w:t>
      </w:r>
      <w:r w:rsidR="007C3A44" w:rsidRPr="00585065">
        <w:rPr>
          <w:rFonts w:asciiTheme="minorHAnsi" w:hAnsiTheme="minorHAnsi"/>
          <w:i/>
          <w:u w:val="single"/>
        </w:rPr>
        <w:t xml:space="preserve"> involucrados</w:t>
      </w:r>
      <w:r w:rsidR="005A7CEB" w:rsidRPr="00585065">
        <w:rPr>
          <w:rFonts w:asciiTheme="minorHAnsi" w:hAnsiTheme="minorHAnsi"/>
          <w:i/>
          <w:u w:val="single"/>
        </w:rPr>
        <w:t xml:space="preserve">, </w:t>
      </w:r>
      <w:r w:rsidR="007C3A44" w:rsidRPr="00585065">
        <w:rPr>
          <w:rFonts w:asciiTheme="minorHAnsi" w:hAnsiTheme="minorHAnsi"/>
          <w:i/>
          <w:u w:val="single"/>
        </w:rPr>
        <w:t xml:space="preserve">las </w:t>
      </w:r>
      <w:r w:rsidR="00C178CA" w:rsidRPr="00585065">
        <w:rPr>
          <w:rFonts w:asciiTheme="minorHAnsi" w:hAnsiTheme="minorHAnsi"/>
          <w:i/>
          <w:u w:val="single"/>
        </w:rPr>
        <w:t>prácticas económicas y comerciales</w:t>
      </w:r>
      <w:r w:rsidR="007C3A44" w:rsidRPr="00585065">
        <w:rPr>
          <w:rFonts w:asciiTheme="minorHAnsi" w:hAnsiTheme="minorHAnsi"/>
          <w:i/>
          <w:u w:val="single"/>
        </w:rPr>
        <w:t xml:space="preserve"> de los prestadores de servicio de acceso a Internet</w:t>
      </w:r>
      <w:r w:rsidR="00E70B26" w:rsidRPr="00585065">
        <w:rPr>
          <w:rFonts w:asciiTheme="minorHAnsi" w:hAnsiTheme="minorHAnsi"/>
          <w:i/>
          <w:u w:val="single"/>
        </w:rPr>
        <w:t>, la transparencia en el manejo de la información a los usuarios finales</w:t>
      </w:r>
      <w:r w:rsidR="007C3A44" w:rsidRPr="00585065">
        <w:rPr>
          <w:rFonts w:asciiTheme="minorHAnsi" w:hAnsiTheme="minorHAnsi"/>
          <w:i/>
          <w:u w:val="single"/>
        </w:rPr>
        <w:t xml:space="preserve"> y </w:t>
      </w:r>
      <w:r w:rsidR="00101A28" w:rsidRPr="00585065">
        <w:rPr>
          <w:rFonts w:asciiTheme="minorHAnsi" w:hAnsiTheme="minorHAnsi"/>
          <w:i/>
          <w:u w:val="single"/>
        </w:rPr>
        <w:t>la política pública</w:t>
      </w:r>
      <w:r w:rsidR="007C3A44" w:rsidRPr="00585065">
        <w:rPr>
          <w:rFonts w:asciiTheme="minorHAnsi" w:hAnsiTheme="minorHAnsi"/>
          <w:i/>
          <w:u w:val="single"/>
        </w:rPr>
        <w:t xml:space="preserve"> acerca de la regulación de NR</w:t>
      </w:r>
      <w:r w:rsidRPr="00585065">
        <w:rPr>
          <w:rFonts w:asciiTheme="minorHAnsi" w:hAnsiTheme="minorHAnsi"/>
        </w:rPr>
        <w:t xml:space="preserve">. </w:t>
      </w:r>
      <w:r w:rsidR="00101A28" w:rsidRPr="00585065">
        <w:rPr>
          <w:rFonts w:asciiTheme="minorHAnsi" w:hAnsiTheme="minorHAnsi"/>
        </w:rPr>
        <w:t xml:space="preserve">Estos elementos </w:t>
      </w:r>
      <w:r w:rsidR="00101A28" w:rsidRPr="00585065">
        <w:rPr>
          <w:rFonts w:asciiTheme="minorHAnsi" w:hAnsiTheme="minorHAnsi"/>
        </w:rPr>
        <w:lastRenderedPageBreak/>
        <w:t>están enunciados en una secuencia lineal que corresponde a la sucesión de los eventos que impactan la NR en la práctica. P</w:t>
      </w:r>
      <w:r w:rsidRPr="00585065">
        <w:rPr>
          <w:rFonts w:asciiTheme="minorHAnsi" w:hAnsiTheme="minorHAnsi"/>
        </w:rPr>
        <w:t>ese a la aparente complejidad del debate, un concepto clave en el</w:t>
      </w:r>
      <w:r w:rsidR="007C3A44" w:rsidRPr="00585065">
        <w:rPr>
          <w:rFonts w:asciiTheme="minorHAnsi" w:hAnsiTheme="minorHAnsi"/>
        </w:rPr>
        <w:t xml:space="preserve"> mismo es la no discriminación en el tratamiento del tráfico, contenido y aplicaciones</w:t>
      </w:r>
    </w:p>
    <w:p w14:paraId="3361361B" w14:textId="0DD4B9D6" w:rsidR="00101A28" w:rsidRPr="003B52A4" w:rsidRDefault="00101A28" w:rsidP="003B52A4">
      <w:pPr>
        <w:pStyle w:val="Ttulo3"/>
        <w:spacing w:after="240"/>
        <w:rPr>
          <w:rFonts w:asciiTheme="minorHAnsi" w:hAnsiTheme="minorHAnsi"/>
          <w:b/>
          <w:i/>
          <w:color w:val="auto"/>
          <w:sz w:val="22"/>
          <w:szCs w:val="22"/>
        </w:rPr>
      </w:pPr>
      <w:r w:rsidRPr="003B52A4">
        <w:rPr>
          <w:rFonts w:asciiTheme="minorHAnsi" w:hAnsiTheme="minorHAnsi"/>
          <w:b/>
          <w:i/>
          <w:color w:val="auto"/>
          <w:sz w:val="22"/>
          <w:szCs w:val="22"/>
        </w:rPr>
        <w:t>Tecnología de redes de telecomunicaciones</w:t>
      </w:r>
      <w:r w:rsidR="007C3A44" w:rsidRPr="003B52A4">
        <w:rPr>
          <w:rFonts w:asciiTheme="minorHAnsi" w:hAnsiTheme="minorHAnsi"/>
          <w:b/>
          <w:i/>
          <w:color w:val="auto"/>
          <w:sz w:val="22"/>
          <w:szCs w:val="22"/>
        </w:rPr>
        <w:t>: Gestión de tráfico</w:t>
      </w:r>
    </w:p>
    <w:p w14:paraId="612B3BA8" w14:textId="4094F487" w:rsidR="00101A28" w:rsidRPr="00585065" w:rsidRDefault="00101A28" w:rsidP="005775D9">
      <w:pPr>
        <w:rPr>
          <w:rFonts w:asciiTheme="minorHAnsi" w:hAnsiTheme="minorHAnsi"/>
        </w:rPr>
      </w:pPr>
      <w:r w:rsidRPr="00585065">
        <w:rPr>
          <w:rFonts w:asciiTheme="minorHAnsi" w:hAnsiTheme="minorHAnsi"/>
        </w:rPr>
        <w:t>La tecnología de redes de paquetes permite realizar gestión del tráfico siguiendo generalmente principios de eficiencia de los recursos escasos en una red: pasar el mayor tr</w:t>
      </w:r>
      <w:r w:rsidR="000E607C" w:rsidRPr="00585065">
        <w:rPr>
          <w:rFonts w:asciiTheme="minorHAnsi" w:hAnsiTheme="minorHAnsi"/>
        </w:rPr>
        <w:t>á</w:t>
      </w:r>
      <w:r w:rsidRPr="00585065">
        <w:rPr>
          <w:rFonts w:asciiTheme="minorHAnsi" w:hAnsiTheme="minorHAnsi"/>
        </w:rPr>
        <w:t>fico posible, con una calidad objetivo, sobre los canales de comunicación elec</w:t>
      </w:r>
      <w:r w:rsidR="00AC3CD7" w:rsidRPr="00585065">
        <w:rPr>
          <w:rFonts w:asciiTheme="minorHAnsi" w:hAnsiTheme="minorHAnsi"/>
        </w:rPr>
        <w:t>trónica. Estas técnicas son legí</w:t>
      </w:r>
      <w:r w:rsidRPr="00585065">
        <w:rPr>
          <w:rFonts w:asciiTheme="minorHAnsi" w:hAnsiTheme="minorHAnsi"/>
        </w:rPr>
        <w:t xml:space="preserve">timas y necesarias en cualquier red. Sin embargo, cuando a los criterios de eficiencia técnica se añaden otros como el de eficiencia económica, entonces las redes se empiezan a gestionar para dar prioridad a tráficos más rentables que los de menor rentabilidad. Estos criterios pueden interferir con los principios de no discriminación en el manejo del tráfico y con otro conjunto de </w:t>
      </w:r>
      <w:r w:rsidR="0059186C" w:rsidRPr="00585065">
        <w:rPr>
          <w:rFonts w:asciiTheme="minorHAnsi" w:hAnsiTheme="minorHAnsi"/>
        </w:rPr>
        <w:t xml:space="preserve">principios </w:t>
      </w:r>
      <w:r w:rsidRPr="00585065">
        <w:rPr>
          <w:rFonts w:asciiTheme="minorHAnsi" w:hAnsiTheme="minorHAnsi"/>
        </w:rPr>
        <w:t>relacionados a los temas de competencia económica que se mencionarán en el siguiente apartado</w:t>
      </w:r>
    </w:p>
    <w:p w14:paraId="44EF6573" w14:textId="07675DF5" w:rsidR="007A7DEA" w:rsidRPr="00585065" w:rsidRDefault="008B6830" w:rsidP="00984338">
      <w:pPr>
        <w:rPr>
          <w:rFonts w:asciiTheme="minorHAnsi" w:hAnsiTheme="minorHAnsi"/>
        </w:rPr>
      </w:pPr>
      <w:r w:rsidRPr="00585065">
        <w:rPr>
          <w:rFonts w:asciiTheme="minorHAnsi" w:hAnsiTheme="minorHAnsi"/>
        </w:rPr>
        <w:t>El principio del cual parten los lineam</w:t>
      </w:r>
      <w:r w:rsidR="00DC7B1F" w:rsidRPr="00585065">
        <w:rPr>
          <w:rFonts w:asciiTheme="minorHAnsi" w:hAnsiTheme="minorHAnsi"/>
        </w:rPr>
        <w:t>ientos sobre gestión de tráfico</w:t>
      </w:r>
      <w:r w:rsidRPr="00585065">
        <w:rPr>
          <w:rFonts w:asciiTheme="minorHAnsi" w:hAnsiTheme="minorHAnsi"/>
        </w:rPr>
        <w:t xml:space="preserve"> es el mencionado en </w:t>
      </w:r>
      <w:r w:rsidR="007A7DEA" w:rsidRPr="00585065">
        <w:rPr>
          <w:rFonts w:asciiTheme="minorHAnsi" w:hAnsiTheme="minorHAnsi"/>
        </w:rPr>
        <w:t>el segundo párrafo de la primera página</w:t>
      </w:r>
      <w:r w:rsidR="00684259" w:rsidRPr="00585065">
        <w:rPr>
          <w:rStyle w:val="Refdenotaalpie"/>
          <w:rFonts w:asciiTheme="minorHAnsi" w:hAnsiTheme="minorHAnsi"/>
        </w:rPr>
        <w:footnoteReference w:id="4"/>
      </w:r>
      <w:r w:rsidR="007A7DEA" w:rsidRPr="00585065">
        <w:rPr>
          <w:rFonts w:asciiTheme="minorHAnsi" w:hAnsiTheme="minorHAnsi"/>
        </w:rPr>
        <w:t xml:space="preserve">. </w:t>
      </w:r>
      <w:r w:rsidRPr="00585065">
        <w:rPr>
          <w:rFonts w:asciiTheme="minorHAnsi" w:hAnsiTheme="minorHAnsi"/>
        </w:rPr>
        <w:t>A la vez</w:t>
      </w:r>
      <w:r w:rsidR="00DC7B1F" w:rsidRPr="00585065">
        <w:rPr>
          <w:rFonts w:asciiTheme="minorHAnsi" w:hAnsiTheme="minorHAnsi"/>
        </w:rPr>
        <w:t>,</w:t>
      </w:r>
      <w:r w:rsidRPr="00585065">
        <w:rPr>
          <w:rFonts w:asciiTheme="minorHAnsi" w:hAnsiTheme="minorHAnsi"/>
        </w:rPr>
        <w:t xml:space="preserve"> y tomando</w:t>
      </w:r>
      <w:r w:rsidR="00DC7B1F" w:rsidRPr="00585065">
        <w:rPr>
          <w:rFonts w:asciiTheme="minorHAnsi" w:hAnsiTheme="minorHAnsi"/>
        </w:rPr>
        <w:t xml:space="preserve"> en cuenta lo anterior, los ISP</w:t>
      </w:r>
      <w:r w:rsidRPr="00585065">
        <w:rPr>
          <w:rFonts w:asciiTheme="minorHAnsi" w:hAnsiTheme="minorHAnsi"/>
        </w:rPr>
        <w:t xml:space="preserve"> podrán instrumentar medidas razonables de gest</w:t>
      </w:r>
      <w:r w:rsidR="00DC7B1F" w:rsidRPr="00585065">
        <w:rPr>
          <w:rFonts w:asciiTheme="minorHAnsi" w:hAnsiTheme="minorHAnsi"/>
        </w:rPr>
        <w:t>ión del tráfico que deberán ser</w:t>
      </w:r>
      <w:r w:rsidRPr="00585065">
        <w:rPr>
          <w:rFonts w:asciiTheme="minorHAnsi" w:hAnsiTheme="minorHAnsi"/>
        </w:rPr>
        <w:t xml:space="preserve"> transparentes, no discriminatorias y proporcionales; no deberán estar basadas en consideraciones de naturaleza comercial y tampoco </w:t>
      </w:r>
      <w:r w:rsidR="00DC7B1F" w:rsidRPr="00585065">
        <w:rPr>
          <w:rFonts w:asciiTheme="minorHAnsi" w:hAnsiTheme="minorHAnsi"/>
        </w:rPr>
        <w:t xml:space="preserve">deberán </w:t>
      </w:r>
      <w:r w:rsidRPr="00585065">
        <w:rPr>
          <w:rFonts w:asciiTheme="minorHAnsi" w:hAnsiTheme="minorHAnsi"/>
        </w:rPr>
        <w:t xml:space="preserve">monitorear el contenido de la </w:t>
      </w:r>
      <w:r w:rsidR="007A7DEA" w:rsidRPr="00585065">
        <w:rPr>
          <w:rFonts w:asciiTheme="minorHAnsi" w:hAnsiTheme="minorHAnsi"/>
        </w:rPr>
        <w:t xml:space="preserve">información. </w:t>
      </w:r>
    </w:p>
    <w:p w14:paraId="397F94BF" w14:textId="2AA84424" w:rsidR="008B6830" w:rsidRPr="00585065" w:rsidRDefault="007A7DEA" w:rsidP="00984338">
      <w:pPr>
        <w:rPr>
          <w:rFonts w:asciiTheme="minorHAnsi" w:hAnsiTheme="minorHAnsi"/>
        </w:rPr>
      </w:pPr>
      <w:r w:rsidRPr="00585065">
        <w:rPr>
          <w:rFonts w:asciiTheme="minorHAnsi" w:hAnsiTheme="minorHAnsi"/>
        </w:rPr>
        <w:t>Las</w:t>
      </w:r>
      <w:r w:rsidR="008B6830" w:rsidRPr="00585065">
        <w:rPr>
          <w:rFonts w:asciiTheme="minorHAnsi" w:hAnsiTheme="minorHAnsi"/>
        </w:rPr>
        <w:t xml:space="preserve"> medidas de gestión no podrán mantenerse más allá de lo necesario</w:t>
      </w:r>
      <w:r w:rsidRPr="00585065">
        <w:rPr>
          <w:rFonts w:asciiTheme="minorHAnsi" w:hAnsiTheme="minorHAnsi"/>
        </w:rPr>
        <w:t xml:space="preserve">. </w:t>
      </w:r>
      <w:r w:rsidR="008B6830" w:rsidRPr="00585065">
        <w:rPr>
          <w:rFonts w:asciiTheme="minorHAnsi" w:hAnsiTheme="minorHAnsi"/>
        </w:rPr>
        <w:t>Las medidas tampoco podrán bloquear tráfico, ralentizarlo, alterarlo, restringirlo, degradarlo, discriminarlo o interferir con el mismo</w:t>
      </w:r>
      <w:r w:rsidR="000718C1" w:rsidRPr="00585065">
        <w:rPr>
          <w:rFonts w:asciiTheme="minorHAnsi" w:hAnsiTheme="minorHAnsi"/>
        </w:rPr>
        <w:t>.</w:t>
      </w:r>
    </w:p>
    <w:p w14:paraId="6246AED8" w14:textId="144AE1B0" w:rsidR="008B6830" w:rsidRPr="00585065" w:rsidRDefault="008B6830" w:rsidP="00984338">
      <w:pPr>
        <w:rPr>
          <w:rFonts w:asciiTheme="minorHAnsi" w:hAnsiTheme="minorHAnsi"/>
        </w:rPr>
      </w:pPr>
      <w:r w:rsidRPr="00585065">
        <w:rPr>
          <w:rFonts w:asciiTheme="minorHAnsi" w:hAnsiTheme="minorHAnsi"/>
        </w:rPr>
        <w:t>También deberán preservar la seguridad e integridad de la red, de los servicios provistos y del equipo terminal de usuario</w:t>
      </w:r>
      <w:r w:rsidR="000718C1" w:rsidRPr="00585065">
        <w:rPr>
          <w:rFonts w:asciiTheme="minorHAnsi" w:hAnsiTheme="minorHAnsi"/>
        </w:rPr>
        <w:t>.</w:t>
      </w:r>
    </w:p>
    <w:p w14:paraId="5E11F89B" w14:textId="63320588" w:rsidR="008B6830" w:rsidRPr="00585065" w:rsidRDefault="008B6830" w:rsidP="008B6830">
      <w:pPr>
        <w:rPr>
          <w:rFonts w:asciiTheme="minorHAnsi" w:hAnsiTheme="minorHAnsi"/>
        </w:rPr>
      </w:pPr>
      <w:r w:rsidRPr="00585065">
        <w:rPr>
          <w:rFonts w:asciiTheme="minorHAnsi" w:hAnsiTheme="minorHAnsi"/>
        </w:rPr>
        <w:t>Se utilizarán para prevenir congestión en la red así como para mitigar y resolver congestión temporal o excepcional de la misma, siempre y cuando que las categorías equivalentes de tráfico sean tratadas de manera igual</w:t>
      </w:r>
    </w:p>
    <w:p w14:paraId="7D46B948" w14:textId="1D3EFF37" w:rsidR="005A7CEB" w:rsidRPr="003B52A4" w:rsidRDefault="005A7CEB" w:rsidP="003B52A4">
      <w:pPr>
        <w:pStyle w:val="Ttulo3"/>
        <w:spacing w:after="240"/>
        <w:rPr>
          <w:rFonts w:asciiTheme="minorHAnsi" w:hAnsiTheme="minorHAnsi"/>
          <w:b/>
          <w:i/>
          <w:color w:val="auto"/>
          <w:sz w:val="22"/>
          <w:szCs w:val="22"/>
        </w:rPr>
      </w:pPr>
      <w:r w:rsidRPr="003B52A4">
        <w:rPr>
          <w:rFonts w:asciiTheme="minorHAnsi" w:hAnsiTheme="minorHAnsi"/>
          <w:b/>
          <w:i/>
          <w:color w:val="auto"/>
          <w:sz w:val="22"/>
          <w:szCs w:val="22"/>
        </w:rPr>
        <w:t>Los Mercados Relevantes para la NR</w:t>
      </w:r>
    </w:p>
    <w:p w14:paraId="204F265C" w14:textId="46B0E386" w:rsidR="0088247E" w:rsidRPr="00585065" w:rsidRDefault="005A7CEB" w:rsidP="000718C1">
      <w:pPr>
        <w:rPr>
          <w:rFonts w:asciiTheme="minorHAnsi" w:hAnsiTheme="minorHAnsi"/>
        </w:rPr>
      </w:pPr>
      <w:r w:rsidRPr="00585065">
        <w:rPr>
          <w:rFonts w:asciiTheme="minorHAnsi" w:hAnsiTheme="minorHAnsi"/>
        </w:rPr>
        <w:t>El mercado relevante</w:t>
      </w:r>
      <w:r w:rsidR="000718C1" w:rsidRPr="00585065">
        <w:rPr>
          <w:rFonts w:asciiTheme="minorHAnsi" w:hAnsiTheme="minorHAnsi"/>
        </w:rPr>
        <w:t xml:space="preserve"> para el ámbito de NR</w:t>
      </w:r>
      <w:r w:rsidRPr="00585065">
        <w:rPr>
          <w:rFonts w:asciiTheme="minorHAnsi" w:hAnsiTheme="minorHAnsi"/>
        </w:rPr>
        <w:t xml:space="preserve"> son los usuarios finales de servicios de acceso a Internet</w:t>
      </w:r>
      <w:r w:rsidR="00485813" w:rsidRPr="00585065">
        <w:rPr>
          <w:rFonts w:asciiTheme="minorHAnsi" w:hAnsiTheme="minorHAnsi"/>
        </w:rPr>
        <w:t>, de contenido y de aplicaciones transmitidas electrónicamente en Protocolo de Internet</w:t>
      </w:r>
      <w:r w:rsidRPr="00585065">
        <w:rPr>
          <w:rFonts w:asciiTheme="minorHAnsi" w:hAnsiTheme="minorHAnsi"/>
        </w:rPr>
        <w:t>, cuando hacen uso únicamente de redes públicas de telecomunicaciones. Usuarios finales incluye: consumidores en mercados masivos, negocios, instituciones y proveedores d</w:t>
      </w:r>
      <w:r w:rsidR="008306C4" w:rsidRPr="00585065">
        <w:rPr>
          <w:rFonts w:asciiTheme="minorHAnsi" w:hAnsiTheme="minorHAnsi"/>
        </w:rPr>
        <w:t>e contenido y aplicaciones (CAP</w:t>
      </w:r>
      <w:r w:rsidRPr="00585065">
        <w:rPr>
          <w:rFonts w:asciiTheme="minorHAnsi" w:hAnsiTheme="minorHAnsi"/>
        </w:rPr>
        <w:t xml:space="preserve"> por sus siglas en Inglés</w:t>
      </w:r>
      <w:r w:rsidR="00485813" w:rsidRPr="00585065">
        <w:rPr>
          <w:rFonts w:asciiTheme="minorHAnsi" w:hAnsiTheme="minorHAnsi"/>
        </w:rPr>
        <w:t xml:space="preserve"> “Content and Applications Providers”</w:t>
      </w:r>
      <w:r w:rsidRPr="00585065">
        <w:rPr>
          <w:rFonts w:asciiTheme="minorHAnsi" w:hAnsiTheme="minorHAnsi"/>
        </w:rPr>
        <w:t>).</w:t>
      </w:r>
    </w:p>
    <w:p w14:paraId="47DC498A" w14:textId="087D375A" w:rsidR="00AC6F2F" w:rsidRPr="00585065" w:rsidRDefault="0088247E" w:rsidP="000718C1">
      <w:pPr>
        <w:rPr>
          <w:rFonts w:asciiTheme="minorHAnsi" w:hAnsiTheme="minorHAnsi"/>
        </w:rPr>
      </w:pPr>
      <w:r w:rsidRPr="00585065">
        <w:rPr>
          <w:rFonts w:asciiTheme="minorHAnsi" w:hAnsiTheme="minorHAnsi"/>
        </w:rPr>
        <w:lastRenderedPageBreak/>
        <w:t>D</w:t>
      </w:r>
      <w:r w:rsidR="005775D9" w:rsidRPr="00585065">
        <w:rPr>
          <w:rFonts w:asciiTheme="minorHAnsi" w:hAnsiTheme="minorHAnsi"/>
        </w:rPr>
        <w:t xml:space="preserve">esde el punto de vista de </w:t>
      </w:r>
      <w:r w:rsidR="005775D9" w:rsidRPr="00585065">
        <w:rPr>
          <w:rFonts w:asciiTheme="minorHAnsi" w:hAnsiTheme="minorHAnsi"/>
          <w:u w:val="single"/>
        </w:rPr>
        <w:t>consumidores</w:t>
      </w:r>
      <w:r w:rsidR="005775D9" w:rsidRPr="00585065">
        <w:rPr>
          <w:rFonts w:asciiTheme="minorHAnsi" w:hAnsiTheme="minorHAnsi"/>
        </w:rPr>
        <w:t xml:space="preserve"> de contenidos, aplicaciones o servicios de internet</w:t>
      </w:r>
      <w:r w:rsidR="00401C56" w:rsidRPr="00585065">
        <w:rPr>
          <w:rFonts w:asciiTheme="minorHAnsi" w:hAnsiTheme="minorHAnsi"/>
        </w:rPr>
        <w:t>,</w:t>
      </w:r>
      <w:r w:rsidR="005775D9" w:rsidRPr="00585065">
        <w:rPr>
          <w:rFonts w:asciiTheme="minorHAnsi" w:hAnsiTheme="minorHAnsi"/>
        </w:rPr>
        <w:t xml:space="preserve"> la neutralidad de red trata sobre el problema de mantener el carácter abierto de internet en el que se preserve el acceso libre y no discriminatorio; </w:t>
      </w:r>
    </w:p>
    <w:p w14:paraId="17EA59F1" w14:textId="539ECC06" w:rsidR="00C178CA" w:rsidRPr="00585065" w:rsidRDefault="0088247E" w:rsidP="000718C1">
      <w:pPr>
        <w:rPr>
          <w:rFonts w:asciiTheme="minorHAnsi" w:hAnsiTheme="minorHAnsi"/>
        </w:rPr>
      </w:pPr>
      <w:r w:rsidRPr="00585065">
        <w:rPr>
          <w:rFonts w:asciiTheme="minorHAnsi" w:hAnsiTheme="minorHAnsi"/>
        </w:rPr>
        <w:t>D</w:t>
      </w:r>
      <w:r w:rsidR="005775D9" w:rsidRPr="00585065">
        <w:rPr>
          <w:rFonts w:asciiTheme="minorHAnsi" w:hAnsiTheme="minorHAnsi"/>
        </w:rPr>
        <w:t xml:space="preserve">esde el punto de vista de los </w:t>
      </w:r>
      <w:r w:rsidR="005775D9" w:rsidRPr="00585065">
        <w:rPr>
          <w:rFonts w:asciiTheme="minorHAnsi" w:hAnsiTheme="minorHAnsi"/>
          <w:u w:val="single"/>
        </w:rPr>
        <w:t>creadores</w:t>
      </w:r>
      <w:r w:rsidR="005775D9" w:rsidRPr="00585065">
        <w:rPr>
          <w:rFonts w:asciiTheme="minorHAnsi" w:hAnsiTheme="minorHAnsi"/>
        </w:rPr>
        <w:t xml:space="preserve"> de contenido, aplicaciones y servicio sobre internet, la neutralidad de red trata del problema de discrimi</w:t>
      </w:r>
      <w:r w:rsidR="00401C56" w:rsidRPr="00585065">
        <w:rPr>
          <w:rFonts w:asciiTheme="minorHAnsi" w:hAnsiTheme="minorHAnsi"/>
        </w:rPr>
        <w:t xml:space="preserve">nación en el tránsito de datos </w:t>
      </w:r>
      <w:r w:rsidR="005775D9" w:rsidRPr="00585065">
        <w:rPr>
          <w:rFonts w:asciiTheme="minorHAnsi" w:hAnsiTheme="minorHAnsi"/>
        </w:rPr>
        <w:t xml:space="preserve">y sus efectos sobre los incentivos a la innovación y </w:t>
      </w:r>
      <w:r w:rsidR="00401C56" w:rsidRPr="00585065">
        <w:rPr>
          <w:rFonts w:asciiTheme="minorHAnsi" w:hAnsiTheme="minorHAnsi"/>
        </w:rPr>
        <w:t xml:space="preserve">el </w:t>
      </w:r>
      <w:r w:rsidR="005775D9" w:rsidRPr="00585065">
        <w:rPr>
          <w:rFonts w:asciiTheme="minorHAnsi" w:hAnsiTheme="minorHAnsi"/>
        </w:rPr>
        <w:t xml:space="preserve">desarrollo tecnológico. </w:t>
      </w:r>
      <w:r w:rsidR="00C178CA" w:rsidRPr="00585065">
        <w:rPr>
          <w:rFonts w:asciiTheme="minorHAnsi" w:hAnsiTheme="minorHAnsi"/>
        </w:rPr>
        <w:t xml:space="preserve"> </w:t>
      </w:r>
    </w:p>
    <w:p w14:paraId="7D631F23" w14:textId="68BF133F" w:rsidR="00C178CA" w:rsidRPr="003B52A4" w:rsidRDefault="00C178CA" w:rsidP="003B52A4">
      <w:pPr>
        <w:pStyle w:val="Ttulo3"/>
        <w:spacing w:after="240"/>
        <w:rPr>
          <w:rFonts w:asciiTheme="minorHAnsi" w:hAnsiTheme="minorHAnsi"/>
          <w:b/>
          <w:i/>
          <w:color w:val="auto"/>
          <w:sz w:val="22"/>
          <w:szCs w:val="22"/>
        </w:rPr>
      </w:pPr>
      <w:r w:rsidRPr="003B52A4">
        <w:rPr>
          <w:rFonts w:asciiTheme="minorHAnsi" w:hAnsiTheme="minorHAnsi"/>
          <w:b/>
          <w:i/>
          <w:color w:val="auto"/>
          <w:sz w:val="22"/>
          <w:szCs w:val="22"/>
        </w:rPr>
        <w:t>Prá</w:t>
      </w:r>
      <w:r w:rsidR="000718C1" w:rsidRPr="003B52A4">
        <w:rPr>
          <w:rFonts w:asciiTheme="minorHAnsi" w:hAnsiTheme="minorHAnsi"/>
          <w:b/>
          <w:i/>
          <w:color w:val="auto"/>
          <w:sz w:val="22"/>
          <w:szCs w:val="22"/>
        </w:rPr>
        <w:t>cticas económicas y comercial</w:t>
      </w:r>
      <w:r w:rsidR="008306C4" w:rsidRPr="003B52A4">
        <w:rPr>
          <w:rFonts w:asciiTheme="minorHAnsi" w:hAnsiTheme="minorHAnsi"/>
          <w:b/>
          <w:i/>
          <w:color w:val="auto"/>
          <w:sz w:val="22"/>
          <w:szCs w:val="22"/>
        </w:rPr>
        <w:t>es aplicadas por los ISP y CAP</w:t>
      </w:r>
    </w:p>
    <w:p w14:paraId="782A1CC2" w14:textId="109A4BB8" w:rsidR="00AC6F2F" w:rsidRPr="00585065" w:rsidRDefault="005775D9" w:rsidP="005775D9">
      <w:pPr>
        <w:rPr>
          <w:rFonts w:asciiTheme="minorHAnsi" w:hAnsiTheme="minorHAnsi"/>
        </w:rPr>
      </w:pPr>
      <w:r w:rsidRPr="00585065">
        <w:rPr>
          <w:rFonts w:asciiTheme="minorHAnsi" w:hAnsiTheme="minorHAnsi"/>
        </w:rPr>
        <w:t>Desde el punto de vista económico pu</w:t>
      </w:r>
      <w:r w:rsidR="0088247E" w:rsidRPr="00585065">
        <w:rPr>
          <w:rFonts w:asciiTheme="minorHAnsi" w:hAnsiTheme="minorHAnsi"/>
        </w:rPr>
        <w:t>ede entenderse el debate como:</w:t>
      </w:r>
    </w:p>
    <w:p w14:paraId="0D69D8DB" w14:textId="561702EE" w:rsidR="00AC6F2F" w:rsidRPr="00585065" w:rsidRDefault="00354C49" w:rsidP="00AC6F2F">
      <w:pPr>
        <w:ind w:left="720"/>
        <w:rPr>
          <w:rFonts w:asciiTheme="minorHAnsi" w:hAnsiTheme="minorHAnsi"/>
        </w:rPr>
      </w:pPr>
      <w:r w:rsidRPr="00585065">
        <w:rPr>
          <w:rFonts w:asciiTheme="minorHAnsi" w:hAnsiTheme="minorHAnsi"/>
        </w:rPr>
        <w:t>(</w:t>
      </w:r>
      <w:r w:rsidR="00AC6F2F" w:rsidRPr="00585065">
        <w:rPr>
          <w:rFonts w:asciiTheme="minorHAnsi" w:hAnsiTheme="minorHAnsi"/>
        </w:rPr>
        <w:t>A</w:t>
      </w:r>
      <w:r w:rsidR="005775D9" w:rsidRPr="00585065">
        <w:rPr>
          <w:rFonts w:asciiTheme="minorHAnsi" w:hAnsiTheme="minorHAnsi"/>
        </w:rPr>
        <w:t xml:space="preserve">) un problema de maximización de bienestar del consumidor o </w:t>
      </w:r>
    </w:p>
    <w:p w14:paraId="778BD79C" w14:textId="44C91FE4" w:rsidR="00354C49" w:rsidRPr="00585065" w:rsidRDefault="005775D9" w:rsidP="00AC6F2F">
      <w:pPr>
        <w:ind w:left="720"/>
        <w:rPr>
          <w:rFonts w:asciiTheme="minorHAnsi" w:hAnsiTheme="minorHAnsi"/>
        </w:rPr>
      </w:pPr>
      <w:r w:rsidRPr="00585065">
        <w:rPr>
          <w:rFonts w:asciiTheme="minorHAnsi" w:hAnsiTheme="minorHAnsi"/>
        </w:rPr>
        <w:t>(</w:t>
      </w:r>
      <w:r w:rsidR="00AC6F2F" w:rsidRPr="00585065">
        <w:rPr>
          <w:rFonts w:asciiTheme="minorHAnsi" w:hAnsiTheme="minorHAnsi"/>
        </w:rPr>
        <w:t>B</w:t>
      </w:r>
      <w:r w:rsidRPr="00585065">
        <w:rPr>
          <w:rFonts w:asciiTheme="minorHAnsi" w:hAnsiTheme="minorHAnsi"/>
        </w:rPr>
        <w:t xml:space="preserve">) un problema de distorsión de incentivos al desarrollo e innovación tecnológica y de distorsión de la decisión del consumidor. </w:t>
      </w:r>
    </w:p>
    <w:p w14:paraId="603311EF" w14:textId="45EEC10E" w:rsidR="004F1E41" w:rsidRPr="00585065" w:rsidRDefault="004F1E41" w:rsidP="00984338">
      <w:pPr>
        <w:rPr>
          <w:rFonts w:asciiTheme="minorHAnsi" w:hAnsiTheme="minorHAnsi"/>
        </w:rPr>
      </w:pPr>
      <w:r w:rsidRPr="00585065">
        <w:rPr>
          <w:rFonts w:asciiTheme="minorHAnsi" w:hAnsiTheme="minorHAnsi"/>
        </w:rPr>
        <w:t>Por otro lado, existen múltiples empresas que tienen poder de mercado en la provisión de productos o servicios que son complementarios. Tal es el caso de proveedores de contenidos y los proveedores de servicios de internet, por ejemplo, lo cual representa tanto un potencial problema de oportunismo en su conducta hacia otras empresas, como una oportunidad importante de negocios a explotar. Estos incentivos hacia explotar estas situaciones de poder de mercado abren la puerta a considerar el uso de regulación ex ante como un freno a p</w:t>
      </w:r>
      <w:r w:rsidR="000718C1" w:rsidRPr="00585065">
        <w:rPr>
          <w:rFonts w:asciiTheme="minorHAnsi" w:hAnsiTheme="minorHAnsi"/>
        </w:rPr>
        <w:t>osibles comportamientos nocivos al interés de los usuarios finales.</w:t>
      </w:r>
    </w:p>
    <w:p w14:paraId="4DBDC95A" w14:textId="68432F6E" w:rsidR="00CB332F" w:rsidRPr="00585065" w:rsidRDefault="00CB332F" w:rsidP="00CB332F">
      <w:pPr>
        <w:rPr>
          <w:rFonts w:asciiTheme="minorHAnsi" w:hAnsiTheme="minorHAnsi"/>
        </w:rPr>
      </w:pPr>
      <w:r w:rsidRPr="00585065">
        <w:rPr>
          <w:rFonts w:asciiTheme="minorHAnsi" w:hAnsiTheme="minorHAnsi"/>
        </w:rPr>
        <w:t>Además de estos elementos, en el análisis de política pública de neutralidad de red es crucial considerar herramientas que provienen de la teoría de mercados de dos lados. Por ejemplo, en materia de precios en mercados de</w:t>
      </w:r>
      <w:r w:rsidR="000718C1" w:rsidRPr="00585065">
        <w:rPr>
          <w:rFonts w:asciiTheme="minorHAnsi" w:hAnsiTheme="minorHAnsi"/>
        </w:rPr>
        <w:t xml:space="preserve"> dos</w:t>
      </w:r>
      <w:r w:rsidRPr="00585065">
        <w:rPr>
          <w:rFonts w:asciiTheme="minorHAnsi" w:hAnsiTheme="minorHAnsi"/>
        </w:rPr>
        <w:t xml:space="preserve"> lados, los precios relativos dependen fuertemente de las condiciones de demanda subyacentes en cada lado, incluyendo las elasticidades de la demanda relativa y la magnitud de los efectos indirectos de red. </w:t>
      </w:r>
    </w:p>
    <w:p w14:paraId="04E25505" w14:textId="614C9633" w:rsidR="00CB332F" w:rsidRPr="00585065" w:rsidRDefault="000718C1" w:rsidP="00CB332F">
      <w:pPr>
        <w:rPr>
          <w:rFonts w:asciiTheme="minorHAnsi" w:hAnsiTheme="minorHAnsi"/>
        </w:rPr>
      </w:pPr>
      <w:r w:rsidRPr="00585065">
        <w:rPr>
          <w:rFonts w:asciiTheme="minorHAnsi" w:hAnsiTheme="minorHAnsi"/>
        </w:rPr>
        <w:t>La dinámica de estos mercados de dos lados</w:t>
      </w:r>
      <w:r w:rsidR="00CB332F" w:rsidRPr="00585065">
        <w:rPr>
          <w:rFonts w:asciiTheme="minorHAnsi" w:hAnsiTheme="minorHAnsi"/>
        </w:rPr>
        <w:t xml:space="preserve"> </w:t>
      </w:r>
      <w:r w:rsidRPr="00585065">
        <w:rPr>
          <w:rFonts w:asciiTheme="minorHAnsi" w:hAnsiTheme="minorHAnsi"/>
        </w:rPr>
        <w:t xml:space="preserve">lleva a </w:t>
      </w:r>
      <w:r w:rsidR="00CB332F" w:rsidRPr="00585065">
        <w:rPr>
          <w:rFonts w:asciiTheme="minorHAnsi" w:hAnsiTheme="minorHAnsi"/>
        </w:rPr>
        <w:t xml:space="preserve">que los precios relativos </w:t>
      </w:r>
      <w:r w:rsidRPr="00585065">
        <w:rPr>
          <w:rFonts w:asciiTheme="minorHAnsi" w:hAnsiTheme="minorHAnsi"/>
        </w:rPr>
        <w:t xml:space="preserve">en estos mercados </w:t>
      </w:r>
      <w:r w:rsidR="00CB332F" w:rsidRPr="00585065">
        <w:rPr>
          <w:rFonts w:asciiTheme="minorHAnsi" w:hAnsiTheme="minorHAnsi"/>
        </w:rPr>
        <w:t xml:space="preserve"> cambien en el tiempo. Por ejemplo, las direcciones de correo son gratis, hasta que la demanda por estas direcciones y la cantidad de información que se gua</w:t>
      </w:r>
      <w:r w:rsidR="008306C4" w:rsidRPr="00585065">
        <w:rPr>
          <w:rFonts w:asciiTheme="minorHAnsi" w:hAnsiTheme="minorHAnsi"/>
        </w:rPr>
        <w:t>rda en ella</w:t>
      </w:r>
      <w:r w:rsidR="00CB332F" w:rsidRPr="00585065">
        <w:rPr>
          <w:rFonts w:asciiTheme="minorHAnsi" w:hAnsiTheme="minorHAnsi"/>
        </w:rPr>
        <w:t>s es tan grande que la empresa decide cobrar por el e</w:t>
      </w:r>
      <w:r w:rsidR="008306C4" w:rsidRPr="00585065">
        <w:rPr>
          <w:rFonts w:asciiTheme="minorHAnsi" w:hAnsiTheme="minorHAnsi"/>
        </w:rPr>
        <w:t>spacio que ocupa la información</w:t>
      </w:r>
      <w:r w:rsidR="00CB332F" w:rsidRPr="00585065">
        <w:rPr>
          <w:rFonts w:asciiTheme="minorHAnsi" w:hAnsiTheme="minorHAnsi"/>
        </w:rPr>
        <w:t xml:space="preserve"> y el usuario debe ahora pagar por un servicio que antes obtenía gratis. </w:t>
      </w:r>
    </w:p>
    <w:p w14:paraId="7E9EE17D" w14:textId="4C1E72EB" w:rsidR="00E70B26" w:rsidRPr="00585065" w:rsidRDefault="00E70B26" w:rsidP="00E70B26">
      <w:pPr>
        <w:rPr>
          <w:rFonts w:asciiTheme="minorHAnsi" w:hAnsiTheme="minorHAnsi"/>
        </w:rPr>
      </w:pPr>
      <w:r w:rsidRPr="00585065">
        <w:rPr>
          <w:rFonts w:asciiTheme="minorHAnsi" w:hAnsiTheme="minorHAnsi"/>
        </w:rPr>
        <w:t>El principio general del cual parten los lineamientos comerciales es que éstos deben preservar la igualdad y no discriminación con la que se debe prestar dicho servicio de acceso a Internet. Las con</w:t>
      </w:r>
      <w:r w:rsidR="008306C4" w:rsidRPr="00585065">
        <w:rPr>
          <w:rFonts w:asciiTheme="minorHAnsi" w:hAnsiTheme="minorHAnsi"/>
        </w:rPr>
        <w:t>diciones comerciales relevantes</w:t>
      </w:r>
      <w:r w:rsidRPr="00585065">
        <w:rPr>
          <w:rFonts w:asciiTheme="minorHAnsi" w:hAnsiTheme="minorHAnsi"/>
        </w:rPr>
        <w:t xml:space="preserve"> son</w:t>
      </w:r>
      <w:r w:rsidR="008306C4" w:rsidRPr="00585065">
        <w:rPr>
          <w:rFonts w:asciiTheme="minorHAnsi" w:hAnsiTheme="minorHAnsi"/>
        </w:rPr>
        <w:t>,</w:t>
      </w:r>
      <w:r w:rsidRPr="00585065">
        <w:rPr>
          <w:rFonts w:asciiTheme="minorHAnsi" w:hAnsiTheme="minorHAnsi"/>
        </w:rPr>
        <w:t xml:space="preserve"> entre otras, el precio, velocidades contratadas y volúmenes, además de</w:t>
      </w:r>
      <w:r w:rsidR="008306C4" w:rsidRPr="00585065">
        <w:rPr>
          <w:rFonts w:asciiTheme="minorHAnsi" w:hAnsiTheme="minorHAnsi"/>
        </w:rPr>
        <w:t>l resto que establezcan los ISP</w:t>
      </w:r>
      <w:r w:rsidRPr="00585065">
        <w:rPr>
          <w:rFonts w:asciiTheme="minorHAnsi" w:hAnsiTheme="minorHAnsi"/>
        </w:rPr>
        <w:t xml:space="preserve"> en los contratos con los usuarios. </w:t>
      </w:r>
    </w:p>
    <w:p w14:paraId="3E12D5C5" w14:textId="216183CA" w:rsidR="00E70B26" w:rsidRPr="00585065" w:rsidRDefault="008306C4" w:rsidP="00E70B26">
      <w:pPr>
        <w:rPr>
          <w:rFonts w:asciiTheme="minorHAnsi" w:hAnsiTheme="minorHAnsi"/>
        </w:rPr>
      </w:pPr>
      <w:r w:rsidRPr="00585065">
        <w:rPr>
          <w:rFonts w:asciiTheme="minorHAnsi" w:hAnsiTheme="minorHAnsi"/>
        </w:rPr>
        <w:lastRenderedPageBreak/>
        <w:t>En cuanto a p</w:t>
      </w:r>
      <w:r w:rsidR="00E70B26" w:rsidRPr="00585065">
        <w:rPr>
          <w:rFonts w:asciiTheme="minorHAnsi" w:hAnsiTheme="minorHAnsi"/>
        </w:rPr>
        <w:t>recio, las prácticas más importantes en el tema de NR son la regla de “Precio Cero” y la regla de “Rating Cero”</w:t>
      </w:r>
      <w:r w:rsidR="00684259" w:rsidRPr="00585065">
        <w:rPr>
          <w:rStyle w:val="Refdenotaalpie"/>
          <w:rFonts w:asciiTheme="minorHAnsi" w:hAnsiTheme="minorHAnsi"/>
        </w:rPr>
        <w:footnoteReference w:id="5"/>
      </w:r>
      <w:r w:rsidRPr="00585065">
        <w:rPr>
          <w:rFonts w:asciiTheme="minorHAnsi" w:hAnsiTheme="minorHAnsi"/>
        </w:rPr>
        <w:t xml:space="preserve"> (“zero rating”).</w:t>
      </w:r>
    </w:p>
    <w:p w14:paraId="52070E91" w14:textId="38250F43" w:rsidR="00E70B26" w:rsidRPr="00585065" w:rsidRDefault="00E70B26" w:rsidP="00E70B26">
      <w:pPr>
        <w:rPr>
          <w:rFonts w:asciiTheme="minorHAnsi" w:hAnsiTheme="minorHAnsi"/>
        </w:rPr>
      </w:pPr>
      <w:r w:rsidRPr="00585065">
        <w:rPr>
          <w:rFonts w:asciiTheme="minorHAnsi" w:hAnsiTheme="minorHAnsi"/>
        </w:rPr>
        <w:t xml:space="preserve">El primero se refiere al precio que pagaría un </w:t>
      </w:r>
      <w:r w:rsidR="008306C4" w:rsidRPr="00585065">
        <w:rPr>
          <w:rFonts w:asciiTheme="minorHAnsi" w:hAnsiTheme="minorHAnsi"/>
        </w:rPr>
        <w:t xml:space="preserve">CAP </w:t>
      </w:r>
      <w:r w:rsidRPr="00585065">
        <w:rPr>
          <w:rFonts w:asciiTheme="minorHAnsi" w:hAnsiTheme="minorHAnsi"/>
        </w:rPr>
        <w:t xml:space="preserve">a un ISP para que éste transmita las señales a </w:t>
      </w:r>
      <w:r w:rsidR="008306C4" w:rsidRPr="00585065">
        <w:rPr>
          <w:rFonts w:asciiTheme="minorHAnsi" w:hAnsiTheme="minorHAnsi"/>
        </w:rPr>
        <w:t>sus</w:t>
      </w:r>
      <w:r w:rsidRPr="00585065">
        <w:rPr>
          <w:rFonts w:asciiTheme="minorHAnsi" w:hAnsiTheme="minorHAnsi"/>
        </w:rPr>
        <w:t xml:space="preserve"> clientes. “La regla de precio cero impacta en temas de capacidad de las redes e incentivos de inversión de los ISP y en las innovaciones de contenido en el borde del Internet; cualquier modificación a la regla deberá analizarse bajo estos temas. Asimismo, debe prestarse especial atención a los efectos adicionales que puedan derivarse de la presencia de</w:t>
      </w:r>
      <w:r w:rsidR="008306C4" w:rsidRPr="00585065">
        <w:rPr>
          <w:rFonts w:asciiTheme="minorHAnsi" w:hAnsiTheme="minorHAnsi"/>
        </w:rPr>
        <w:t xml:space="preserve"> ISP verticalmente integrados </w:t>
      </w:r>
      <w:r w:rsidRPr="00585065">
        <w:rPr>
          <w:rFonts w:asciiTheme="minorHAnsi" w:hAnsiTheme="minorHAnsi"/>
        </w:rPr>
        <w:t xml:space="preserve">o con poder sustancial de mercado.” </w:t>
      </w:r>
    </w:p>
    <w:p w14:paraId="26F2E25A" w14:textId="518A4DE7" w:rsidR="00E70B26" w:rsidRPr="00585065" w:rsidRDefault="008306C4" w:rsidP="00E70B26">
      <w:pPr>
        <w:rPr>
          <w:rFonts w:asciiTheme="minorHAnsi" w:hAnsiTheme="minorHAnsi"/>
        </w:rPr>
      </w:pPr>
      <w:r w:rsidRPr="00585065">
        <w:rPr>
          <w:rFonts w:asciiTheme="minorHAnsi" w:hAnsiTheme="minorHAnsi"/>
        </w:rPr>
        <w:t>El segundo, Rating Cero,</w:t>
      </w:r>
      <w:r w:rsidR="00E70B26" w:rsidRPr="00585065">
        <w:rPr>
          <w:rFonts w:asciiTheme="minorHAnsi" w:hAnsiTheme="minorHAnsi"/>
        </w:rPr>
        <w:t xml:space="preserve"> “…se trata de una práctica comercial en la que el ISP no cobra a los usuarios finales por el volumen de datos consumido en el uso de aplicaciones específicas, generalmente redes </w:t>
      </w:r>
      <w:r w:rsidRPr="00585065">
        <w:rPr>
          <w:rFonts w:asciiTheme="minorHAnsi" w:hAnsiTheme="minorHAnsi"/>
        </w:rPr>
        <w:t xml:space="preserve">sociales. </w:t>
      </w:r>
      <w:r w:rsidR="00E70B26" w:rsidRPr="00585065">
        <w:rPr>
          <w:rFonts w:asciiTheme="minorHAnsi" w:hAnsiTheme="minorHAnsi"/>
        </w:rPr>
        <w:t>El tema de Rating Cero se convierte en materia de análisis desde la perspectiva de neutralidad de red cuando involuc</w:t>
      </w:r>
      <w:r w:rsidRPr="00585065">
        <w:rPr>
          <w:rFonts w:asciiTheme="minorHAnsi" w:hAnsiTheme="minorHAnsi"/>
        </w:rPr>
        <w:t>ra un acuerdo con los CAP</w:t>
      </w:r>
      <w:r w:rsidR="00E70B26" w:rsidRPr="00585065">
        <w:rPr>
          <w:rFonts w:asciiTheme="minorHAnsi" w:hAnsiTheme="minorHAnsi"/>
        </w:rPr>
        <w:t xml:space="preserve">; caso contrario podría verse meramente como una estrategia de negocio unilateral del ISP (como si se tratara de un mercado de un lado y no uno de dos lados). </w:t>
      </w:r>
    </w:p>
    <w:p w14:paraId="5D972560" w14:textId="7140E7C8" w:rsidR="00E70B26" w:rsidRPr="00585065" w:rsidRDefault="00E70B26" w:rsidP="00E70B26">
      <w:pPr>
        <w:rPr>
          <w:rFonts w:asciiTheme="minorHAnsi" w:hAnsiTheme="minorHAnsi"/>
        </w:rPr>
      </w:pPr>
      <w:r w:rsidRPr="00585065">
        <w:rPr>
          <w:rFonts w:asciiTheme="minorHAnsi" w:hAnsiTheme="minorHAnsi"/>
        </w:rPr>
        <w:t>En cuanto a velocidades y volúmenes, comúnmente se regulan de manera que en las condiciones contractuales se sea lo más específico, de manera cuantitativa, respecto de las velocidades y volúmenes que se contratan</w:t>
      </w:r>
      <w:r w:rsidR="00F605E3" w:rsidRPr="00585065">
        <w:rPr>
          <w:rFonts w:asciiTheme="minorHAnsi" w:hAnsiTheme="minorHAnsi"/>
        </w:rPr>
        <w:t>.</w:t>
      </w:r>
    </w:p>
    <w:p w14:paraId="601EC788" w14:textId="08E3E25C" w:rsidR="00E70B26" w:rsidRPr="003B52A4" w:rsidRDefault="000B0E3D" w:rsidP="003B52A4">
      <w:pPr>
        <w:pStyle w:val="Ttulo3"/>
        <w:spacing w:after="240"/>
        <w:rPr>
          <w:rFonts w:asciiTheme="minorHAnsi" w:hAnsiTheme="minorHAnsi"/>
          <w:b/>
          <w:i/>
          <w:color w:val="auto"/>
          <w:sz w:val="22"/>
        </w:rPr>
      </w:pPr>
      <w:r w:rsidRPr="003B52A4">
        <w:rPr>
          <w:rFonts w:asciiTheme="minorHAnsi" w:hAnsiTheme="minorHAnsi"/>
          <w:b/>
          <w:i/>
          <w:color w:val="auto"/>
          <w:sz w:val="22"/>
        </w:rPr>
        <w:t>Transparencia en el manejo de la información a los usuarios finales</w:t>
      </w:r>
    </w:p>
    <w:p w14:paraId="447E4605" w14:textId="4D73C260" w:rsidR="000B0E3D" w:rsidRPr="00585065" w:rsidRDefault="000B0E3D" w:rsidP="000B0E3D">
      <w:pPr>
        <w:rPr>
          <w:rFonts w:asciiTheme="minorHAnsi" w:hAnsiTheme="minorHAnsi"/>
        </w:rPr>
      </w:pPr>
      <w:r w:rsidRPr="00585065">
        <w:rPr>
          <w:rFonts w:asciiTheme="minorHAnsi" w:hAnsiTheme="minorHAnsi"/>
        </w:rPr>
        <w:t>Las p</w:t>
      </w:r>
      <w:r w:rsidR="00F605E3" w:rsidRPr="00585065">
        <w:rPr>
          <w:rFonts w:asciiTheme="minorHAnsi" w:hAnsiTheme="minorHAnsi"/>
        </w:rPr>
        <w:t>rácticas a observar por los ISP</w:t>
      </w:r>
      <w:r w:rsidRPr="00585065">
        <w:rPr>
          <w:rFonts w:asciiTheme="minorHAnsi" w:hAnsiTheme="minorHAnsi"/>
        </w:rPr>
        <w:t xml:space="preserve"> respecto de la información en contratos</w:t>
      </w:r>
      <w:r w:rsidR="00F605E3" w:rsidRPr="00585065">
        <w:rPr>
          <w:rFonts w:asciiTheme="minorHAnsi" w:hAnsiTheme="minorHAnsi"/>
        </w:rPr>
        <w:t>,</w:t>
      </w:r>
      <w:r w:rsidRPr="00585065">
        <w:rPr>
          <w:rFonts w:asciiTheme="minorHAnsi" w:hAnsiTheme="minorHAnsi"/>
        </w:rPr>
        <w:t xml:space="preserve"> y que se proporciona al usuario final, debe cumplir con los siguientes lineamientos</w:t>
      </w:r>
      <w:r w:rsidR="00684259" w:rsidRPr="00585065">
        <w:rPr>
          <w:rStyle w:val="Refdenotaalpie"/>
          <w:rFonts w:asciiTheme="minorHAnsi" w:hAnsiTheme="minorHAnsi"/>
        </w:rPr>
        <w:footnoteReference w:id="6"/>
      </w:r>
      <w:r w:rsidRPr="00585065">
        <w:rPr>
          <w:rFonts w:asciiTheme="minorHAnsi" w:hAnsiTheme="minorHAnsi"/>
        </w:rPr>
        <w:t>:</w:t>
      </w:r>
    </w:p>
    <w:p w14:paraId="1DC7C38F" w14:textId="28162108" w:rsidR="000B0E3D" w:rsidRPr="00585065" w:rsidRDefault="00F605E3" w:rsidP="000B0E3D">
      <w:pPr>
        <w:pStyle w:val="Prrafodelista"/>
        <w:numPr>
          <w:ilvl w:val="0"/>
          <w:numId w:val="7"/>
        </w:numPr>
        <w:rPr>
          <w:rFonts w:asciiTheme="minorHAnsi" w:hAnsiTheme="minorHAnsi"/>
        </w:rPr>
      </w:pPr>
      <w:r w:rsidRPr="00585065">
        <w:rPr>
          <w:rFonts w:asciiTheme="minorHAnsi" w:hAnsiTheme="minorHAnsi"/>
        </w:rPr>
        <w:t>Deberá ser de identificación</w:t>
      </w:r>
      <w:r w:rsidR="000B0E3D" w:rsidRPr="00585065">
        <w:rPr>
          <w:rFonts w:asciiTheme="minorHAnsi" w:hAnsiTheme="minorHAnsi"/>
        </w:rPr>
        <w:t xml:space="preserve"> fácil</w:t>
      </w:r>
      <w:r w:rsidRPr="00585065">
        <w:rPr>
          <w:rFonts w:asciiTheme="minorHAnsi" w:hAnsiTheme="minorHAnsi"/>
        </w:rPr>
        <w:t>;</w:t>
      </w:r>
    </w:p>
    <w:p w14:paraId="1BB1F89A" w14:textId="03B839AD" w:rsidR="000B0E3D" w:rsidRPr="00585065" w:rsidRDefault="000B0E3D" w:rsidP="000B0E3D">
      <w:pPr>
        <w:pStyle w:val="Prrafodelista"/>
        <w:numPr>
          <w:ilvl w:val="0"/>
          <w:numId w:val="7"/>
        </w:numPr>
        <w:rPr>
          <w:rFonts w:asciiTheme="minorHAnsi" w:hAnsiTheme="minorHAnsi"/>
        </w:rPr>
      </w:pPr>
      <w:r w:rsidRPr="00585065">
        <w:rPr>
          <w:rFonts w:asciiTheme="minorHAnsi" w:hAnsiTheme="minorHAnsi"/>
        </w:rPr>
        <w:t>Deberá ser acertada y actualizada</w:t>
      </w:r>
      <w:r w:rsidR="00F605E3" w:rsidRPr="00585065">
        <w:rPr>
          <w:rFonts w:asciiTheme="minorHAnsi" w:hAnsiTheme="minorHAnsi"/>
        </w:rPr>
        <w:t>;</w:t>
      </w:r>
      <w:r w:rsidRPr="00585065">
        <w:rPr>
          <w:rFonts w:asciiTheme="minorHAnsi" w:hAnsiTheme="minorHAnsi"/>
        </w:rPr>
        <w:t xml:space="preserve"> </w:t>
      </w:r>
    </w:p>
    <w:p w14:paraId="436DED37" w14:textId="68CF1711" w:rsidR="000B0E3D" w:rsidRPr="00585065" w:rsidRDefault="000B0E3D" w:rsidP="000B0E3D">
      <w:pPr>
        <w:pStyle w:val="Prrafodelista"/>
        <w:numPr>
          <w:ilvl w:val="0"/>
          <w:numId w:val="7"/>
        </w:numPr>
        <w:rPr>
          <w:rFonts w:asciiTheme="minorHAnsi" w:hAnsiTheme="minorHAnsi"/>
        </w:rPr>
      </w:pPr>
      <w:r w:rsidRPr="00585065">
        <w:rPr>
          <w:rFonts w:asciiTheme="minorHAnsi" w:hAnsiTheme="minorHAnsi"/>
        </w:rPr>
        <w:t>Deberá ser relevante al usuario final, no ambigua y presentada de una manera que sea de utilidad</w:t>
      </w:r>
      <w:r w:rsidR="00F605E3" w:rsidRPr="00585065">
        <w:rPr>
          <w:rFonts w:asciiTheme="minorHAnsi" w:hAnsiTheme="minorHAnsi"/>
        </w:rPr>
        <w:t>;</w:t>
      </w:r>
    </w:p>
    <w:p w14:paraId="2055E905" w14:textId="79F45C3C" w:rsidR="000B0E3D" w:rsidRPr="00585065" w:rsidRDefault="000B0E3D" w:rsidP="000B0E3D">
      <w:pPr>
        <w:pStyle w:val="Prrafodelista"/>
        <w:numPr>
          <w:ilvl w:val="0"/>
          <w:numId w:val="7"/>
        </w:numPr>
        <w:rPr>
          <w:rFonts w:asciiTheme="minorHAnsi" w:hAnsiTheme="minorHAnsi"/>
        </w:rPr>
      </w:pPr>
      <w:r w:rsidRPr="00585065">
        <w:rPr>
          <w:rFonts w:asciiTheme="minorHAnsi" w:hAnsiTheme="minorHAnsi"/>
        </w:rPr>
        <w:t>No deberá comunicar una impresión equivocada del servicio que se provee</w:t>
      </w:r>
      <w:r w:rsidR="00F605E3" w:rsidRPr="00585065">
        <w:rPr>
          <w:rFonts w:asciiTheme="minorHAnsi" w:hAnsiTheme="minorHAnsi"/>
        </w:rPr>
        <w:t>;</w:t>
      </w:r>
    </w:p>
    <w:p w14:paraId="763AF6BC" w14:textId="550E552F" w:rsidR="000B0E3D" w:rsidRPr="00585065" w:rsidRDefault="000B0E3D" w:rsidP="000B0E3D">
      <w:pPr>
        <w:pStyle w:val="Prrafodelista"/>
        <w:numPr>
          <w:ilvl w:val="0"/>
          <w:numId w:val="7"/>
        </w:numPr>
        <w:rPr>
          <w:rFonts w:asciiTheme="minorHAnsi" w:hAnsiTheme="minorHAnsi"/>
        </w:rPr>
      </w:pPr>
      <w:r w:rsidRPr="00585065">
        <w:rPr>
          <w:rFonts w:asciiTheme="minorHAnsi" w:hAnsiTheme="minorHAnsi"/>
        </w:rPr>
        <w:t>Deberá ser comparable al menos entre diferentes ofertas y preferentemen</w:t>
      </w:r>
      <w:r w:rsidR="00F605E3" w:rsidRPr="00585065">
        <w:rPr>
          <w:rFonts w:asciiTheme="minorHAnsi" w:hAnsiTheme="minorHAnsi"/>
        </w:rPr>
        <w:t>te también entre diferentes ISP</w:t>
      </w:r>
      <w:r w:rsidRPr="00585065">
        <w:rPr>
          <w:rFonts w:asciiTheme="minorHAnsi" w:hAnsiTheme="minorHAnsi"/>
        </w:rPr>
        <w:t>, de tal manera que sean claras las diferencias y las similitudes</w:t>
      </w:r>
      <w:r w:rsidR="00F605E3" w:rsidRPr="00585065">
        <w:rPr>
          <w:rFonts w:asciiTheme="minorHAnsi" w:hAnsiTheme="minorHAnsi"/>
        </w:rPr>
        <w:t>.</w:t>
      </w:r>
    </w:p>
    <w:p w14:paraId="052E245C" w14:textId="14980FEA" w:rsidR="000B0E3D" w:rsidRPr="00585065" w:rsidRDefault="000B0E3D" w:rsidP="000B0E3D">
      <w:pPr>
        <w:rPr>
          <w:rFonts w:asciiTheme="minorHAnsi" w:hAnsiTheme="minorHAnsi"/>
        </w:rPr>
      </w:pPr>
      <w:r w:rsidRPr="00585065">
        <w:rPr>
          <w:rFonts w:asciiTheme="minorHAnsi" w:hAnsiTheme="minorHAnsi"/>
        </w:rPr>
        <w:t>El IFT debe definir el contenido mínimo indispensable para un contrato que incluye servicio de acceso a Internet de manera muy clara, específica y comprensible</w:t>
      </w:r>
      <w:r w:rsidR="00F605E3" w:rsidRPr="00585065">
        <w:rPr>
          <w:rFonts w:asciiTheme="minorHAnsi" w:hAnsiTheme="minorHAnsi"/>
        </w:rPr>
        <w:t xml:space="preserve">. </w:t>
      </w:r>
      <w:r w:rsidRPr="00585065">
        <w:rPr>
          <w:rFonts w:asciiTheme="minorHAnsi" w:hAnsiTheme="minorHAnsi"/>
        </w:rPr>
        <w:t>Esa información deberá ser publicada por el ISP</w:t>
      </w:r>
      <w:r w:rsidR="00F605E3" w:rsidRPr="00585065">
        <w:rPr>
          <w:rFonts w:asciiTheme="minorHAnsi" w:hAnsiTheme="minorHAnsi"/>
        </w:rPr>
        <w:t>.</w:t>
      </w:r>
    </w:p>
    <w:p w14:paraId="05709F91" w14:textId="37790DDD" w:rsidR="000B0E3D" w:rsidRPr="00585065" w:rsidRDefault="000B0E3D" w:rsidP="000B0E3D">
      <w:pPr>
        <w:rPr>
          <w:rFonts w:asciiTheme="minorHAnsi" w:hAnsiTheme="minorHAnsi"/>
        </w:rPr>
      </w:pPr>
      <w:r w:rsidRPr="00585065">
        <w:rPr>
          <w:rFonts w:asciiTheme="minorHAnsi" w:hAnsiTheme="minorHAnsi"/>
        </w:rPr>
        <w:lastRenderedPageBreak/>
        <w:t>Otros contenidos importantes so</w:t>
      </w:r>
      <w:r w:rsidR="00F605E3" w:rsidRPr="00585065">
        <w:rPr>
          <w:rFonts w:asciiTheme="minorHAnsi" w:hAnsiTheme="minorHAnsi"/>
        </w:rPr>
        <w:t>bre transparencia</w:t>
      </w:r>
      <w:r w:rsidRPr="00585065">
        <w:rPr>
          <w:rFonts w:asciiTheme="minorHAnsi" w:hAnsiTheme="minorHAnsi"/>
        </w:rPr>
        <w:t xml:space="preserve"> deben ser los siguientes</w:t>
      </w:r>
      <w:r w:rsidR="00280851" w:rsidRPr="00585065">
        <w:rPr>
          <w:rStyle w:val="Refdenotaalpie"/>
          <w:rFonts w:asciiTheme="minorHAnsi" w:hAnsiTheme="minorHAnsi"/>
        </w:rPr>
        <w:footnoteReference w:id="7"/>
      </w:r>
      <w:r w:rsidRPr="00585065">
        <w:rPr>
          <w:rFonts w:asciiTheme="minorHAnsi" w:hAnsiTheme="minorHAnsi"/>
        </w:rPr>
        <w:t>:</w:t>
      </w:r>
    </w:p>
    <w:p w14:paraId="7EDCD8E3" w14:textId="6F961020" w:rsidR="00E6377B" w:rsidRPr="00585065" w:rsidRDefault="000B0E3D" w:rsidP="000B0E3D">
      <w:pPr>
        <w:pStyle w:val="Prrafodelista"/>
        <w:numPr>
          <w:ilvl w:val="0"/>
          <w:numId w:val="8"/>
        </w:numPr>
        <w:rPr>
          <w:rFonts w:asciiTheme="minorHAnsi" w:hAnsiTheme="minorHAnsi"/>
        </w:rPr>
      </w:pPr>
      <w:r w:rsidRPr="00585065">
        <w:rPr>
          <w:rFonts w:asciiTheme="minorHAnsi" w:hAnsiTheme="minorHAnsi"/>
        </w:rPr>
        <w:t>La manera en la que las medidas de gestión de tráfico pueden afectar la calidad de servicios de acce</w:t>
      </w:r>
      <w:r w:rsidR="00F605E3" w:rsidRPr="00585065">
        <w:rPr>
          <w:rFonts w:asciiTheme="minorHAnsi" w:hAnsiTheme="minorHAnsi"/>
        </w:rPr>
        <w:t xml:space="preserve">so a Internet, la privacidad </w:t>
      </w:r>
      <w:r w:rsidRPr="00585065">
        <w:rPr>
          <w:rFonts w:asciiTheme="minorHAnsi" w:hAnsiTheme="minorHAnsi"/>
        </w:rPr>
        <w:t>del usuario final y la protección de sus datos</w:t>
      </w:r>
      <w:r w:rsidR="00F605E3" w:rsidRPr="00585065">
        <w:rPr>
          <w:rFonts w:asciiTheme="minorHAnsi" w:hAnsiTheme="minorHAnsi"/>
        </w:rPr>
        <w:t>;</w:t>
      </w:r>
    </w:p>
    <w:p w14:paraId="6CC3F685" w14:textId="36DC0D68" w:rsidR="00E6377B" w:rsidRPr="00585065" w:rsidRDefault="000B0E3D" w:rsidP="000B0E3D">
      <w:pPr>
        <w:pStyle w:val="Prrafodelista"/>
        <w:numPr>
          <w:ilvl w:val="0"/>
          <w:numId w:val="8"/>
        </w:numPr>
        <w:rPr>
          <w:rFonts w:asciiTheme="minorHAnsi" w:hAnsiTheme="minorHAnsi"/>
        </w:rPr>
      </w:pPr>
      <w:r w:rsidRPr="00585065">
        <w:rPr>
          <w:rFonts w:asciiTheme="minorHAnsi" w:hAnsiTheme="minorHAnsi"/>
        </w:rPr>
        <w:t>Explicaciones claras y completas sobre la manera en la que los topes a volúmenes de tráfico, velocidad y otros paráme</w:t>
      </w:r>
      <w:r w:rsidR="00F605E3" w:rsidRPr="00585065">
        <w:rPr>
          <w:rFonts w:asciiTheme="minorHAnsi" w:hAnsiTheme="minorHAnsi"/>
        </w:rPr>
        <w:t>tros de la calidad del servicio</w:t>
      </w:r>
      <w:r w:rsidRPr="00585065">
        <w:rPr>
          <w:rFonts w:asciiTheme="minorHAnsi" w:hAnsiTheme="minorHAnsi"/>
        </w:rPr>
        <w:t xml:space="preserve"> impactarán en la práctica al servicio de acceso a Internet y en particular sobre el uso del cont</w:t>
      </w:r>
      <w:r w:rsidR="00F605E3" w:rsidRPr="00585065">
        <w:rPr>
          <w:rFonts w:asciiTheme="minorHAnsi" w:hAnsiTheme="minorHAnsi"/>
        </w:rPr>
        <w:t>enido, aplicaciones y servicios;</w:t>
      </w:r>
    </w:p>
    <w:p w14:paraId="78F999C0" w14:textId="1865DA33" w:rsidR="00E6377B" w:rsidRPr="00585065" w:rsidRDefault="000B0E3D" w:rsidP="00E6377B">
      <w:pPr>
        <w:pStyle w:val="Prrafodelista"/>
        <w:numPr>
          <w:ilvl w:val="0"/>
          <w:numId w:val="8"/>
        </w:numPr>
        <w:rPr>
          <w:rFonts w:asciiTheme="minorHAnsi" w:hAnsiTheme="minorHAnsi"/>
        </w:rPr>
      </w:pPr>
      <w:r w:rsidRPr="00585065">
        <w:rPr>
          <w:rFonts w:asciiTheme="minorHAnsi" w:hAnsiTheme="minorHAnsi"/>
        </w:rPr>
        <w:t>Una expl</w:t>
      </w:r>
      <w:r w:rsidR="00F605E3" w:rsidRPr="00585065">
        <w:rPr>
          <w:rFonts w:asciiTheme="minorHAnsi" w:hAnsiTheme="minorHAnsi"/>
        </w:rPr>
        <w:t>icación clara y completa sobre</w:t>
      </w:r>
      <w:r w:rsidRPr="00585065">
        <w:rPr>
          <w:rFonts w:asciiTheme="minorHAnsi" w:hAnsiTheme="minorHAnsi"/>
        </w:rPr>
        <w:t xml:space="preserve"> las distintas velocidades comprometidas: </w:t>
      </w:r>
      <w:r w:rsidR="0010387A" w:rsidRPr="00585065">
        <w:rPr>
          <w:rFonts w:asciiTheme="minorHAnsi" w:hAnsiTheme="minorHAnsi"/>
        </w:rPr>
        <w:t xml:space="preserve">en el caso de redes fijas, éstas serían la velocidad </w:t>
      </w:r>
      <w:r w:rsidRPr="00585065">
        <w:rPr>
          <w:rFonts w:asciiTheme="minorHAnsi" w:hAnsiTheme="minorHAnsi"/>
        </w:rPr>
        <w:t xml:space="preserve">mínima disponible, </w:t>
      </w:r>
      <w:r w:rsidR="0010387A" w:rsidRPr="00585065">
        <w:rPr>
          <w:rFonts w:asciiTheme="minorHAnsi" w:hAnsiTheme="minorHAnsi"/>
        </w:rPr>
        <w:t xml:space="preserve">la </w:t>
      </w:r>
      <w:r w:rsidRPr="00585065">
        <w:rPr>
          <w:rFonts w:asciiTheme="minorHAnsi" w:hAnsiTheme="minorHAnsi"/>
        </w:rPr>
        <w:t xml:space="preserve">usualmente disponible, </w:t>
      </w:r>
      <w:r w:rsidR="0010387A" w:rsidRPr="00585065">
        <w:rPr>
          <w:rFonts w:asciiTheme="minorHAnsi" w:hAnsiTheme="minorHAnsi"/>
        </w:rPr>
        <w:t xml:space="preserve">la </w:t>
      </w:r>
      <w:r w:rsidRPr="00585065">
        <w:rPr>
          <w:rFonts w:asciiTheme="minorHAnsi" w:hAnsiTheme="minorHAnsi"/>
        </w:rPr>
        <w:t xml:space="preserve">máxima disponible y </w:t>
      </w:r>
      <w:r w:rsidR="0010387A" w:rsidRPr="00585065">
        <w:rPr>
          <w:rFonts w:asciiTheme="minorHAnsi" w:hAnsiTheme="minorHAnsi"/>
        </w:rPr>
        <w:t xml:space="preserve">la </w:t>
      </w:r>
      <w:r w:rsidRPr="00585065">
        <w:rPr>
          <w:rFonts w:asciiTheme="minorHAnsi" w:hAnsiTheme="minorHAnsi"/>
        </w:rPr>
        <w:t>velocidad publicitada de bajada y de subida</w:t>
      </w:r>
      <w:r w:rsidR="0010387A" w:rsidRPr="00585065">
        <w:rPr>
          <w:rFonts w:asciiTheme="minorHAnsi" w:hAnsiTheme="minorHAnsi"/>
        </w:rPr>
        <w:t>; para las</w:t>
      </w:r>
      <w:r w:rsidRPr="00585065">
        <w:rPr>
          <w:rFonts w:asciiTheme="minorHAnsi" w:hAnsiTheme="minorHAnsi"/>
        </w:rPr>
        <w:t xml:space="preserve"> redes móviles</w:t>
      </w:r>
      <w:r w:rsidR="0010387A" w:rsidRPr="00585065">
        <w:rPr>
          <w:rFonts w:asciiTheme="minorHAnsi" w:hAnsiTheme="minorHAnsi"/>
        </w:rPr>
        <w:t>, éstas serían v</w:t>
      </w:r>
      <w:r w:rsidRPr="00585065">
        <w:rPr>
          <w:rFonts w:asciiTheme="minorHAnsi" w:hAnsiTheme="minorHAnsi"/>
        </w:rPr>
        <w:t>elocidad estimada máxima y publicitada</w:t>
      </w:r>
      <w:r w:rsidR="0010387A" w:rsidRPr="00585065">
        <w:rPr>
          <w:rFonts w:asciiTheme="minorHAnsi" w:hAnsiTheme="minorHAnsi"/>
        </w:rPr>
        <w:t>;</w:t>
      </w:r>
    </w:p>
    <w:p w14:paraId="74632CD1" w14:textId="46D29415" w:rsidR="00E6377B" w:rsidRPr="00585065" w:rsidRDefault="000B0E3D" w:rsidP="000B0E3D">
      <w:pPr>
        <w:pStyle w:val="Prrafodelista"/>
        <w:numPr>
          <w:ilvl w:val="0"/>
          <w:numId w:val="8"/>
        </w:numPr>
        <w:rPr>
          <w:rFonts w:asciiTheme="minorHAnsi" w:hAnsiTheme="minorHAnsi"/>
        </w:rPr>
      </w:pPr>
      <w:r w:rsidRPr="00585065">
        <w:rPr>
          <w:rFonts w:asciiTheme="minorHAnsi" w:hAnsiTheme="minorHAnsi"/>
        </w:rPr>
        <w:t>Remedios disponibles a los usuarios finales en caso de discrepancias significativas entre los parámetros entregados y los comprometidos</w:t>
      </w:r>
      <w:r w:rsidR="0010387A" w:rsidRPr="00585065">
        <w:rPr>
          <w:rFonts w:asciiTheme="minorHAnsi" w:hAnsiTheme="minorHAnsi"/>
        </w:rPr>
        <w:t>;</w:t>
      </w:r>
    </w:p>
    <w:p w14:paraId="4A4EB98E" w14:textId="390288A0" w:rsidR="000B0E3D" w:rsidRPr="00585065" w:rsidRDefault="000B0E3D" w:rsidP="000B0E3D">
      <w:pPr>
        <w:pStyle w:val="Prrafodelista"/>
        <w:numPr>
          <w:ilvl w:val="0"/>
          <w:numId w:val="8"/>
        </w:numPr>
        <w:rPr>
          <w:rFonts w:asciiTheme="minorHAnsi" w:hAnsiTheme="minorHAnsi"/>
        </w:rPr>
      </w:pPr>
      <w:r w:rsidRPr="00585065">
        <w:rPr>
          <w:rFonts w:asciiTheme="minorHAnsi" w:hAnsiTheme="minorHAnsi"/>
        </w:rPr>
        <w:t>Procedimient</w:t>
      </w:r>
      <w:r w:rsidR="0010387A" w:rsidRPr="00585065">
        <w:rPr>
          <w:rFonts w:asciiTheme="minorHAnsi" w:hAnsiTheme="minorHAnsi"/>
        </w:rPr>
        <w:t xml:space="preserve">os claros y transparentes </w:t>
      </w:r>
      <w:r w:rsidRPr="00585065">
        <w:rPr>
          <w:rFonts w:asciiTheme="minorHAnsi" w:hAnsiTheme="minorHAnsi"/>
        </w:rPr>
        <w:t>a seguir por lo</w:t>
      </w:r>
      <w:r w:rsidR="0010387A" w:rsidRPr="00585065">
        <w:rPr>
          <w:rFonts w:asciiTheme="minorHAnsi" w:hAnsiTheme="minorHAnsi"/>
        </w:rPr>
        <w:t>s</w:t>
      </w:r>
      <w:r w:rsidRPr="00585065">
        <w:rPr>
          <w:rFonts w:asciiTheme="minorHAnsi" w:hAnsiTheme="minorHAnsi"/>
        </w:rPr>
        <w:t xml:space="preserve"> usuarios en caso de reclamaciones</w:t>
      </w:r>
      <w:r w:rsidR="0010387A" w:rsidRPr="00585065">
        <w:rPr>
          <w:rFonts w:asciiTheme="minorHAnsi" w:hAnsiTheme="minorHAnsi"/>
        </w:rPr>
        <w:t>.</w:t>
      </w:r>
    </w:p>
    <w:p w14:paraId="03C0A9A8" w14:textId="77777777" w:rsidR="00DA2553" w:rsidRPr="00585065" w:rsidRDefault="00DA2553" w:rsidP="005775D9">
      <w:pPr>
        <w:rPr>
          <w:rFonts w:asciiTheme="minorHAnsi" w:hAnsiTheme="minorHAnsi"/>
          <w:b/>
          <w:i/>
        </w:rPr>
      </w:pPr>
    </w:p>
    <w:p w14:paraId="71FBA677" w14:textId="531D9B32" w:rsidR="00C178CA" w:rsidRPr="003B52A4" w:rsidRDefault="004F1E41" w:rsidP="003B52A4">
      <w:pPr>
        <w:pStyle w:val="Ttulo3"/>
        <w:spacing w:after="240"/>
        <w:rPr>
          <w:rFonts w:asciiTheme="minorHAnsi" w:hAnsiTheme="minorHAnsi"/>
          <w:b/>
          <w:i/>
          <w:color w:val="auto"/>
          <w:sz w:val="22"/>
        </w:rPr>
      </w:pPr>
      <w:r w:rsidRPr="003B52A4">
        <w:rPr>
          <w:rFonts w:asciiTheme="minorHAnsi" w:hAnsiTheme="minorHAnsi"/>
          <w:b/>
          <w:i/>
          <w:color w:val="auto"/>
          <w:sz w:val="22"/>
        </w:rPr>
        <w:t xml:space="preserve">Política pública </w:t>
      </w:r>
    </w:p>
    <w:p w14:paraId="6315DC13" w14:textId="691F3835" w:rsidR="004F1E41" w:rsidRPr="00585065" w:rsidRDefault="005775D9" w:rsidP="005775D9">
      <w:pPr>
        <w:rPr>
          <w:rFonts w:asciiTheme="minorHAnsi" w:hAnsiTheme="minorHAnsi"/>
        </w:rPr>
      </w:pPr>
      <w:r w:rsidRPr="00585065">
        <w:rPr>
          <w:rFonts w:asciiTheme="minorHAnsi" w:hAnsiTheme="minorHAnsi"/>
        </w:rPr>
        <w:t>Desde el punto</w:t>
      </w:r>
      <w:r w:rsidR="00C178CA" w:rsidRPr="00585065">
        <w:rPr>
          <w:rFonts w:asciiTheme="minorHAnsi" w:hAnsiTheme="minorHAnsi"/>
        </w:rPr>
        <w:t xml:space="preserve"> de política pública, </w:t>
      </w:r>
      <w:r w:rsidRPr="00585065">
        <w:rPr>
          <w:rFonts w:asciiTheme="minorHAnsi" w:hAnsiTheme="minorHAnsi"/>
        </w:rPr>
        <w:t>el debate de la neutralidad de red gira en torno a</w:t>
      </w:r>
      <w:r w:rsidR="00C178CA" w:rsidRPr="00585065">
        <w:rPr>
          <w:rFonts w:asciiTheme="minorHAnsi" w:hAnsiTheme="minorHAnsi"/>
        </w:rPr>
        <w:t xml:space="preserve"> los elementos ya mencionados:</w:t>
      </w:r>
      <w:r w:rsidR="004A2EB0" w:rsidRPr="00585065">
        <w:rPr>
          <w:rFonts w:asciiTheme="minorHAnsi" w:hAnsiTheme="minorHAnsi"/>
          <w:i/>
        </w:rPr>
        <w:t xml:space="preserve"> </w:t>
      </w:r>
      <w:r w:rsidR="004A2EB0" w:rsidRPr="00585065">
        <w:rPr>
          <w:rFonts w:asciiTheme="minorHAnsi" w:hAnsiTheme="minorHAnsi"/>
          <w:i/>
          <w:u w:val="single"/>
        </w:rPr>
        <w:t>tecnología de redes, los mercados relevantes involucrados, las prácticas económicas y comerciales de los prestadores de servicio de acceso a Internet y la transparencia en el manejo de la información a los usuarios</w:t>
      </w:r>
      <w:r w:rsidR="00E70B26" w:rsidRPr="00585065">
        <w:rPr>
          <w:rFonts w:asciiTheme="minorHAnsi" w:hAnsiTheme="minorHAnsi"/>
          <w:i/>
          <w:u w:val="single"/>
        </w:rPr>
        <w:t>.</w:t>
      </w:r>
      <w:r w:rsidR="004A2EB0" w:rsidRPr="00585065">
        <w:rPr>
          <w:rFonts w:asciiTheme="minorHAnsi" w:hAnsiTheme="minorHAnsi"/>
          <w:i/>
          <w:u w:val="single"/>
        </w:rPr>
        <w:t xml:space="preserve"> Por su parte, la regulaci</w:t>
      </w:r>
      <w:r w:rsidR="0010387A" w:rsidRPr="00585065">
        <w:rPr>
          <w:rFonts w:asciiTheme="minorHAnsi" w:hAnsiTheme="minorHAnsi"/>
          <w:i/>
          <w:u w:val="single"/>
        </w:rPr>
        <w:t>ón específica sobre temas de NR</w:t>
      </w:r>
      <w:r w:rsidR="004A2EB0" w:rsidRPr="00585065">
        <w:rPr>
          <w:rFonts w:asciiTheme="minorHAnsi" w:hAnsiTheme="minorHAnsi"/>
          <w:i/>
          <w:u w:val="single"/>
        </w:rPr>
        <w:t xml:space="preserve"> debe considerar</w:t>
      </w:r>
      <w:r w:rsidR="0010387A" w:rsidRPr="00585065">
        <w:rPr>
          <w:rFonts w:asciiTheme="minorHAnsi" w:hAnsiTheme="minorHAnsi"/>
          <w:i/>
          <w:u w:val="single"/>
        </w:rPr>
        <w:t>,</w:t>
      </w:r>
      <w:r w:rsidR="004A2EB0" w:rsidRPr="00585065">
        <w:rPr>
          <w:rFonts w:asciiTheme="minorHAnsi" w:hAnsiTheme="minorHAnsi"/>
          <w:i/>
          <w:u w:val="single"/>
        </w:rPr>
        <w:t xml:space="preserve"> adicionalmente, temas de supervisión y sanciones</w:t>
      </w:r>
      <w:r w:rsidR="00DA2553" w:rsidRPr="00585065">
        <w:rPr>
          <w:rFonts w:asciiTheme="minorHAnsi" w:hAnsiTheme="minorHAnsi"/>
          <w:i/>
          <w:u w:val="single"/>
        </w:rPr>
        <w:t>.</w:t>
      </w:r>
      <w:r w:rsidR="00E70B26" w:rsidRPr="00585065">
        <w:rPr>
          <w:rFonts w:asciiTheme="minorHAnsi" w:hAnsiTheme="minorHAnsi"/>
          <w:i/>
        </w:rPr>
        <w:t xml:space="preserve"> </w:t>
      </w:r>
      <w:r w:rsidR="00C178CA" w:rsidRPr="00585065">
        <w:rPr>
          <w:rFonts w:asciiTheme="minorHAnsi" w:hAnsiTheme="minorHAnsi"/>
        </w:rPr>
        <w:t xml:space="preserve">Para establecer políticas públicas </w:t>
      </w:r>
      <w:r w:rsidR="0010387A" w:rsidRPr="00585065">
        <w:rPr>
          <w:rFonts w:asciiTheme="minorHAnsi" w:hAnsiTheme="minorHAnsi"/>
        </w:rPr>
        <w:t>adecuadas</w:t>
      </w:r>
      <w:r w:rsidR="004F1E41" w:rsidRPr="00585065">
        <w:rPr>
          <w:rFonts w:asciiTheme="minorHAnsi" w:hAnsiTheme="minorHAnsi"/>
        </w:rPr>
        <w:t xml:space="preserve"> que resulten en una regulación de la NR eficiente para los propósitos que se establezcan, deben </w:t>
      </w:r>
      <w:r w:rsidR="0088247E" w:rsidRPr="00585065">
        <w:rPr>
          <w:rFonts w:asciiTheme="minorHAnsi" w:hAnsiTheme="minorHAnsi"/>
        </w:rPr>
        <w:t>considerarse</w:t>
      </w:r>
      <w:r w:rsidR="004F1E41" w:rsidRPr="00585065">
        <w:rPr>
          <w:rFonts w:asciiTheme="minorHAnsi" w:hAnsiTheme="minorHAnsi"/>
        </w:rPr>
        <w:t xml:space="preserve"> al menos los aspectos mencionados. </w:t>
      </w:r>
    </w:p>
    <w:p w14:paraId="12320CEA" w14:textId="7553DC33" w:rsidR="00AC6F2F" w:rsidRPr="00585065" w:rsidRDefault="004F1E41" w:rsidP="005775D9">
      <w:pPr>
        <w:rPr>
          <w:rFonts w:asciiTheme="minorHAnsi" w:hAnsiTheme="minorHAnsi"/>
        </w:rPr>
      </w:pPr>
      <w:r w:rsidRPr="00585065">
        <w:rPr>
          <w:rFonts w:asciiTheme="minorHAnsi" w:hAnsiTheme="minorHAnsi"/>
        </w:rPr>
        <w:t xml:space="preserve">Una pregunta de partida en cuanto a regulación en NR es la </w:t>
      </w:r>
      <w:r w:rsidR="005775D9" w:rsidRPr="00585065">
        <w:rPr>
          <w:rFonts w:asciiTheme="minorHAnsi" w:hAnsiTheme="minorHAnsi"/>
        </w:rPr>
        <w:t xml:space="preserve">de establecer medidas </w:t>
      </w:r>
      <w:r w:rsidR="005775D9" w:rsidRPr="00585065">
        <w:rPr>
          <w:rFonts w:asciiTheme="minorHAnsi" w:hAnsiTheme="minorHAnsi"/>
          <w:i/>
        </w:rPr>
        <w:t>ex</w:t>
      </w:r>
      <w:r w:rsidR="00AC6F2F" w:rsidRPr="00585065">
        <w:rPr>
          <w:rFonts w:asciiTheme="minorHAnsi" w:hAnsiTheme="minorHAnsi"/>
          <w:i/>
        </w:rPr>
        <w:t xml:space="preserve"> </w:t>
      </w:r>
      <w:r w:rsidR="005775D9" w:rsidRPr="00585065">
        <w:rPr>
          <w:rFonts w:asciiTheme="minorHAnsi" w:hAnsiTheme="minorHAnsi"/>
          <w:i/>
        </w:rPr>
        <w:t>ante</w:t>
      </w:r>
      <w:r w:rsidR="005775D9" w:rsidRPr="00585065">
        <w:rPr>
          <w:rFonts w:asciiTheme="minorHAnsi" w:hAnsiTheme="minorHAnsi"/>
        </w:rPr>
        <w:t xml:space="preserve"> o medidas </w:t>
      </w:r>
      <w:r w:rsidR="005775D9" w:rsidRPr="00585065">
        <w:rPr>
          <w:rFonts w:asciiTheme="minorHAnsi" w:hAnsiTheme="minorHAnsi"/>
          <w:i/>
        </w:rPr>
        <w:t>ex</w:t>
      </w:r>
      <w:r w:rsidR="00AC6F2F" w:rsidRPr="00585065">
        <w:rPr>
          <w:rFonts w:asciiTheme="minorHAnsi" w:hAnsiTheme="minorHAnsi"/>
          <w:i/>
        </w:rPr>
        <w:t xml:space="preserve"> </w:t>
      </w:r>
      <w:r w:rsidR="005775D9" w:rsidRPr="00585065">
        <w:rPr>
          <w:rFonts w:asciiTheme="minorHAnsi" w:hAnsiTheme="minorHAnsi"/>
          <w:i/>
        </w:rPr>
        <w:t>post</w:t>
      </w:r>
      <w:r w:rsidR="0010387A" w:rsidRPr="00585065">
        <w:rPr>
          <w:rFonts w:asciiTheme="minorHAnsi" w:hAnsiTheme="minorHAnsi"/>
        </w:rPr>
        <w:t>; es decir si tratarlo como:</w:t>
      </w:r>
    </w:p>
    <w:p w14:paraId="15CC9B5A" w14:textId="77777777" w:rsidR="00AC6F2F" w:rsidRPr="00585065" w:rsidRDefault="005775D9" w:rsidP="00AC6F2F">
      <w:pPr>
        <w:ind w:firstLine="720"/>
        <w:rPr>
          <w:rFonts w:asciiTheme="minorHAnsi" w:hAnsiTheme="minorHAnsi"/>
        </w:rPr>
      </w:pPr>
      <w:r w:rsidRPr="00585065">
        <w:rPr>
          <w:rFonts w:asciiTheme="minorHAnsi" w:hAnsiTheme="minorHAnsi"/>
        </w:rPr>
        <w:t xml:space="preserve">(A) </w:t>
      </w:r>
      <w:r w:rsidR="00AC6F2F" w:rsidRPr="00585065">
        <w:rPr>
          <w:rFonts w:asciiTheme="minorHAnsi" w:hAnsiTheme="minorHAnsi"/>
        </w:rPr>
        <w:t xml:space="preserve">un </w:t>
      </w:r>
      <w:r w:rsidRPr="00585065">
        <w:rPr>
          <w:rFonts w:asciiTheme="minorHAnsi" w:hAnsiTheme="minorHAnsi"/>
        </w:rPr>
        <w:t xml:space="preserve">problema regulatorio o </w:t>
      </w:r>
    </w:p>
    <w:p w14:paraId="02B45137" w14:textId="657094C0" w:rsidR="00354C49" w:rsidRPr="00585065" w:rsidRDefault="005775D9" w:rsidP="00AC6F2F">
      <w:pPr>
        <w:ind w:firstLine="720"/>
        <w:rPr>
          <w:rFonts w:asciiTheme="minorHAnsi" w:hAnsiTheme="minorHAnsi"/>
        </w:rPr>
      </w:pPr>
      <w:r w:rsidRPr="00585065">
        <w:rPr>
          <w:rFonts w:asciiTheme="minorHAnsi" w:hAnsiTheme="minorHAnsi"/>
        </w:rPr>
        <w:t xml:space="preserve">(B) un problema de competencia. </w:t>
      </w:r>
    </w:p>
    <w:p w14:paraId="7D7AAFCB" w14:textId="38A2CB65" w:rsidR="00CC1612" w:rsidRPr="00585065" w:rsidRDefault="005775D9">
      <w:pPr>
        <w:rPr>
          <w:rFonts w:asciiTheme="minorHAnsi" w:hAnsiTheme="minorHAnsi"/>
        </w:rPr>
      </w:pPr>
      <w:r w:rsidRPr="00585065">
        <w:rPr>
          <w:rFonts w:asciiTheme="minorHAnsi" w:hAnsiTheme="minorHAnsi"/>
        </w:rPr>
        <w:t xml:space="preserve">En todos </w:t>
      </w:r>
      <w:r w:rsidR="00354C49" w:rsidRPr="00585065">
        <w:rPr>
          <w:rFonts w:asciiTheme="minorHAnsi" w:hAnsiTheme="minorHAnsi"/>
        </w:rPr>
        <w:t xml:space="preserve">estos </w:t>
      </w:r>
      <w:r w:rsidRPr="00585065">
        <w:rPr>
          <w:rFonts w:asciiTheme="minorHAnsi" w:hAnsiTheme="minorHAnsi"/>
        </w:rPr>
        <w:t>ámbitos existen promotores y detractores de la neutralidad de red</w:t>
      </w:r>
      <w:r w:rsidR="004F1E41" w:rsidRPr="00585065">
        <w:rPr>
          <w:rFonts w:asciiTheme="minorHAnsi" w:hAnsiTheme="minorHAnsi"/>
        </w:rPr>
        <w:t>.</w:t>
      </w:r>
      <w:r w:rsidR="0088247E" w:rsidRPr="00585065">
        <w:rPr>
          <w:rFonts w:asciiTheme="minorHAnsi" w:hAnsiTheme="minorHAnsi"/>
        </w:rPr>
        <w:t xml:space="preserve"> </w:t>
      </w:r>
      <w:r w:rsidR="008C064E" w:rsidRPr="00585065">
        <w:rPr>
          <w:rFonts w:asciiTheme="minorHAnsi" w:hAnsiTheme="minorHAnsi"/>
        </w:rPr>
        <w:t xml:space="preserve">Por un lado, </w:t>
      </w:r>
      <w:r w:rsidR="00CC1612" w:rsidRPr="00585065">
        <w:rPr>
          <w:rFonts w:asciiTheme="minorHAnsi" w:hAnsiTheme="minorHAnsi"/>
        </w:rPr>
        <w:t xml:space="preserve">varias industrias y tecnologías utilizan </w:t>
      </w:r>
      <w:r w:rsidR="0010387A" w:rsidRPr="00585065">
        <w:rPr>
          <w:rFonts w:asciiTheme="minorHAnsi" w:hAnsiTheme="minorHAnsi"/>
        </w:rPr>
        <w:t>I</w:t>
      </w:r>
      <w:r w:rsidR="00CC1612" w:rsidRPr="00585065">
        <w:rPr>
          <w:rFonts w:asciiTheme="minorHAnsi" w:hAnsiTheme="minorHAnsi"/>
        </w:rPr>
        <w:t>nternet como una tecnología facilitadora para innovar. Desde</w:t>
      </w:r>
      <w:r w:rsidR="00D73BCE" w:rsidRPr="00585065">
        <w:rPr>
          <w:rFonts w:asciiTheme="minorHAnsi" w:hAnsiTheme="minorHAnsi"/>
        </w:rPr>
        <w:t xml:space="preserve"> la</w:t>
      </w:r>
      <w:r w:rsidR="00CC1612" w:rsidRPr="00585065">
        <w:rPr>
          <w:rFonts w:asciiTheme="minorHAnsi" w:hAnsiTheme="minorHAnsi"/>
        </w:rPr>
        <w:t xml:space="preserve"> perspectiva de corto plazo, </w:t>
      </w:r>
      <w:r w:rsidR="00D73BCE" w:rsidRPr="00585065">
        <w:rPr>
          <w:rFonts w:asciiTheme="minorHAnsi" w:hAnsiTheme="minorHAnsi"/>
        </w:rPr>
        <w:t xml:space="preserve">se observa </w:t>
      </w:r>
      <w:r w:rsidR="00CC1612" w:rsidRPr="00585065">
        <w:rPr>
          <w:rFonts w:asciiTheme="minorHAnsi" w:hAnsiTheme="minorHAnsi"/>
        </w:rPr>
        <w:t xml:space="preserve">que el acceso a </w:t>
      </w:r>
      <w:r w:rsidR="0010387A" w:rsidRPr="00585065">
        <w:rPr>
          <w:rFonts w:asciiTheme="minorHAnsi" w:hAnsiTheme="minorHAnsi"/>
        </w:rPr>
        <w:t>I</w:t>
      </w:r>
      <w:r w:rsidR="00CC1612" w:rsidRPr="00585065">
        <w:rPr>
          <w:rFonts w:asciiTheme="minorHAnsi" w:hAnsiTheme="minorHAnsi"/>
        </w:rPr>
        <w:t>nternet está resultando en un desarrollo d</w:t>
      </w:r>
      <w:r w:rsidR="00D73BCE" w:rsidRPr="00585065">
        <w:rPr>
          <w:rFonts w:asciiTheme="minorHAnsi" w:hAnsiTheme="minorHAnsi"/>
        </w:rPr>
        <w:t xml:space="preserve">e negocios cada vez más </w:t>
      </w:r>
      <w:r w:rsidR="0010387A" w:rsidRPr="00585065">
        <w:rPr>
          <w:rFonts w:asciiTheme="minorHAnsi" w:hAnsiTheme="minorHAnsi"/>
        </w:rPr>
        <w:t>acelerado</w:t>
      </w:r>
      <w:r w:rsidR="00D73BCE" w:rsidRPr="00585065">
        <w:rPr>
          <w:rFonts w:asciiTheme="minorHAnsi" w:hAnsiTheme="minorHAnsi"/>
        </w:rPr>
        <w:t xml:space="preserve"> en donde </w:t>
      </w:r>
      <w:r w:rsidR="00CC1612" w:rsidRPr="00585065">
        <w:rPr>
          <w:rFonts w:asciiTheme="minorHAnsi" w:hAnsiTheme="minorHAnsi"/>
        </w:rPr>
        <w:t>la inform</w:t>
      </w:r>
      <w:r w:rsidR="0088247E" w:rsidRPr="00585065">
        <w:rPr>
          <w:rFonts w:asciiTheme="minorHAnsi" w:hAnsiTheme="minorHAnsi"/>
        </w:rPr>
        <w:t xml:space="preserve">ación fluye cada vez </w:t>
      </w:r>
      <w:r w:rsidR="0010387A" w:rsidRPr="00585065">
        <w:rPr>
          <w:rFonts w:asciiTheme="minorHAnsi" w:hAnsiTheme="minorHAnsi"/>
        </w:rPr>
        <w:t>con mayor velocidad</w:t>
      </w:r>
      <w:r w:rsidR="0088247E" w:rsidRPr="00585065">
        <w:rPr>
          <w:rFonts w:asciiTheme="minorHAnsi" w:hAnsiTheme="minorHAnsi"/>
        </w:rPr>
        <w:t xml:space="preserve">. </w:t>
      </w:r>
      <w:r w:rsidR="00CC1612" w:rsidRPr="00585065">
        <w:rPr>
          <w:rFonts w:asciiTheme="minorHAnsi" w:hAnsiTheme="minorHAnsi"/>
        </w:rPr>
        <w:t xml:space="preserve">También existen diversas innovaciones que apenas están al inicio de lo que será una larga trayectoria de crecimiento y consolidación cuyo resultado final no es conocido todavía. </w:t>
      </w:r>
    </w:p>
    <w:p w14:paraId="0D2F2DA9" w14:textId="15F4D38E" w:rsidR="006A2E6B" w:rsidRPr="00585065" w:rsidRDefault="0088247E">
      <w:pPr>
        <w:rPr>
          <w:rFonts w:asciiTheme="minorHAnsi" w:hAnsiTheme="minorHAnsi"/>
        </w:rPr>
      </w:pPr>
      <w:r w:rsidRPr="00585065">
        <w:rPr>
          <w:rFonts w:asciiTheme="minorHAnsi" w:hAnsiTheme="minorHAnsi"/>
        </w:rPr>
        <w:lastRenderedPageBreak/>
        <w:t>E</w:t>
      </w:r>
      <w:r w:rsidR="00AF0290" w:rsidRPr="00585065">
        <w:rPr>
          <w:rFonts w:asciiTheme="minorHAnsi" w:hAnsiTheme="minorHAnsi"/>
        </w:rPr>
        <w:t>n un mercado caracterizado por cambio</w:t>
      </w:r>
      <w:r w:rsidRPr="00585065">
        <w:rPr>
          <w:rFonts w:asciiTheme="minorHAnsi" w:hAnsiTheme="minorHAnsi"/>
        </w:rPr>
        <w:t>s</w:t>
      </w:r>
      <w:r w:rsidR="00AF0290" w:rsidRPr="00585065">
        <w:rPr>
          <w:rFonts w:asciiTheme="minorHAnsi" w:hAnsiTheme="minorHAnsi"/>
        </w:rPr>
        <w:t xml:space="preserve"> constante</w:t>
      </w:r>
      <w:r w:rsidRPr="00585065">
        <w:rPr>
          <w:rFonts w:asciiTheme="minorHAnsi" w:hAnsiTheme="minorHAnsi"/>
        </w:rPr>
        <w:t xml:space="preserve">s, como </w:t>
      </w:r>
      <w:r w:rsidR="00AC6F2F" w:rsidRPr="00585065">
        <w:rPr>
          <w:rFonts w:asciiTheme="minorHAnsi" w:hAnsiTheme="minorHAnsi"/>
        </w:rPr>
        <w:t>los mercados de</w:t>
      </w:r>
      <w:r w:rsidRPr="00585065">
        <w:rPr>
          <w:rFonts w:asciiTheme="minorHAnsi" w:hAnsiTheme="minorHAnsi"/>
        </w:rPr>
        <w:t xml:space="preserve"> las</w:t>
      </w:r>
      <w:r w:rsidR="00AC6F2F" w:rsidRPr="00585065">
        <w:rPr>
          <w:rFonts w:asciiTheme="minorHAnsi" w:hAnsiTheme="minorHAnsi"/>
        </w:rPr>
        <w:t xml:space="preserve"> telecomunicaciones</w:t>
      </w:r>
      <w:r w:rsidRPr="00585065">
        <w:rPr>
          <w:rFonts w:asciiTheme="minorHAnsi" w:hAnsiTheme="minorHAnsi"/>
        </w:rPr>
        <w:t xml:space="preserve">, tiene </w:t>
      </w:r>
      <w:r w:rsidR="00AF0290" w:rsidRPr="00585065">
        <w:rPr>
          <w:rFonts w:asciiTheme="minorHAnsi" w:hAnsiTheme="minorHAnsi"/>
        </w:rPr>
        <w:t xml:space="preserve">importancia considerar—y en algunos casos preferir—el uso de herramientas </w:t>
      </w:r>
      <w:r w:rsidR="00AF0290" w:rsidRPr="00585065">
        <w:rPr>
          <w:rFonts w:asciiTheme="minorHAnsi" w:hAnsiTheme="minorHAnsi"/>
          <w:i/>
        </w:rPr>
        <w:t>ex post</w:t>
      </w:r>
      <w:r w:rsidR="00AF0290" w:rsidRPr="00585065">
        <w:rPr>
          <w:rFonts w:asciiTheme="minorHAnsi" w:hAnsiTheme="minorHAnsi"/>
        </w:rPr>
        <w:t xml:space="preserve"> para controlar el ejercicio indebido de poder de mercado</w:t>
      </w:r>
      <w:r w:rsidR="004C67D8" w:rsidRPr="00585065">
        <w:rPr>
          <w:rFonts w:asciiTheme="minorHAnsi" w:hAnsiTheme="minorHAnsi"/>
        </w:rPr>
        <w:t>, es decir, política de competencia</w:t>
      </w:r>
      <w:r w:rsidR="00AF0290" w:rsidRPr="00585065">
        <w:rPr>
          <w:rFonts w:asciiTheme="minorHAnsi" w:hAnsiTheme="minorHAnsi"/>
        </w:rPr>
        <w:t>.</w:t>
      </w:r>
    </w:p>
    <w:p w14:paraId="4C5B1FA4" w14:textId="77777777" w:rsidR="00585065" w:rsidRPr="00585065" w:rsidRDefault="00585065">
      <w:pPr>
        <w:rPr>
          <w:rFonts w:asciiTheme="minorHAnsi" w:hAnsiTheme="minorHAnsi"/>
        </w:rPr>
      </w:pPr>
    </w:p>
    <w:p w14:paraId="5A88E953" w14:textId="516BF549" w:rsidR="00D73BCE" w:rsidRPr="00585065" w:rsidRDefault="00643587" w:rsidP="003B52A4">
      <w:pPr>
        <w:pStyle w:val="Ttulo2"/>
        <w:rPr>
          <w:rFonts w:asciiTheme="minorHAnsi" w:hAnsiTheme="minorHAnsi"/>
          <w:b w:val="0"/>
          <w:i w:val="0"/>
          <w:color w:val="auto"/>
          <w:sz w:val="22"/>
          <w:szCs w:val="22"/>
        </w:rPr>
      </w:pPr>
      <w:r w:rsidRPr="00585065">
        <w:rPr>
          <w:rFonts w:asciiTheme="minorHAnsi" w:hAnsiTheme="minorHAnsi"/>
          <w:color w:val="auto"/>
          <w:sz w:val="22"/>
          <w:szCs w:val="22"/>
        </w:rPr>
        <w:t>Propuesta</w:t>
      </w:r>
    </w:p>
    <w:p w14:paraId="35ADCD15" w14:textId="77777777" w:rsidR="00D73BCE" w:rsidRPr="00585065" w:rsidRDefault="00D73BCE" w:rsidP="00D73BCE">
      <w:pPr>
        <w:rPr>
          <w:rFonts w:asciiTheme="minorHAnsi" w:hAnsiTheme="minorHAnsi"/>
        </w:rPr>
      </w:pPr>
    </w:p>
    <w:p w14:paraId="69815FC9" w14:textId="23448AB2" w:rsidR="00C66DBA" w:rsidRPr="00585065" w:rsidRDefault="00C66DBA" w:rsidP="00C66DBA">
      <w:pPr>
        <w:rPr>
          <w:rFonts w:asciiTheme="minorHAnsi" w:hAnsiTheme="minorHAnsi"/>
        </w:rPr>
      </w:pPr>
      <w:r w:rsidRPr="00585065">
        <w:rPr>
          <w:rFonts w:asciiTheme="minorHAnsi" w:hAnsiTheme="minorHAnsi"/>
        </w:rPr>
        <w:t xml:space="preserve">Considerando lo anterior, </w:t>
      </w:r>
    </w:p>
    <w:p w14:paraId="6AB636E8" w14:textId="3DFFB90D" w:rsidR="00D73BCE" w:rsidRPr="00585065" w:rsidRDefault="00177CF0" w:rsidP="00281047">
      <w:pPr>
        <w:pStyle w:val="Prrafodelista"/>
        <w:numPr>
          <w:ilvl w:val="0"/>
          <w:numId w:val="1"/>
        </w:numPr>
        <w:ind w:left="714" w:hanging="357"/>
        <w:contextualSpacing w:val="0"/>
        <w:rPr>
          <w:rFonts w:asciiTheme="minorHAnsi" w:hAnsiTheme="minorHAnsi"/>
        </w:rPr>
      </w:pPr>
      <w:r w:rsidRPr="00585065">
        <w:rPr>
          <w:rFonts w:asciiTheme="minorHAnsi" w:hAnsiTheme="minorHAnsi"/>
        </w:rPr>
        <w:t>La regulación sobre NR debe considerar múltiples planos que pueden clasificarse de manera general</w:t>
      </w:r>
      <w:r w:rsidR="00281047" w:rsidRPr="00585065">
        <w:rPr>
          <w:rFonts w:asciiTheme="minorHAnsi" w:hAnsiTheme="minorHAnsi"/>
        </w:rPr>
        <w:t xml:space="preserve"> en los siguientes</w:t>
      </w:r>
      <w:r w:rsidR="00E6377B" w:rsidRPr="00585065">
        <w:rPr>
          <w:rFonts w:asciiTheme="minorHAnsi" w:hAnsiTheme="minorHAnsi"/>
        </w:rPr>
        <w:t>:</w:t>
      </w:r>
      <w:r w:rsidR="00E6377B" w:rsidRPr="00585065">
        <w:rPr>
          <w:rFonts w:asciiTheme="minorHAnsi" w:hAnsiTheme="minorHAnsi"/>
          <w:i/>
        </w:rPr>
        <w:t xml:space="preserve"> </w:t>
      </w:r>
      <w:r w:rsidR="00E6377B" w:rsidRPr="00585065">
        <w:rPr>
          <w:rFonts w:asciiTheme="minorHAnsi" w:hAnsiTheme="minorHAnsi"/>
          <w:i/>
          <w:u w:val="single"/>
        </w:rPr>
        <w:t>tecnología de redes, los mercados relevantes involucrados, las prácticas económicas y comerciales de los prestadores de servicio de acceso a Internet y la transparencia en el manejo de la información a los usuarios. Por su parte, la regulaci</w:t>
      </w:r>
      <w:r w:rsidR="00281047" w:rsidRPr="00585065">
        <w:rPr>
          <w:rFonts w:asciiTheme="minorHAnsi" w:hAnsiTheme="minorHAnsi"/>
          <w:i/>
          <w:u w:val="single"/>
        </w:rPr>
        <w:t>ón específica sobre temas de NR</w:t>
      </w:r>
      <w:r w:rsidR="00E6377B" w:rsidRPr="00585065">
        <w:rPr>
          <w:rFonts w:asciiTheme="minorHAnsi" w:hAnsiTheme="minorHAnsi"/>
          <w:i/>
          <w:u w:val="single"/>
        </w:rPr>
        <w:t xml:space="preserve"> debe considerar</w:t>
      </w:r>
      <w:r w:rsidR="00281047" w:rsidRPr="00585065">
        <w:rPr>
          <w:rFonts w:asciiTheme="minorHAnsi" w:hAnsiTheme="minorHAnsi"/>
          <w:i/>
          <w:u w:val="single"/>
        </w:rPr>
        <w:t>,</w:t>
      </w:r>
      <w:r w:rsidR="00E6377B" w:rsidRPr="00585065">
        <w:rPr>
          <w:rFonts w:asciiTheme="minorHAnsi" w:hAnsiTheme="minorHAnsi"/>
          <w:i/>
          <w:u w:val="single"/>
        </w:rPr>
        <w:t xml:space="preserve"> adicionalmente, temas de supervisión y sanciones</w:t>
      </w:r>
      <w:r w:rsidR="00281047" w:rsidRPr="00585065">
        <w:rPr>
          <w:rFonts w:asciiTheme="minorHAnsi" w:hAnsiTheme="minorHAnsi"/>
          <w:i/>
          <w:u w:val="single"/>
        </w:rPr>
        <w:t>.</w:t>
      </w:r>
    </w:p>
    <w:p w14:paraId="0DA3B01C" w14:textId="440E5444" w:rsidR="00891EA3" w:rsidRPr="00585065" w:rsidRDefault="00891EA3" w:rsidP="00281047">
      <w:pPr>
        <w:pStyle w:val="Prrafodelista"/>
        <w:numPr>
          <w:ilvl w:val="0"/>
          <w:numId w:val="1"/>
        </w:numPr>
        <w:ind w:left="714" w:hanging="357"/>
        <w:contextualSpacing w:val="0"/>
        <w:rPr>
          <w:rFonts w:asciiTheme="minorHAnsi" w:hAnsiTheme="minorHAnsi"/>
        </w:rPr>
      </w:pPr>
      <w:r w:rsidRPr="00585065">
        <w:rPr>
          <w:rFonts w:asciiTheme="minorHAnsi" w:hAnsiTheme="minorHAnsi"/>
        </w:rPr>
        <w:t>Para establecer un marco regulatorio para la NR, se propone que para cada plano se adopten los principios enunciados</w:t>
      </w:r>
      <w:r w:rsidR="00AA57AF" w:rsidRPr="00585065">
        <w:rPr>
          <w:rFonts w:asciiTheme="minorHAnsi" w:hAnsiTheme="minorHAnsi"/>
        </w:rPr>
        <w:t xml:space="preserve"> en esta recomendación</w:t>
      </w:r>
      <w:r w:rsidRPr="00585065">
        <w:rPr>
          <w:rFonts w:asciiTheme="minorHAnsi" w:hAnsiTheme="minorHAnsi"/>
        </w:rPr>
        <w:t xml:space="preserve"> para los mismos</w:t>
      </w:r>
      <w:r w:rsidR="00281047" w:rsidRPr="00585065">
        <w:rPr>
          <w:rFonts w:asciiTheme="minorHAnsi" w:hAnsiTheme="minorHAnsi"/>
        </w:rPr>
        <w:t>.</w:t>
      </w:r>
    </w:p>
    <w:p w14:paraId="5F82ED55" w14:textId="7AFD0DAE" w:rsidR="00B25995" w:rsidRPr="00585065" w:rsidRDefault="00B25995" w:rsidP="00C66DBA">
      <w:pPr>
        <w:pStyle w:val="Prrafodelista"/>
        <w:numPr>
          <w:ilvl w:val="0"/>
          <w:numId w:val="1"/>
        </w:numPr>
        <w:rPr>
          <w:rFonts w:asciiTheme="minorHAnsi" w:hAnsiTheme="minorHAnsi"/>
        </w:rPr>
      </w:pPr>
      <w:r w:rsidRPr="00585065">
        <w:rPr>
          <w:rFonts w:asciiTheme="minorHAnsi" w:hAnsiTheme="minorHAnsi"/>
        </w:rPr>
        <w:t xml:space="preserve">Cualquier regulación </w:t>
      </w:r>
      <w:r w:rsidRPr="00585065">
        <w:rPr>
          <w:rFonts w:asciiTheme="minorHAnsi" w:hAnsiTheme="minorHAnsi"/>
          <w:i/>
        </w:rPr>
        <w:t>ex ante</w:t>
      </w:r>
      <w:r w:rsidRPr="00585065">
        <w:rPr>
          <w:rFonts w:asciiTheme="minorHAnsi" w:hAnsiTheme="minorHAnsi"/>
        </w:rPr>
        <w:t xml:space="preserve"> que se decida imponer como parte de las reglas del juego que se deban adoptar para asegurar la neutralidad </w:t>
      </w:r>
      <w:r w:rsidR="00281047" w:rsidRPr="00585065">
        <w:rPr>
          <w:rFonts w:asciiTheme="minorHAnsi" w:hAnsiTheme="minorHAnsi"/>
        </w:rPr>
        <w:t>de la red</w:t>
      </w:r>
      <w:r w:rsidRPr="00585065">
        <w:rPr>
          <w:rFonts w:asciiTheme="minorHAnsi" w:hAnsiTheme="minorHAnsi"/>
        </w:rPr>
        <w:t xml:space="preserve"> debe también considerar sus posibles efectos sobre la competencia, incluyendo barreras de entrada, expansión y salida, así como carga regulatoria para las partes sujetas a esta regulación. De esta manera, se sugiere que cualquier regulación propuesta se someta a una </w:t>
      </w:r>
      <w:r w:rsidRPr="00585065">
        <w:rPr>
          <w:rFonts w:asciiTheme="minorHAnsi" w:hAnsiTheme="minorHAnsi"/>
          <w:b/>
        </w:rPr>
        <w:t>prueba costo-beneficio</w:t>
      </w:r>
      <w:r w:rsidRPr="00585065">
        <w:rPr>
          <w:rFonts w:asciiTheme="minorHAnsi" w:hAnsiTheme="minorHAnsi"/>
        </w:rPr>
        <w:t xml:space="preserve"> sobre sus efectos en el mercado tanto e</w:t>
      </w:r>
      <w:r w:rsidR="00D73BCE" w:rsidRPr="00585065">
        <w:rPr>
          <w:rFonts w:asciiTheme="minorHAnsi" w:hAnsiTheme="minorHAnsi"/>
        </w:rPr>
        <w:t>n el corto como el largo plazo.</w:t>
      </w:r>
    </w:p>
    <w:p w14:paraId="54E85D53" w14:textId="275246FC" w:rsidR="00840EE4" w:rsidRPr="00585065" w:rsidRDefault="00D3262A" w:rsidP="00D73BCE">
      <w:pPr>
        <w:ind w:left="720"/>
        <w:rPr>
          <w:rFonts w:asciiTheme="minorHAnsi" w:hAnsiTheme="minorHAnsi"/>
        </w:rPr>
      </w:pPr>
      <w:r w:rsidRPr="00585065">
        <w:rPr>
          <w:rFonts w:asciiTheme="minorHAnsi" w:hAnsiTheme="minorHAnsi"/>
        </w:rPr>
        <w:t>La razón de esta recomendación es que l</w:t>
      </w:r>
      <w:r w:rsidR="00281047" w:rsidRPr="00585065">
        <w:rPr>
          <w:rFonts w:asciiTheme="minorHAnsi" w:hAnsiTheme="minorHAnsi"/>
        </w:rPr>
        <w:t>a regulación excesiva (sobrer</w:t>
      </w:r>
      <w:r w:rsidR="00840EE4" w:rsidRPr="00585065">
        <w:rPr>
          <w:rFonts w:asciiTheme="minorHAnsi" w:hAnsiTheme="minorHAnsi"/>
        </w:rPr>
        <w:t>regulación</w:t>
      </w:r>
      <w:r w:rsidR="00281047" w:rsidRPr="00585065">
        <w:rPr>
          <w:rFonts w:asciiTheme="minorHAnsi" w:hAnsiTheme="minorHAnsi"/>
        </w:rPr>
        <w:t>)</w:t>
      </w:r>
      <w:r w:rsidR="00840EE4" w:rsidRPr="00585065">
        <w:rPr>
          <w:rFonts w:asciiTheme="minorHAnsi" w:hAnsiTheme="minorHAnsi"/>
        </w:rPr>
        <w:t xml:space="preserve"> puede tener efectos no deseados en el proceso de competencia y de libre concurrencia</w:t>
      </w:r>
      <w:r w:rsidR="00BB3697" w:rsidRPr="00585065">
        <w:rPr>
          <w:rFonts w:asciiTheme="minorHAnsi" w:hAnsiTheme="minorHAnsi"/>
        </w:rPr>
        <w:t>, particularmente en un sector dinámico</w:t>
      </w:r>
      <w:r w:rsidR="00840EE4" w:rsidRPr="00585065">
        <w:rPr>
          <w:rFonts w:asciiTheme="minorHAnsi" w:hAnsiTheme="minorHAnsi"/>
        </w:rPr>
        <w:t xml:space="preserve">. Así, las medidas </w:t>
      </w:r>
      <w:r w:rsidR="00C66DBA" w:rsidRPr="00585065">
        <w:rPr>
          <w:rFonts w:asciiTheme="minorHAnsi" w:hAnsiTheme="minorHAnsi"/>
        </w:rPr>
        <w:t xml:space="preserve">o lineamientos </w:t>
      </w:r>
      <w:r w:rsidR="00840EE4" w:rsidRPr="00585065">
        <w:rPr>
          <w:rFonts w:asciiTheme="minorHAnsi" w:hAnsiTheme="minorHAnsi"/>
        </w:rPr>
        <w:t>regulatori</w:t>
      </w:r>
      <w:r w:rsidR="00C66DBA" w:rsidRPr="00585065">
        <w:rPr>
          <w:rFonts w:asciiTheme="minorHAnsi" w:hAnsiTheme="minorHAnsi"/>
        </w:rPr>
        <w:t>o</w:t>
      </w:r>
      <w:r w:rsidR="00840EE4" w:rsidRPr="00585065">
        <w:rPr>
          <w:rFonts w:asciiTheme="minorHAnsi" w:hAnsiTheme="minorHAnsi"/>
        </w:rPr>
        <w:t>s de</w:t>
      </w:r>
      <w:r w:rsidR="00AA57AF" w:rsidRPr="00585065">
        <w:rPr>
          <w:rFonts w:asciiTheme="minorHAnsi" w:hAnsiTheme="minorHAnsi"/>
        </w:rPr>
        <w:t>ben</w:t>
      </w:r>
      <w:r w:rsidR="00840EE4" w:rsidRPr="00585065">
        <w:rPr>
          <w:rFonts w:asciiTheme="minorHAnsi" w:hAnsiTheme="minorHAnsi"/>
        </w:rPr>
        <w:t xml:space="preserve"> garantizar que cumplan su objetivo sin afectar negativamente la dinámica del mercado.</w:t>
      </w:r>
    </w:p>
    <w:p w14:paraId="48619201" w14:textId="310FDC9A" w:rsidR="00D3262A" w:rsidRPr="00585065" w:rsidRDefault="00D3262A" w:rsidP="00D73BCE">
      <w:pPr>
        <w:pStyle w:val="Prrafodelista"/>
        <w:numPr>
          <w:ilvl w:val="0"/>
          <w:numId w:val="1"/>
        </w:numPr>
        <w:contextualSpacing w:val="0"/>
        <w:rPr>
          <w:rFonts w:asciiTheme="minorHAnsi" w:hAnsiTheme="minorHAnsi"/>
        </w:rPr>
      </w:pPr>
      <w:r w:rsidRPr="00585065">
        <w:rPr>
          <w:rFonts w:asciiTheme="minorHAnsi" w:hAnsiTheme="minorHAnsi"/>
        </w:rPr>
        <w:t xml:space="preserve">Las intervenciones regulatorias deben de tener objetivos claros sobre la falla de mercado que se busca resolver o sobre el comportamiento dañino que se busca inhibir. Sólo de esta manera puede posteriormente medirse el alcance de estos objetivos para poder mantener, reducir o </w:t>
      </w:r>
      <w:r w:rsidR="00281047" w:rsidRPr="00585065">
        <w:rPr>
          <w:rFonts w:asciiTheme="minorHAnsi" w:hAnsiTheme="minorHAnsi"/>
        </w:rPr>
        <w:t>eliminar</w:t>
      </w:r>
      <w:r w:rsidRPr="00585065">
        <w:rPr>
          <w:rFonts w:asciiTheme="minorHAnsi" w:hAnsiTheme="minorHAnsi"/>
        </w:rPr>
        <w:t xml:space="preserve"> estas regulaciones. </w:t>
      </w:r>
    </w:p>
    <w:p w14:paraId="5577F4F9" w14:textId="16A42162" w:rsidR="00D3262A" w:rsidRPr="00585065" w:rsidRDefault="00D3262A" w:rsidP="00AA57AF">
      <w:pPr>
        <w:pStyle w:val="Prrafodelista"/>
        <w:numPr>
          <w:ilvl w:val="0"/>
          <w:numId w:val="1"/>
        </w:numPr>
        <w:contextualSpacing w:val="0"/>
        <w:rPr>
          <w:rFonts w:asciiTheme="minorHAnsi" w:hAnsiTheme="minorHAnsi"/>
        </w:rPr>
      </w:pPr>
      <w:r w:rsidRPr="00585065">
        <w:rPr>
          <w:rFonts w:asciiTheme="minorHAnsi" w:hAnsiTheme="minorHAnsi"/>
        </w:rPr>
        <w:t xml:space="preserve">Las regulaciones suelen tener incidencias asimétricas sobre los agentes económicos que participan en los mercados. La asimetría o sesgo que pudiera existir debiera favorecer siempre a los usuarios, en línea con los artículos constitucionales. </w:t>
      </w:r>
    </w:p>
    <w:p w14:paraId="2299DD84" w14:textId="133062F6" w:rsidR="00D3262A" w:rsidRPr="00585065" w:rsidRDefault="00840EE4" w:rsidP="00D73BCE">
      <w:pPr>
        <w:pStyle w:val="Prrafodelista"/>
        <w:numPr>
          <w:ilvl w:val="0"/>
          <w:numId w:val="1"/>
        </w:numPr>
        <w:contextualSpacing w:val="0"/>
        <w:rPr>
          <w:rFonts w:asciiTheme="minorHAnsi" w:hAnsiTheme="minorHAnsi"/>
        </w:rPr>
      </w:pPr>
      <w:r w:rsidRPr="00585065">
        <w:rPr>
          <w:rFonts w:asciiTheme="minorHAnsi" w:hAnsiTheme="minorHAnsi"/>
        </w:rPr>
        <w:t>Debe</w:t>
      </w:r>
      <w:r w:rsidR="00554910" w:rsidRPr="00585065">
        <w:rPr>
          <w:rFonts w:asciiTheme="minorHAnsi" w:hAnsiTheme="minorHAnsi"/>
        </w:rPr>
        <w:t>n</w:t>
      </w:r>
      <w:r w:rsidRPr="00585065">
        <w:rPr>
          <w:rFonts w:asciiTheme="minorHAnsi" w:hAnsiTheme="minorHAnsi"/>
        </w:rPr>
        <w:t xml:space="preserve"> de </w:t>
      </w:r>
      <w:r w:rsidR="00554910" w:rsidRPr="00585065">
        <w:rPr>
          <w:rFonts w:asciiTheme="minorHAnsi" w:hAnsiTheme="minorHAnsi"/>
        </w:rPr>
        <w:t xml:space="preserve">quedar </w:t>
      </w:r>
      <w:r w:rsidRPr="00585065">
        <w:rPr>
          <w:rFonts w:asciiTheme="minorHAnsi" w:hAnsiTheme="minorHAnsi"/>
        </w:rPr>
        <w:t xml:space="preserve">asentados los conceptos clave que </w:t>
      </w:r>
      <w:r w:rsidR="00554910" w:rsidRPr="00585065">
        <w:rPr>
          <w:rFonts w:asciiTheme="minorHAnsi" w:hAnsiTheme="minorHAnsi"/>
        </w:rPr>
        <w:t xml:space="preserve">eviten </w:t>
      </w:r>
      <w:r w:rsidRPr="00585065">
        <w:rPr>
          <w:rFonts w:asciiTheme="minorHAnsi" w:hAnsiTheme="minorHAnsi"/>
        </w:rPr>
        <w:t xml:space="preserve">problemas de interpretación </w:t>
      </w:r>
      <w:r w:rsidR="00554910" w:rsidRPr="00585065">
        <w:rPr>
          <w:rFonts w:asciiTheme="minorHAnsi" w:hAnsiTheme="minorHAnsi"/>
        </w:rPr>
        <w:t xml:space="preserve">en la aplicación de lineamientos de neutralidad de red y de conductas que pudieran configurarse </w:t>
      </w:r>
      <w:r w:rsidR="00554910" w:rsidRPr="00585065">
        <w:rPr>
          <w:rFonts w:asciiTheme="minorHAnsi" w:hAnsiTheme="minorHAnsi"/>
        </w:rPr>
        <w:lastRenderedPageBreak/>
        <w:t>como prácticas monopólicas relativas de acuerdo con la Ley Federal de Competencia Económica (LFCE)</w:t>
      </w:r>
      <w:r w:rsidRPr="00585065">
        <w:rPr>
          <w:rFonts w:asciiTheme="minorHAnsi" w:hAnsiTheme="minorHAnsi"/>
        </w:rPr>
        <w:t>. En es</w:t>
      </w:r>
      <w:r w:rsidR="006866BD" w:rsidRPr="00585065">
        <w:rPr>
          <w:rFonts w:asciiTheme="minorHAnsi" w:hAnsiTheme="minorHAnsi"/>
        </w:rPr>
        <w:t>te sentido, debería</w:t>
      </w:r>
      <w:r w:rsidRPr="00585065">
        <w:rPr>
          <w:rFonts w:asciiTheme="minorHAnsi" w:hAnsiTheme="minorHAnsi"/>
        </w:rPr>
        <w:t xml:space="preserve"> </w:t>
      </w:r>
      <w:r w:rsidR="006866BD" w:rsidRPr="00585065">
        <w:rPr>
          <w:rFonts w:asciiTheme="minorHAnsi" w:hAnsiTheme="minorHAnsi"/>
        </w:rPr>
        <w:t xml:space="preserve">realizarse </w:t>
      </w:r>
      <w:r w:rsidRPr="00585065">
        <w:rPr>
          <w:rFonts w:asciiTheme="minorHAnsi" w:hAnsiTheme="minorHAnsi"/>
        </w:rPr>
        <w:t xml:space="preserve">una consulta con los interesados a fin de que tanto la autoridad como los </w:t>
      </w:r>
      <w:r w:rsidR="00D01764" w:rsidRPr="00585065">
        <w:rPr>
          <w:rFonts w:asciiTheme="minorHAnsi" w:hAnsiTheme="minorHAnsi"/>
        </w:rPr>
        <w:t xml:space="preserve">agentes económicos </w:t>
      </w:r>
      <w:r w:rsidRPr="00585065">
        <w:rPr>
          <w:rFonts w:asciiTheme="minorHAnsi" w:hAnsiTheme="minorHAnsi"/>
        </w:rPr>
        <w:t xml:space="preserve">directamente involucrados lleguen a un consenso sobre ciertas definiciones, conceptos o procesos claves en la neutralidad de red. </w:t>
      </w:r>
    </w:p>
    <w:p w14:paraId="772C85E6" w14:textId="77777777" w:rsidR="00FE07E5" w:rsidRPr="00FE07E5" w:rsidRDefault="00840EE4" w:rsidP="00741C6F">
      <w:pPr>
        <w:pStyle w:val="Prrafodelista"/>
        <w:numPr>
          <w:ilvl w:val="0"/>
          <w:numId w:val="1"/>
        </w:numPr>
        <w:autoSpaceDE w:val="0"/>
        <w:autoSpaceDN w:val="0"/>
        <w:adjustRightInd w:val="0"/>
        <w:contextualSpacing w:val="0"/>
        <w:jc w:val="center"/>
        <w:rPr>
          <w:rFonts w:ascii="Calibri" w:eastAsia="Calibri" w:hAnsi="Calibri" w:cs="Times New Roman"/>
          <w:b/>
          <w:bCs/>
        </w:rPr>
      </w:pPr>
      <w:r w:rsidRPr="00FE07E5">
        <w:rPr>
          <w:rFonts w:asciiTheme="minorHAnsi" w:hAnsiTheme="minorHAnsi"/>
        </w:rPr>
        <w:t xml:space="preserve">Ya que se ha identificado a </w:t>
      </w:r>
      <w:r w:rsidR="00281047" w:rsidRPr="00FE07E5">
        <w:rPr>
          <w:rFonts w:asciiTheme="minorHAnsi" w:hAnsiTheme="minorHAnsi"/>
        </w:rPr>
        <w:t>I</w:t>
      </w:r>
      <w:r w:rsidRPr="00FE07E5">
        <w:rPr>
          <w:rFonts w:asciiTheme="minorHAnsi" w:hAnsiTheme="minorHAnsi"/>
        </w:rPr>
        <w:t>nternet como una plataforma</w:t>
      </w:r>
      <w:r w:rsidR="00AA57AF" w:rsidRPr="00FE07E5">
        <w:rPr>
          <w:rFonts w:asciiTheme="minorHAnsi" w:hAnsiTheme="minorHAnsi"/>
        </w:rPr>
        <w:t xml:space="preserve"> de dos lados</w:t>
      </w:r>
      <w:r w:rsidRPr="00FE07E5">
        <w:rPr>
          <w:rFonts w:asciiTheme="minorHAnsi" w:hAnsiTheme="minorHAnsi"/>
        </w:rPr>
        <w:t xml:space="preserve">, es indispensable que en los lineamientos </w:t>
      </w:r>
      <w:r w:rsidR="00D01764" w:rsidRPr="00FE07E5">
        <w:rPr>
          <w:rFonts w:asciiTheme="minorHAnsi" w:hAnsiTheme="minorHAnsi"/>
        </w:rPr>
        <w:t xml:space="preserve">regulatorios </w:t>
      </w:r>
      <w:r w:rsidRPr="00FE07E5">
        <w:rPr>
          <w:rFonts w:asciiTheme="minorHAnsi" w:hAnsiTheme="minorHAnsi"/>
        </w:rPr>
        <w:t xml:space="preserve">se reconozcan a todos los participantes </w:t>
      </w:r>
      <w:r w:rsidR="00D01764" w:rsidRPr="00FE07E5">
        <w:rPr>
          <w:rFonts w:asciiTheme="minorHAnsi" w:hAnsiTheme="minorHAnsi"/>
        </w:rPr>
        <w:t xml:space="preserve">y </w:t>
      </w:r>
      <w:r w:rsidRPr="00FE07E5">
        <w:rPr>
          <w:rFonts w:asciiTheme="minorHAnsi" w:hAnsiTheme="minorHAnsi"/>
        </w:rPr>
        <w:t xml:space="preserve">que se </w:t>
      </w:r>
      <w:r w:rsidR="00D3262A" w:rsidRPr="00FE07E5">
        <w:rPr>
          <w:rFonts w:asciiTheme="minorHAnsi" w:hAnsiTheme="minorHAnsi"/>
        </w:rPr>
        <w:t>ofrezcan ejemplos del tipo de conducta que llevaría a una intervención de competencia por parte de la au</w:t>
      </w:r>
      <w:r w:rsidR="00D73BCE" w:rsidRPr="00FE07E5">
        <w:rPr>
          <w:rFonts w:asciiTheme="minorHAnsi" w:hAnsiTheme="minorHAnsi"/>
        </w:rPr>
        <w:t xml:space="preserve">toridad. </w:t>
      </w:r>
    </w:p>
    <w:p w14:paraId="51D44F24" w14:textId="77777777" w:rsidR="00FE07E5" w:rsidRDefault="00FE07E5" w:rsidP="00FE07E5">
      <w:pPr>
        <w:pStyle w:val="Prrafodelista"/>
        <w:autoSpaceDE w:val="0"/>
        <w:autoSpaceDN w:val="0"/>
        <w:adjustRightInd w:val="0"/>
        <w:contextualSpacing w:val="0"/>
        <w:jc w:val="center"/>
        <w:rPr>
          <w:rFonts w:ascii="Calibri" w:eastAsia="Calibri" w:hAnsi="Calibri" w:cs="Times New Roman"/>
          <w:b/>
          <w:bCs/>
        </w:rPr>
      </w:pPr>
    </w:p>
    <w:p w14:paraId="22BDFE2D" w14:textId="2CA9DC03" w:rsidR="00FE07E5" w:rsidRPr="00FE07E5" w:rsidRDefault="00FE07E5" w:rsidP="003B52A4">
      <w:pPr>
        <w:pStyle w:val="Prrafodelista"/>
        <w:autoSpaceDE w:val="0"/>
        <w:autoSpaceDN w:val="0"/>
        <w:adjustRightInd w:val="0"/>
        <w:contextualSpacing w:val="0"/>
        <w:jc w:val="center"/>
        <w:rPr>
          <w:rFonts w:ascii="Calibri" w:eastAsia="Calibri" w:hAnsi="Calibri" w:cs="Times New Roman"/>
          <w:b/>
          <w:bCs/>
        </w:rPr>
      </w:pPr>
      <w:r w:rsidRPr="00FE07E5">
        <w:rPr>
          <w:rFonts w:ascii="Calibri" w:eastAsia="Calibri" w:hAnsi="Calibri" w:cs="Times New Roman"/>
          <w:b/>
          <w:bCs/>
        </w:rPr>
        <w:t>Dr. Ernesto M. Flores-Roux</w:t>
      </w:r>
    </w:p>
    <w:p w14:paraId="6DCCB6EC" w14:textId="77777777" w:rsidR="00FE07E5" w:rsidRPr="00B90CE2" w:rsidRDefault="00FE07E5" w:rsidP="003B52A4">
      <w:pPr>
        <w:autoSpaceDE w:val="0"/>
        <w:autoSpaceDN w:val="0"/>
        <w:adjustRightInd w:val="0"/>
        <w:ind w:left="851"/>
        <w:jc w:val="center"/>
        <w:rPr>
          <w:rFonts w:ascii="Calibri" w:eastAsia="Calibri" w:hAnsi="Calibri" w:cs="Times New Roman"/>
          <w:b/>
          <w:bCs/>
        </w:rPr>
      </w:pPr>
      <w:r w:rsidRPr="00B90CE2">
        <w:rPr>
          <w:rFonts w:ascii="Calibri" w:eastAsia="Calibri" w:hAnsi="Calibri" w:cs="Times New Roman"/>
          <w:b/>
          <w:bCs/>
        </w:rPr>
        <w:t>Presidente</w:t>
      </w:r>
    </w:p>
    <w:p w14:paraId="2BA626F6" w14:textId="39EC49A5" w:rsidR="00FE07E5" w:rsidRPr="00B90CE2" w:rsidRDefault="00FE07E5" w:rsidP="003B52A4">
      <w:pPr>
        <w:autoSpaceDE w:val="0"/>
        <w:autoSpaceDN w:val="0"/>
        <w:adjustRightInd w:val="0"/>
        <w:ind w:left="851"/>
        <w:jc w:val="center"/>
        <w:rPr>
          <w:rFonts w:ascii="Calibri" w:eastAsia="Calibri" w:hAnsi="Calibri" w:cs="Times New Roman"/>
          <w:b/>
          <w:bCs/>
        </w:rPr>
      </w:pPr>
      <w:r w:rsidRPr="00B90CE2">
        <w:rPr>
          <w:rFonts w:ascii="Calibri" w:eastAsia="Calibri" w:hAnsi="Calibri" w:cs="Times New Roman"/>
          <w:b/>
          <w:bCs/>
        </w:rPr>
        <w:t>Lic. Juan José Crispín Borbolla</w:t>
      </w:r>
    </w:p>
    <w:p w14:paraId="20316A02" w14:textId="77777777" w:rsidR="00FE07E5" w:rsidRPr="00B90CE2" w:rsidRDefault="00FE07E5" w:rsidP="003B52A4">
      <w:pPr>
        <w:autoSpaceDE w:val="0"/>
        <w:autoSpaceDN w:val="0"/>
        <w:adjustRightInd w:val="0"/>
        <w:ind w:left="851"/>
        <w:jc w:val="center"/>
        <w:rPr>
          <w:rFonts w:ascii="Calibri" w:eastAsia="Calibri" w:hAnsi="Calibri" w:cs="Times New Roman"/>
          <w:b/>
          <w:bCs/>
        </w:rPr>
      </w:pPr>
      <w:r w:rsidRPr="00B90CE2">
        <w:rPr>
          <w:rFonts w:ascii="Calibri" w:eastAsia="Calibri" w:hAnsi="Calibri" w:cs="Times New Roman"/>
          <w:b/>
          <w:bCs/>
        </w:rPr>
        <w:t>Secretario del Consejo</w:t>
      </w:r>
    </w:p>
    <w:p w14:paraId="40AF8408" w14:textId="77777777" w:rsidR="00FE07E5" w:rsidRDefault="00FE07E5" w:rsidP="00FE07E5">
      <w:pPr>
        <w:rPr>
          <w:rFonts w:asciiTheme="majorHAnsi" w:hAnsiTheme="majorHAnsi"/>
          <w:lang w:val="es-ES_tradnl"/>
        </w:rPr>
      </w:pPr>
    </w:p>
    <w:p w14:paraId="62C2C6ED" w14:textId="092F2474" w:rsidR="00FE07E5" w:rsidRDefault="00FE07E5" w:rsidP="00FE07E5">
      <w:pPr>
        <w:rPr>
          <w:rFonts w:ascii="Calibri" w:hAnsi="Calibri" w:cs="Arial"/>
          <w:sz w:val="18"/>
          <w:szCs w:val="18"/>
          <w:lang w:val="es-ES_tradnl"/>
        </w:rPr>
      </w:pPr>
      <w:r w:rsidRPr="00A5156D">
        <w:rPr>
          <w:rFonts w:ascii="Calibri" w:hAnsi="Calibri" w:cs="Arial"/>
          <w:sz w:val="18"/>
          <w:szCs w:val="18"/>
          <w:lang w:val="es-ES_tradnl"/>
        </w:rPr>
        <w:t xml:space="preserve">La presente Recomendación fue aprobada por el II Consejo Consultivo del Instituto Federal de Telecomunicaciones por </w:t>
      </w:r>
      <w:r>
        <w:rPr>
          <w:rFonts w:ascii="Calibri" w:hAnsi="Calibri" w:cs="Arial"/>
          <w:sz w:val="18"/>
          <w:szCs w:val="18"/>
          <w:lang w:val="es-ES_tradnl"/>
        </w:rPr>
        <w:t>unanimidad de votos de los Consejeros</w:t>
      </w:r>
      <w:r w:rsidRPr="00A5156D">
        <w:rPr>
          <w:rFonts w:ascii="Calibri" w:hAnsi="Calibri" w:cs="Arial"/>
          <w:sz w:val="18"/>
          <w:szCs w:val="18"/>
          <w:lang w:val="es-ES_tradnl"/>
        </w:rPr>
        <w:t xml:space="preserve">: Clara Luz Álvarez González de Castilla, Carlos Arturo Bello Hernández, </w:t>
      </w:r>
      <w:r>
        <w:rPr>
          <w:rFonts w:ascii="Calibri" w:hAnsi="Calibri" w:cs="Arial"/>
          <w:sz w:val="18"/>
          <w:szCs w:val="18"/>
          <w:lang w:val="es-ES_tradnl"/>
        </w:rPr>
        <w:t xml:space="preserve">Enriqueta Cabrera Cuarón, </w:t>
      </w:r>
      <w:r w:rsidRPr="00A5156D">
        <w:rPr>
          <w:rFonts w:ascii="Calibri" w:hAnsi="Calibri" w:cs="Arial"/>
          <w:sz w:val="18"/>
          <w:szCs w:val="18"/>
          <w:lang w:val="es-ES_tradnl"/>
        </w:rPr>
        <w:t>Ernesto M. Flores-Roux, Gerardo Francisco González Abarca, Santiago Gutiérrez Fernández, Erick Huerta Velázquez, Irene Levy Mustri, Elisa V. Mariscal Medina, Luis Miguel Martínez Cervantes</w:t>
      </w:r>
      <w:r>
        <w:rPr>
          <w:rFonts w:ascii="Calibri" w:hAnsi="Calibri" w:cs="Arial"/>
          <w:sz w:val="18"/>
          <w:szCs w:val="18"/>
          <w:lang w:val="es-ES_tradnl"/>
        </w:rPr>
        <w:t xml:space="preserve"> y</w:t>
      </w:r>
      <w:r w:rsidRPr="00A5156D">
        <w:rPr>
          <w:rFonts w:ascii="Calibri" w:hAnsi="Calibri" w:cs="Arial"/>
          <w:sz w:val="18"/>
          <w:szCs w:val="18"/>
          <w:lang w:val="es-ES_tradnl"/>
        </w:rPr>
        <w:t xml:space="preserve"> Carlos Alejandro Merchán Escalante</w:t>
      </w:r>
      <w:r w:rsidRPr="00E015D9">
        <w:rPr>
          <w:rFonts w:ascii="Calibri" w:hAnsi="Calibri" w:cs="Arial"/>
          <w:sz w:val="18"/>
          <w:szCs w:val="18"/>
          <w:lang w:val="es-ES_tradnl"/>
        </w:rPr>
        <w:t>, en</w:t>
      </w:r>
      <w:r>
        <w:rPr>
          <w:rFonts w:ascii="Calibri" w:hAnsi="Calibri" w:cs="Arial"/>
          <w:sz w:val="18"/>
          <w:szCs w:val="18"/>
          <w:lang w:val="es-ES_tradnl"/>
        </w:rPr>
        <w:t xml:space="preserve"> su</w:t>
      </w:r>
      <w:r w:rsidRPr="00E015D9">
        <w:rPr>
          <w:rFonts w:ascii="Calibri" w:hAnsi="Calibri" w:cs="Arial"/>
          <w:sz w:val="18"/>
          <w:szCs w:val="18"/>
          <w:lang w:val="es-ES_tradnl"/>
        </w:rPr>
        <w:t xml:space="preserve"> </w:t>
      </w:r>
      <w:r>
        <w:rPr>
          <w:rFonts w:ascii="Calibri" w:hAnsi="Calibri" w:cs="Arial"/>
          <w:sz w:val="18"/>
          <w:szCs w:val="18"/>
          <w:lang w:val="es-ES_tradnl"/>
        </w:rPr>
        <w:t>III Sesión Ordinaria celebrada el 16 de marzo de 2017, mediante Acuerdo CC/IFT/160317/</w:t>
      </w:r>
      <w:r w:rsidR="00161A48">
        <w:rPr>
          <w:rFonts w:ascii="Calibri" w:hAnsi="Calibri" w:cs="Arial"/>
          <w:sz w:val="18"/>
          <w:szCs w:val="18"/>
          <w:lang w:val="es-ES_tradnl"/>
        </w:rPr>
        <w:t>6.</w:t>
      </w:r>
    </w:p>
    <w:p w14:paraId="7237E164" w14:textId="7F59BD75" w:rsidR="00FE07E5" w:rsidRPr="00585065" w:rsidRDefault="005413BB" w:rsidP="003B52A4">
      <w:pPr>
        <w:rPr>
          <w:rFonts w:asciiTheme="minorHAnsi" w:eastAsiaTheme="majorEastAsia" w:hAnsiTheme="minorHAnsi" w:cstheme="majorBidi"/>
          <w:color w:val="70AD47" w:themeColor="accent6"/>
        </w:rPr>
      </w:pPr>
      <w:r>
        <w:rPr>
          <w:rFonts w:ascii="Calibri" w:hAnsi="Calibri" w:cs="Arial"/>
          <w:sz w:val="18"/>
          <w:szCs w:val="18"/>
          <w:lang w:val="es-ES_tradnl"/>
        </w:rPr>
        <w:t>El Grupo de Trabajo de Neutralidad de Red que desarrolló el proyecto de Recomendación, está integrado por los miembros primarios</w:t>
      </w:r>
      <w:r w:rsidRPr="005413BB">
        <w:rPr>
          <w:rFonts w:ascii="Calibri" w:hAnsi="Calibri" w:cs="Arial"/>
          <w:sz w:val="18"/>
          <w:szCs w:val="18"/>
          <w:lang w:val="es-ES_tradnl"/>
        </w:rPr>
        <w:t xml:space="preserve"> Elisa V. Mariscal Medina, Ernesto </w:t>
      </w:r>
      <w:r>
        <w:rPr>
          <w:rFonts w:ascii="Calibri" w:hAnsi="Calibri" w:cs="Arial"/>
          <w:sz w:val="18"/>
          <w:szCs w:val="18"/>
          <w:lang w:val="es-ES_tradnl"/>
        </w:rPr>
        <w:t xml:space="preserve">M. </w:t>
      </w:r>
      <w:r w:rsidRPr="005413BB">
        <w:rPr>
          <w:rFonts w:ascii="Calibri" w:hAnsi="Calibri" w:cs="Arial"/>
          <w:sz w:val="18"/>
          <w:szCs w:val="18"/>
          <w:lang w:val="es-ES_tradnl"/>
        </w:rPr>
        <w:t xml:space="preserve">Flores-Roux, Santiago Gutiérrez Fernández </w:t>
      </w:r>
      <w:r>
        <w:rPr>
          <w:rFonts w:ascii="Calibri" w:hAnsi="Calibri" w:cs="Arial"/>
          <w:sz w:val="18"/>
          <w:szCs w:val="18"/>
          <w:lang w:val="es-ES_tradnl"/>
        </w:rPr>
        <w:t>y los miembros secundarios</w:t>
      </w:r>
      <w:r w:rsidRPr="005413BB">
        <w:rPr>
          <w:rFonts w:ascii="Calibri" w:hAnsi="Calibri" w:cs="Arial"/>
          <w:sz w:val="18"/>
          <w:szCs w:val="18"/>
          <w:lang w:val="es-ES_tradnl"/>
        </w:rPr>
        <w:t xml:space="preserve"> Clara Luz Álvarez González de Castilla, Carlos Arturo Bello Hernández</w:t>
      </w:r>
      <w:r w:rsidR="00F14896">
        <w:rPr>
          <w:rFonts w:ascii="Calibri" w:hAnsi="Calibri" w:cs="Arial"/>
          <w:sz w:val="18"/>
          <w:szCs w:val="18"/>
          <w:lang w:val="es-ES_tradnl"/>
        </w:rPr>
        <w:t>,</w:t>
      </w:r>
      <w:r w:rsidRPr="005413BB">
        <w:t xml:space="preserve"> </w:t>
      </w:r>
      <w:r w:rsidRPr="005413BB">
        <w:rPr>
          <w:rFonts w:ascii="Calibri" w:hAnsi="Calibri" w:cs="Arial"/>
          <w:sz w:val="18"/>
          <w:szCs w:val="18"/>
          <w:lang w:val="es-ES_tradnl"/>
        </w:rPr>
        <w:t>Luis Miguel Martínez Cervantes</w:t>
      </w:r>
      <w:r>
        <w:rPr>
          <w:rFonts w:ascii="Calibri" w:hAnsi="Calibri" w:cs="Arial"/>
          <w:sz w:val="18"/>
          <w:szCs w:val="18"/>
          <w:lang w:val="es-ES_tradnl"/>
        </w:rPr>
        <w:t xml:space="preserve"> y</w:t>
      </w:r>
      <w:r w:rsidRPr="005413BB">
        <w:rPr>
          <w:rFonts w:ascii="Calibri" w:hAnsi="Calibri" w:cs="Arial"/>
          <w:sz w:val="18"/>
          <w:szCs w:val="18"/>
          <w:lang w:val="es-ES_tradnl"/>
        </w:rPr>
        <w:t xml:space="preserve"> Rodrigo Morales</w:t>
      </w:r>
      <w:r>
        <w:rPr>
          <w:rFonts w:ascii="Calibri" w:hAnsi="Calibri" w:cs="Arial"/>
          <w:sz w:val="18"/>
          <w:szCs w:val="18"/>
          <w:lang w:val="es-ES_tradnl"/>
        </w:rPr>
        <w:t xml:space="preserve"> Elcoro</w:t>
      </w:r>
      <w:r w:rsidR="00FE07E5">
        <w:rPr>
          <w:rFonts w:ascii="Calibri" w:hAnsi="Calibri" w:cs="Arial"/>
          <w:sz w:val="18"/>
          <w:szCs w:val="18"/>
          <w:lang w:val="es-ES_tradnl"/>
        </w:rPr>
        <w:t>.</w:t>
      </w:r>
    </w:p>
    <w:p w14:paraId="781134FE" w14:textId="3C944AC1" w:rsidR="00643587" w:rsidRPr="003B52A4" w:rsidRDefault="00643587" w:rsidP="00FA0FDA">
      <w:pPr>
        <w:pStyle w:val="Ttulo1"/>
        <w:rPr>
          <w:rFonts w:asciiTheme="minorHAnsi" w:hAnsiTheme="minorHAnsi"/>
          <w:b/>
          <w:color w:val="2E74B5" w:themeColor="accent5" w:themeShade="BF"/>
          <w:sz w:val="22"/>
          <w:szCs w:val="22"/>
          <w:lang w:val="en-US"/>
        </w:rPr>
      </w:pPr>
      <w:r w:rsidRPr="003B52A4">
        <w:rPr>
          <w:rFonts w:asciiTheme="minorHAnsi" w:hAnsiTheme="minorHAnsi"/>
          <w:b/>
          <w:color w:val="2E74B5" w:themeColor="accent5" w:themeShade="BF"/>
          <w:sz w:val="22"/>
          <w:szCs w:val="22"/>
          <w:lang w:val="en-US"/>
        </w:rPr>
        <w:t>Fuentes</w:t>
      </w:r>
    </w:p>
    <w:p w14:paraId="772D8851" w14:textId="77777777" w:rsidR="002101DF" w:rsidRPr="00585065" w:rsidRDefault="00DD3CCE" w:rsidP="002101DF">
      <w:pPr>
        <w:pStyle w:val="Bibliography1"/>
        <w:rPr>
          <w:rFonts w:asciiTheme="minorHAnsi" w:hAnsiTheme="minorHAnsi"/>
          <w:lang w:val="en-US"/>
        </w:rPr>
      </w:pPr>
      <w:r w:rsidRPr="00585065">
        <w:rPr>
          <w:rFonts w:asciiTheme="minorHAnsi" w:hAnsiTheme="minorHAnsi"/>
        </w:rPr>
        <w:fldChar w:fldCharType="begin"/>
      </w:r>
      <w:r w:rsidR="00594E17" w:rsidRPr="00585065">
        <w:rPr>
          <w:rFonts w:asciiTheme="minorHAnsi" w:hAnsiTheme="minorHAnsi"/>
          <w:lang w:val="en-US"/>
        </w:rPr>
        <w:instrText xml:space="preserve"> ADDIN ZOTERO_BIBL {"custom":[]} CSL_BIBLIOGRAPHY </w:instrText>
      </w:r>
      <w:r w:rsidRPr="00585065">
        <w:rPr>
          <w:rFonts w:asciiTheme="minorHAnsi" w:hAnsiTheme="minorHAnsi"/>
        </w:rPr>
        <w:fldChar w:fldCharType="separate"/>
      </w:r>
      <w:r w:rsidR="002101DF" w:rsidRPr="00585065">
        <w:rPr>
          <w:rFonts w:asciiTheme="minorHAnsi" w:hAnsiTheme="minorHAnsi"/>
          <w:lang w:val="en-US"/>
        </w:rPr>
        <w:t xml:space="preserve">Armstrong, Mark. 2006. “Competition in Two-Sided Markets.” </w:t>
      </w:r>
      <w:r w:rsidR="002101DF" w:rsidRPr="00585065">
        <w:rPr>
          <w:rFonts w:asciiTheme="minorHAnsi" w:hAnsiTheme="minorHAnsi"/>
          <w:i/>
          <w:iCs/>
          <w:lang w:val="en-US"/>
        </w:rPr>
        <w:t>The RAND Journal of Economics</w:t>
      </w:r>
      <w:r w:rsidR="002101DF" w:rsidRPr="00585065">
        <w:rPr>
          <w:rFonts w:asciiTheme="minorHAnsi" w:hAnsiTheme="minorHAnsi"/>
          <w:lang w:val="en-US"/>
        </w:rPr>
        <w:t xml:space="preserve"> 37 (3): 668–91. doi:10.1111/j.1756-2171.2006.tb00037.x.</w:t>
      </w:r>
    </w:p>
    <w:p w14:paraId="6549A188" w14:textId="6F50D0D3" w:rsidR="00780DB6" w:rsidRPr="00585065" w:rsidRDefault="00780DB6" w:rsidP="002101DF">
      <w:pPr>
        <w:pStyle w:val="Bibliography1"/>
        <w:rPr>
          <w:rFonts w:asciiTheme="minorHAnsi" w:hAnsiTheme="minorHAnsi"/>
          <w:lang w:val="en-US"/>
        </w:rPr>
      </w:pPr>
      <w:r w:rsidRPr="00585065">
        <w:rPr>
          <w:rFonts w:asciiTheme="minorHAnsi" w:hAnsiTheme="minorHAnsi"/>
          <w:lang w:val="en-US"/>
        </w:rPr>
        <w:t>BEREC, “BEREC Guidelines on the Implementation by National Regulators of European Net Neutrality Rules”.</w:t>
      </w:r>
      <w:r w:rsidR="00B16B7F" w:rsidRPr="00585065">
        <w:rPr>
          <w:rFonts w:asciiTheme="minorHAnsi" w:hAnsiTheme="minorHAnsi"/>
          <w:lang w:val="en-US"/>
        </w:rPr>
        <w:t xml:space="preserve"> http://berec.europa.eu/eng/document_register/subject_matter/berec/regulatory_best_practices/guidelines/6160-berec-guidelines-on-the-implementation-by-national-regulators-of-european-net-neutrality-rules.</w:t>
      </w:r>
    </w:p>
    <w:p w14:paraId="4F636416" w14:textId="755881CD" w:rsidR="00221915" w:rsidRPr="00585065" w:rsidRDefault="00221915" w:rsidP="002101DF">
      <w:pPr>
        <w:pStyle w:val="Bibliography1"/>
        <w:rPr>
          <w:rFonts w:asciiTheme="minorHAnsi" w:hAnsiTheme="minorHAnsi"/>
          <w:lang w:val="en-US"/>
        </w:rPr>
      </w:pPr>
      <w:r w:rsidRPr="00585065">
        <w:rPr>
          <w:rFonts w:asciiTheme="minorHAnsi" w:hAnsiTheme="minorHAnsi"/>
          <w:lang w:val="en-US"/>
        </w:rPr>
        <w:t xml:space="preserve">Internet Society, ver https://www.internetsociety.org/policybriefs/networkneutrality </w:t>
      </w:r>
    </w:p>
    <w:p w14:paraId="28D38230"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Cave, M. 2011. “Competition and Consumer Protection Issues in the Net Neutrality Debate, with Special Reference to Europe, Report from Organisation for Economic Co-Operation and Development (OECD).” http://www. oecd. org/dataoecd/0/18/48848979. pdf.</w:t>
      </w:r>
    </w:p>
    <w:p w14:paraId="55364187"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 xml:space="preserve">Evans, David. 2011. “Net Neutrality Regulation and the Evolution of the Internet Economy.” </w:t>
      </w:r>
      <w:r w:rsidRPr="00585065">
        <w:rPr>
          <w:rFonts w:asciiTheme="minorHAnsi" w:hAnsiTheme="minorHAnsi"/>
          <w:i/>
          <w:iCs/>
          <w:lang w:val="en-US"/>
        </w:rPr>
        <w:t>Antitrust Chronicle</w:t>
      </w:r>
      <w:r w:rsidRPr="00585065">
        <w:rPr>
          <w:rFonts w:asciiTheme="minorHAnsi" w:hAnsiTheme="minorHAnsi"/>
          <w:lang w:val="en-US"/>
        </w:rPr>
        <w:t xml:space="preserve"> 8. https://ideas.repec.org/a/cpi/atchrn/8.2.2011i=6059.html.</w:t>
      </w:r>
    </w:p>
    <w:p w14:paraId="1D7CCCEF"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 xml:space="preserve">Evans, David S., and Richard Schmalensee. 2010. “Failure to Launch: Critical Mass in Platform Businesses.” </w:t>
      </w:r>
      <w:r w:rsidRPr="00585065">
        <w:rPr>
          <w:rFonts w:asciiTheme="minorHAnsi" w:hAnsiTheme="minorHAnsi"/>
          <w:i/>
          <w:iCs/>
          <w:lang w:val="en-US"/>
        </w:rPr>
        <w:t>Review of Network Economics</w:t>
      </w:r>
      <w:r w:rsidRPr="00585065">
        <w:rPr>
          <w:rFonts w:asciiTheme="minorHAnsi" w:hAnsiTheme="minorHAnsi"/>
          <w:lang w:val="en-US"/>
        </w:rPr>
        <w:t xml:space="preserve"> 9 (4). doi:10.2202/1446-9022.1256.</w:t>
      </w:r>
    </w:p>
    <w:p w14:paraId="57CEAE16"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lastRenderedPageBreak/>
        <w:t xml:space="preserve">Faulhaber, Gerald. 2012. “‘Solving’ Net Neutrality: Regulation, Antitrust, Or More Competition.” </w:t>
      </w:r>
      <w:r w:rsidRPr="00585065">
        <w:rPr>
          <w:rFonts w:asciiTheme="minorHAnsi" w:hAnsiTheme="minorHAnsi"/>
          <w:i/>
          <w:iCs/>
          <w:lang w:val="en-US"/>
        </w:rPr>
        <w:t>Antitrust Chronicle</w:t>
      </w:r>
      <w:r w:rsidRPr="00585065">
        <w:rPr>
          <w:rFonts w:asciiTheme="minorHAnsi" w:hAnsiTheme="minorHAnsi"/>
          <w:lang w:val="en-US"/>
        </w:rPr>
        <w:t xml:space="preserve"> 3. https://ideas.repec.org/a/cpi/atchrn/3.2.2012i=6755.html.</w:t>
      </w:r>
    </w:p>
    <w:p w14:paraId="2EF963DA"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 xml:space="preserve">Lee, Robin S., and Tim Wu. 2009. “Subsidizing Creativity through Network Design: Zero-Pricing and Net Neutrality.” </w:t>
      </w:r>
      <w:r w:rsidRPr="00585065">
        <w:rPr>
          <w:rFonts w:asciiTheme="minorHAnsi" w:hAnsiTheme="minorHAnsi"/>
          <w:i/>
          <w:iCs/>
          <w:lang w:val="en-US"/>
        </w:rPr>
        <w:t>The Journal of Economic Perspectives</w:t>
      </w:r>
      <w:r w:rsidRPr="00585065">
        <w:rPr>
          <w:rFonts w:asciiTheme="minorHAnsi" w:hAnsiTheme="minorHAnsi"/>
          <w:lang w:val="en-US"/>
        </w:rPr>
        <w:t xml:space="preserve"> 23 (3): 61–76. doi:10.1257/089533009789176780.</w:t>
      </w:r>
    </w:p>
    <w:p w14:paraId="30785E37"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Rochet, Jean-Charles, and Jean Tirole. 2003. “Platform Competition in Two-Sided Markets.” IDEI Working Paper 152. Institut d’Économie Industrielle (IDEI), Toulouse. https://ideas.repec.org/p/ide/wpaper/654.html.</w:t>
      </w:r>
    </w:p>
    <w:p w14:paraId="14C32A6B" w14:textId="77777777" w:rsidR="002101DF" w:rsidRPr="00585065" w:rsidRDefault="002101DF" w:rsidP="002101DF">
      <w:pPr>
        <w:pStyle w:val="Bibliography1"/>
        <w:rPr>
          <w:rFonts w:asciiTheme="minorHAnsi" w:hAnsiTheme="minorHAnsi"/>
          <w:lang w:val="en-US"/>
        </w:rPr>
      </w:pPr>
      <w:r w:rsidRPr="00585065">
        <w:rPr>
          <w:rFonts w:asciiTheme="minorHAnsi" w:hAnsiTheme="minorHAnsi"/>
          <w:lang w:val="en-US"/>
        </w:rPr>
        <w:t xml:space="preserve">———. 2006. “Two-Sided Markets: A Progress Report.” </w:t>
      </w:r>
      <w:r w:rsidRPr="00585065">
        <w:rPr>
          <w:rFonts w:asciiTheme="minorHAnsi" w:hAnsiTheme="minorHAnsi"/>
          <w:i/>
          <w:iCs/>
          <w:lang w:val="en-US"/>
        </w:rPr>
        <w:t>The RAND Journal of Economics</w:t>
      </w:r>
      <w:r w:rsidRPr="00585065">
        <w:rPr>
          <w:rFonts w:asciiTheme="minorHAnsi" w:hAnsiTheme="minorHAnsi"/>
          <w:lang w:val="en-US"/>
        </w:rPr>
        <w:t xml:space="preserve"> 37 (3): 645–67.</w:t>
      </w:r>
    </w:p>
    <w:p w14:paraId="1C2FB6BF" w14:textId="425E462D" w:rsidR="00DD3CCE" w:rsidRPr="00585065" w:rsidRDefault="00DD3CCE" w:rsidP="00DD3CCE">
      <w:pPr>
        <w:rPr>
          <w:rFonts w:asciiTheme="minorHAnsi" w:hAnsiTheme="minorHAnsi"/>
        </w:rPr>
      </w:pPr>
      <w:r w:rsidRPr="00585065">
        <w:rPr>
          <w:rFonts w:asciiTheme="minorHAnsi" w:hAnsiTheme="minorHAnsi"/>
        </w:rPr>
        <w:fldChar w:fldCharType="end"/>
      </w:r>
    </w:p>
    <w:sectPr w:rsidR="00DD3CCE" w:rsidRPr="00585065" w:rsidSect="00585065">
      <w:headerReference w:type="default" r:id="rId8"/>
      <w:footerReference w:type="default" r:id="rId9"/>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1E96" w14:textId="77777777" w:rsidR="00093FC0" w:rsidRDefault="00093FC0" w:rsidP="00AF0290">
      <w:pPr>
        <w:spacing w:after="0" w:line="240" w:lineRule="auto"/>
      </w:pPr>
      <w:r>
        <w:separator/>
      </w:r>
    </w:p>
  </w:endnote>
  <w:endnote w:type="continuationSeparator" w:id="0">
    <w:p w14:paraId="0F26DFC7" w14:textId="77777777" w:rsidR="00093FC0" w:rsidRDefault="00093FC0" w:rsidP="00AF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09349"/>
      <w:docPartObj>
        <w:docPartGallery w:val="Page Numbers (Bottom of Page)"/>
        <w:docPartUnique/>
      </w:docPartObj>
    </w:sdtPr>
    <w:sdtEndPr>
      <w:rPr>
        <w:sz w:val="18"/>
        <w:szCs w:val="18"/>
      </w:rPr>
    </w:sdtEndPr>
    <w:sdtContent>
      <w:p w14:paraId="2DC9BD21" w14:textId="7BBC5A4C" w:rsidR="00585065" w:rsidRPr="00585065" w:rsidRDefault="00585065">
        <w:pPr>
          <w:pStyle w:val="Piedepgina"/>
          <w:jc w:val="right"/>
          <w:rPr>
            <w:sz w:val="18"/>
            <w:szCs w:val="18"/>
          </w:rPr>
        </w:pPr>
        <w:r w:rsidRPr="00585065">
          <w:rPr>
            <w:sz w:val="18"/>
            <w:szCs w:val="18"/>
          </w:rPr>
          <w:fldChar w:fldCharType="begin"/>
        </w:r>
        <w:r w:rsidRPr="00585065">
          <w:rPr>
            <w:sz w:val="18"/>
            <w:szCs w:val="18"/>
          </w:rPr>
          <w:instrText>PAGE   \* MERGEFORMAT</w:instrText>
        </w:r>
        <w:r w:rsidRPr="00585065">
          <w:rPr>
            <w:sz w:val="18"/>
            <w:szCs w:val="18"/>
          </w:rPr>
          <w:fldChar w:fldCharType="separate"/>
        </w:r>
        <w:r w:rsidR="002D31B6">
          <w:rPr>
            <w:noProof/>
            <w:sz w:val="18"/>
            <w:szCs w:val="18"/>
          </w:rPr>
          <w:t>3</w:t>
        </w:r>
        <w:r w:rsidRPr="00585065">
          <w:rPr>
            <w:sz w:val="18"/>
            <w:szCs w:val="18"/>
          </w:rPr>
          <w:fldChar w:fldCharType="end"/>
        </w:r>
      </w:p>
    </w:sdtContent>
  </w:sdt>
  <w:p w14:paraId="129E5C7C" w14:textId="235FD060" w:rsidR="00684259" w:rsidRPr="00896FE6" w:rsidRDefault="00684259">
    <w:pPr>
      <w:pStyle w:val="Piedepgina"/>
      <w:rPr>
        <w:rFonts w:asciiTheme="majorHAnsi" w:hAnsiTheme="maj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5A3C" w14:textId="77777777" w:rsidR="00093FC0" w:rsidRDefault="00093FC0" w:rsidP="00AF0290">
      <w:pPr>
        <w:spacing w:after="0" w:line="240" w:lineRule="auto"/>
      </w:pPr>
      <w:r>
        <w:separator/>
      </w:r>
    </w:p>
  </w:footnote>
  <w:footnote w:type="continuationSeparator" w:id="0">
    <w:p w14:paraId="1DA49E62" w14:textId="77777777" w:rsidR="00093FC0" w:rsidRDefault="00093FC0" w:rsidP="00AF0290">
      <w:pPr>
        <w:spacing w:after="0" w:line="240" w:lineRule="auto"/>
      </w:pPr>
      <w:r>
        <w:continuationSeparator/>
      </w:r>
    </w:p>
  </w:footnote>
  <w:footnote w:id="1">
    <w:p w14:paraId="752F294F" w14:textId="329BC608" w:rsidR="00684259" w:rsidRPr="007100E0" w:rsidRDefault="00684259" w:rsidP="00221915">
      <w:pPr>
        <w:widowControl w:val="0"/>
        <w:autoSpaceDE w:val="0"/>
        <w:autoSpaceDN w:val="0"/>
        <w:adjustRightInd w:val="0"/>
        <w:spacing w:after="60"/>
        <w:rPr>
          <w:rFonts w:asciiTheme="majorHAnsi" w:hAnsiTheme="majorHAnsi" w:cs="Times New Roman"/>
          <w:sz w:val="20"/>
          <w:szCs w:val="20"/>
          <w:lang w:val="en-US"/>
        </w:rPr>
      </w:pPr>
      <w:r w:rsidRPr="00221915">
        <w:rPr>
          <w:rStyle w:val="Refdenotaalpie"/>
          <w:rFonts w:asciiTheme="majorHAnsi" w:hAnsiTheme="majorHAnsi"/>
          <w:sz w:val="20"/>
          <w:szCs w:val="20"/>
        </w:rPr>
        <w:footnoteRef/>
      </w:r>
      <w:r w:rsidRPr="007100E0">
        <w:rPr>
          <w:rFonts w:asciiTheme="majorHAnsi" w:hAnsiTheme="majorHAnsi"/>
          <w:sz w:val="20"/>
          <w:szCs w:val="20"/>
          <w:lang w:val="en-US"/>
        </w:rPr>
        <w:t xml:space="preserve"> BEREC, Body of European Regulators for Electronic Communications: “</w:t>
      </w:r>
      <w:r w:rsidRPr="007100E0">
        <w:rPr>
          <w:rFonts w:asciiTheme="majorHAnsi" w:hAnsiTheme="majorHAnsi" w:cs="Times New Roman"/>
          <w:sz w:val="20"/>
          <w:szCs w:val="20"/>
          <w:lang w:val="en-US"/>
        </w:rPr>
        <w:t>BEREC Guidelines on the Implementation by National Regulators of European Net Neutrality Rules”.</w:t>
      </w:r>
    </w:p>
  </w:footnote>
  <w:footnote w:id="2">
    <w:p w14:paraId="0ED340CD" w14:textId="77777777" w:rsidR="00684259" w:rsidRPr="007100E0" w:rsidRDefault="00684259" w:rsidP="00221915">
      <w:pPr>
        <w:pStyle w:val="Textonotapie"/>
        <w:spacing w:after="60"/>
        <w:rPr>
          <w:sz w:val="20"/>
          <w:szCs w:val="20"/>
          <w:lang w:val="pt-BR"/>
        </w:rPr>
      </w:pPr>
      <w:r w:rsidRPr="00221915">
        <w:rPr>
          <w:rStyle w:val="Refdenotaalpie"/>
          <w:sz w:val="20"/>
          <w:szCs w:val="20"/>
        </w:rPr>
        <w:footnoteRef/>
      </w:r>
      <w:r w:rsidRPr="007100E0">
        <w:rPr>
          <w:sz w:val="20"/>
          <w:szCs w:val="20"/>
          <w:lang w:val="pt-BR"/>
        </w:rPr>
        <w:t xml:space="preserve"> Idem</w:t>
      </w:r>
    </w:p>
  </w:footnote>
  <w:footnote w:id="3">
    <w:p w14:paraId="2CE1F3DC" w14:textId="3B853FEC" w:rsidR="00684259" w:rsidRPr="007100E0" w:rsidRDefault="00684259" w:rsidP="00221915">
      <w:pPr>
        <w:pStyle w:val="Textonotapie"/>
        <w:spacing w:after="60"/>
        <w:rPr>
          <w:sz w:val="20"/>
          <w:szCs w:val="20"/>
          <w:lang w:val="pt-BR"/>
        </w:rPr>
      </w:pPr>
      <w:r w:rsidRPr="00221915">
        <w:rPr>
          <w:rStyle w:val="Refdenotaalpie"/>
          <w:sz w:val="20"/>
          <w:szCs w:val="20"/>
        </w:rPr>
        <w:footnoteRef/>
      </w:r>
      <w:r w:rsidRPr="007100E0">
        <w:rPr>
          <w:sz w:val="20"/>
          <w:szCs w:val="20"/>
          <w:lang w:val="pt-BR"/>
        </w:rPr>
        <w:t xml:space="preserve"> </w:t>
      </w:r>
      <w:r w:rsidRPr="003B52A4">
        <w:rPr>
          <w:sz w:val="20"/>
          <w:szCs w:val="20"/>
          <w:lang w:val="pt-BR"/>
        </w:rPr>
        <w:t>https://www.internetsociety.org/policybriefs/networkneutrality</w:t>
      </w:r>
      <w:r w:rsidRPr="007100E0">
        <w:rPr>
          <w:sz w:val="20"/>
          <w:szCs w:val="20"/>
          <w:lang w:val="pt-BR"/>
        </w:rPr>
        <w:t xml:space="preserve"> </w:t>
      </w:r>
    </w:p>
  </w:footnote>
  <w:footnote w:id="4">
    <w:p w14:paraId="5E244E98" w14:textId="31E7FDE1" w:rsidR="00684259" w:rsidRPr="00DB45A3" w:rsidRDefault="00684259" w:rsidP="00684259">
      <w:pPr>
        <w:widowControl w:val="0"/>
        <w:autoSpaceDE w:val="0"/>
        <w:autoSpaceDN w:val="0"/>
        <w:adjustRightInd w:val="0"/>
        <w:rPr>
          <w:rFonts w:ascii="Times New Roman" w:hAnsi="Times New Roman" w:cs="Times New Roman"/>
          <w:sz w:val="20"/>
          <w:szCs w:val="20"/>
        </w:rPr>
      </w:pPr>
      <w:r>
        <w:rPr>
          <w:rStyle w:val="Refdenotaalpie"/>
        </w:rPr>
        <w:footnoteRef/>
      </w:r>
      <w:r>
        <w:t xml:space="preserve"> </w:t>
      </w:r>
      <w:r w:rsidRPr="00657610">
        <w:rPr>
          <w:sz w:val="20"/>
          <w:szCs w:val="20"/>
          <w:lang w:val="es-ES_tradnl"/>
        </w:rPr>
        <w:t>Los siguientes puntos están tomados de los lineamientos</w:t>
      </w:r>
      <w:r>
        <w:rPr>
          <w:sz w:val="20"/>
          <w:szCs w:val="20"/>
          <w:lang w:val="es-ES_tradnl"/>
        </w:rPr>
        <w:t xml:space="preserve"> del BEREC, en el documento citado en la nota anterior</w:t>
      </w:r>
    </w:p>
    <w:p w14:paraId="4C04F6AD" w14:textId="1EA29469" w:rsidR="00684259" w:rsidRPr="00684259" w:rsidRDefault="00684259">
      <w:pPr>
        <w:pStyle w:val="Textonotapie"/>
        <w:rPr>
          <w:lang w:val="es-ES_tradnl"/>
        </w:rPr>
      </w:pPr>
    </w:p>
  </w:footnote>
  <w:footnote w:id="5">
    <w:p w14:paraId="679E7C75" w14:textId="6C33A089" w:rsidR="00684259" w:rsidRPr="007F3AAD" w:rsidRDefault="00684259" w:rsidP="00684259">
      <w:pPr>
        <w:pStyle w:val="Textonotapie"/>
        <w:rPr>
          <w:sz w:val="20"/>
          <w:szCs w:val="20"/>
          <w:lang w:val="es-ES_tradnl"/>
        </w:rPr>
      </w:pPr>
      <w:r>
        <w:rPr>
          <w:rStyle w:val="Refdenotaalpie"/>
        </w:rPr>
        <w:footnoteRef/>
      </w:r>
      <w:r>
        <w:t xml:space="preserve"> </w:t>
      </w:r>
      <w:r w:rsidRPr="007F3AAD">
        <w:rPr>
          <w:sz w:val="20"/>
          <w:szCs w:val="20"/>
        </w:rPr>
        <w:t>Borrador “Estudio de Ne</w:t>
      </w:r>
      <w:r w:rsidR="00F605E3">
        <w:rPr>
          <w:sz w:val="20"/>
          <w:szCs w:val="20"/>
        </w:rPr>
        <w:t>u</w:t>
      </w:r>
      <w:r w:rsidRPr="007F3AAD">
        <w:rPr>
          <w:sz w:val="20"/>
          <w:szCs w:val="20"/>
        </w:rPr>
        <w:t xml:space="preserve">tralidad de Red”, Unidad de </w:t>
      </w:r>
      <w:r w:rsidR="008306C4">
        <w:rPr>
          <w:sz w:val="20"/>
          <w:szCs w:val="20"/>
        </w:rPr>
        <w:t>Prospectiva Regul</w:t>
      </w:r>
      <w:r w:rsidR="00F605E3">
        <w:rPr>
          <w:sz w:val="20"/>
          <w:szCs w:val="20"/>
        </w:rPr>
        <w:t>a</w:t>
      </w:r>
      <w:r w:rsidR="008306C4">
        <w:rPr>
          <w:sz w:val="20"/>
          <w:szCs w:val="20"/>
        </w:rPr>
        <w:t>toria,</w:t>
      </w:r>
      <w:r w:rsidRPr="007F3AAD">
        <w:rPr>
          <w:sz w:val="20"/>
          <w:szCs w:val="20"/>
        </w:rPr>
        <w:t xml:space="preserve"> IFT</w:t>
      </w:r>
    </w:p>
    <w:p w14:paraId="5FA89985" w14:textId="1361A6C5" w:rsidR="00684259" w:rsidRPr="00684259" w:rsidRDefault="00684259">
      <w:pPr>
        <w:pStyle w:val="Textonotapie"/>
        <w:rPr>
          <w:lang w:val="es-ES_tradnl"/>
        </w:rPr>
      </w:pPr>
    </w:p>
  </w:footnote>
  <w:footnote w:id="6">
    <w:p w14:paraId="55232FBC" w14:textId="4460ED81" w:rsidR="00684259" w:rsidRPr="007100E0" w:rsidRDefault="00280851">
      <w:pPr>
        <w:pStyle w:val="Textonotapie"/>
        <w:rPr>
          <w:lang w:val="en-US"/>
        </w:rPr>
      </w:pPr>
      <w:r>
        <w:rPr>
          <w:rStyle w:val="Refdenotaalpie"/>
        </w:rPr>
        <w:footnoteRef/>
      </w:r>
      <w:r w:rsidRPr="007100E0">
        <w:rPr>
          <w:rFonts w:asciiTheme="majorHAnsi" w:hAnsiTheme="majorHAnsi"/>
          <w:sz w:val="20"/>
          <w:szCs w:val="20"/>
          <w:lang w:val="en-US"/>
        </w:rPr>
        <w:t>BEREC, Body of European Regulators for Electronic Communications: “</w:t>
      </w:r>
      <w:r w:rsidRPr="007100E0">
        <w:rPr>
          <w:rFonts w:asciiTheme="majorHAnsi" w:hAnsiTheme="majorHAnsi" w:cs="Times New Roman"/>
          <w:sz w:val="20"/>
          <w:szCs w:val="20"/>
          <w:lang w:val="en-US"/>
        </w:rPr>
        <w:t>BEREC Guidelines on the Implementation by National Regulators of European Net Neutrality Rules”.</w:t>
      </w:r>
    </w:p>
  </w:footnote>
  <w:footnote w:id="7">
    <w:p w14:paraId="55F2014E" w14:textId="44314835" w:rsidR="00280851" w:rsidRPr="00280851" w:rsidRDefault="00280851">
      <w:pPr>
        <w:pStyle w:val="Textonotapie"/>
        <w:rPr>
          <w:lang w:val="es-ES_tradnl"/>
        </w:rPr>
      </w:pPr>
      <w:r>
        <w:rPr>
          <w:rStyle w:val="Refdenotaalpie"/>
        </w:rPr>
        <w:footnoteRef/>
      </w:r>
      <w:r>
        <w:t xml:space="preserve"> </w:t>
      </w:r>
      <w:r>
        <w:rPr>
          <w:lang w:val="es-ES_tradn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F7CB" w14:textId="2033FF53" w:rsidR="00585065" w:rsidRDefault="003B52A4">
    <w:pPr>
      <w:pStyle w:val="Encabezado"/>
    </w:pPr>
    <w:r w:rsidRPr="00B76C1C">
      <w:rPr>
        <w:rFonts w:ascii="Times New Roman" w:hAnsi="Times New Roman"/>
        <w:noProof/>
        <w:sz w:val="24"/>
        <w:szCs w:val="24"/>
        <w:lang w:val="es-MX" w:eastAsia="es-MX"/>
      </w:rPr>
      <w:drawing>
        <wp:inline distT="0" distB="0" distL="0" distR="0" wp14:anchorId="05D6D099" wp14:editId="1D0D2EF6">
          <wp:extent cx="3775710" cy="957580"/>
          <wp:effectExtent l="0" t="0" r="0" b="0"/>
          <wp:docPr id="7" name="Imagen 7"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A6B"/>
    <w:multiLevelType w:val="hybridMultilevel"/>
    <w:tmpl w:val="79ECB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1819"/>
    <w:multiLevelType w:val="hybridMultilevel"/>
    <w:tmpl w:val="59A2F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98603C"/>
    <w:multiLevelType w:val="hybridMultilevel"/>
    <w:tmpl w:val="6E0E8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F31130"/>
    <w:multiLevelType w:val="hybridMultilevel"/>
    <w:tmpl w:val="1268A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E223CC"/>
    <w:multiLevelType w:val="hybridMultilevel"/>
    <w:tmpl w:val="0D3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935A5"/>
    <w:multiLevelType w:val="hybridMultilevel"/>
    <w:tmpl w:val="7FD800C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BDA3045"/>
    <w:multiLevelType w:val="hybridMultilevel"/>
    <w:tmpl w:val="1C067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75B1A"/>
    <w:multiLevelType w:val="hybridMultilevel"/>
    <w:tmpl w:val="977E5B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74"/>
    <w:rsid w:val="00003235"/>
    <w:rsid w:val="00010D0C"/>
    <w:rsid w:val="00013B29"/>
    <w:rsid w:val="00015248"/>
    <w:rsid w:val="00025838"/>
    <w:rsid w:val="00054721"/>
    <w:rsid w:val="000718C1"/>
    <w:rsid w:val="00093FC0"/>
    <w:rsid w:val="000B0E3D"/>
    <w:rsid w:val="000E607C"/>
    <w:rsid w:val="000E66B1"/>
    <w:rsid w:val="00101A28"/>
    <w:rsid w:val="0010387A"/>
    <w:rsid w:val="00145BE4"/>
    <w:rsid w:val="00161A48"/>
    <w:rsid w:val="00177CF0"/>
    <w:rsid w:val="00183125"/>
    <w:rsid w:val="002047AF"/>
    <w:rsid w:val="002101DF"/>
    <w:rsid w:val="002204FF"/>
    <w:rsid w:val="00221915"/>
    <w:rsid w:val="002310BF"/>
    <w:rsid w:val="002574E1"/>
    <w:rsid w:val="00280851"/>
    <w:rsid w:val="00281047"/>
    <w:rsid w:val="002D31B6"/>
    <w:rsid w:val="002E205D"/>
    <w:rsid w:val="00354C49"/>
    <w:rsid w:val="003B52A4"/>
    <w:rsid w:val="003D69B9"/>
    <w:rsid w:val="00401C56"/>
    <w:rsid w:val="00446972"/>
    <w:rsid w:val="004505DB"/>
    <w:rsid w:val="00485813"/>
    <w:rsid w:val="004A2D98"/>
    <w:rsid w:val="004A2EB0"/>
    <w:rsid w:val="004C67D8"/>
    <w:rsid w:val="004D1833"/>
    <w:rsid w:val="004F1E41"/>
    <w:rsid w:val="005413BB"/>
    <w:rsid w:val="0054744C"/>
    <w:rsid w:val="00554910"/>
    <w:rsid w:val="005775D9"/>
    <w:rsid w:val="00585065"/>
    <w:rsid w:val="0059186C"/>
    <w:rsid w:val="00594E17"/>
    <w:rsid w:val="005A7CEB"/>
    <w:rsid w:val="005D0C20"/>
    <w:rsid w:val="005F586A"/>
    <w:rsid w:val="00622723"/>
    <w:rsid w:val="00643587"/>
    <w:rsid w:val="00661385"/>
    <w:rsid w:val="00684259"/>
    <w:rsid w:val="006866BD"/>
    <w:rsid w:val="006A2E6B"/>
    <w:rsid w:val="006D6C4C"/>
    <w:rsid w:val="007100E0"/>
    <w:rsid w:val="00710D89"/>
    <w:rsid w:val="00736D7B"/>
    <w:rsid w:val="00742066"/>
    <w:rsid w:val="00780DB6"/>
    <w:rsid w:val="007A7DEA"/>
    <w:rsid w:val="007C3A44"/>
    <w:rsid w:val="007E26AE"/>
    <w:rsid w:val="008306C4"/>
    <w:rsid w:val="00831FE8"/>
    <w:rsid w:val="00840EE4"/>
    <w:rsid w:val="00874059"/>
    <w:rsid w:val="0087686B"/>
    <w:rsid w:val="00877746"/>
    <w:rsid w:val="0088247E"/>
    <w:rsid w:val="00882B0E"/>
    <w:rsid w:val="00891EA3"/>
    <w:rsid w:val="00896474"/>
    <w:rsid w:val="00896FE6"/>
    <w:rsid w:val="008A1C73"/>
    <w:rsid w:val="008A42F1"/>
    <w:rsid w:val="008B3822"/>
    <w:rsid w:val="008B6830"/>
    <w:rsid w:val="008C064E"/>
    <w:rsid w:val="00901FA3"/>
    <w:rsid w:val="00923829"/>
    <w:rsid w:val="009402FF"/>
    <w:rsid w:val="0098380F"/>
    <w:rsid w:val="00984338"/>
    <w:rsid w:val="009B1404"/>
    <w:rsid w:val="00A00E9E"/>
    <w:rsid w:val="00A10E2A"/>
    <w:rsid w:val="00A65341"/>
    <w:rsid w:val="00A93173"/>
    <w:rsid w:val="00A9765D"/>
    <w:rsid w:val="00AA4AEF"/>
    <w:rsid w:val="00AA57AF"/>
    <w:rsid w:val="00AC3CD7"/>
    <w:rsid w:val="00AC6F2F"/>
    <w:rsid w:val="00AF0290"/>
    <w:rsid w:val="00B16B7F"/>
    <w:rsid w:val="00B25995"/>
    <w:rsid w:val="00B6717A"/>
    <w:rsid w:val="00B74457"/>
    <w:rsid w:val="00BB1BFD"/>
    <w:rsid w:val="00BB3697"/>
    <w:rsid w:val="00BC5179"/>
    <w:rsid w:val="00C078BC"/>
    <w:rsid w:val="00C178CA"/>
    <w:rsid w:val="00C66DBA"/>
    <w:rsid w:val="00C702E8"/>
    <w:rsid w:val="00C812E3"/>
    <w:rsid w:val="00CA2BF4"/>
    <w:rsid w:val="00CB332F"/>
    <w:rsid w:val="00CC1612"/>
    <w:rsid w:val="00D01764"/>
    <w:rsid w:val="00D3262A"/>
    <w:rsid w:val="00D73BCE"/>
    <w:rsid w:val="00DA2553"/>
    <w:rsid w:val="00DA7543"/>
    <w:rsid w:val="00DB6E45"/>
    <w:rsid w:val="00DC7B1F"/>
    <w:rsid w:val="00DD3CCE"/>
    <w:rsid w:val="00E6377B"/>
    <w:rsid w:val="00E70B26"/>
    <w:rsid w:val="00F14896"/>
    <w:rsid w:val="00F605E3"/>
    <w:rsid w:val="00F63816"/>
    <w:rsid w:val="00FA0FDA"/>
    <w:rsid w:val="00FC4C5B"/>
    <w:rsid w:val="00FE07E5"/>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F3603"/>
  <w14:defaultImageDpi w14:val="32767"/>
  <w15:docId w15:val="{D2ADA45C-4625-422D-B0AD-F1FF6A3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C73"/>
    <w:pPr>
      <w:spacing w:after="160" w:line="276" w:lineRule="auto"/>
      <w:jc w:val="both"/>
    </w:pPr>
    <w:rPr>
      <w:rFonts w:ascii="Calibri Light" w:hAnsi="Calibri Light"/>
      <w:sz w:val="22"/>
      <w:szCs w:val="22"/>
      <w:lang w:val="es-ES"/>
    </w:rPr>
  </w:style>
  <w:style w:type="paragraph" w:styleId="Ttulo1">
    <w:name w:val="heading 1"/>
    <w:basedOn w:val="Normal"/>
    <w:next w:val="Normal"/>
    <w:link w:val="Ttulo1Car"/>
    <w:uiPriority w:val="9"/>
    <w:qFormat/>
    <w:rsid w:val="00FA0FDA"/>
    <w:pPr>
      <w:keepNext/>
      <w:keepLines/>
      <w:spacing w:before="240" w:after="0"/>
      <w:outlineLvl w:val="0"/>
    </w:pPr>
    <w:rPr>
      <w:rFonts w:asciiTheme="majorHAnsi" w:eastAsiaTheme="majorEastAsia" w:hAnsiTheme="majorHAnsi" w:cstheme="majorBidi"/>
      <w:color w:val="70AD47" w:themeColor="accent6"/>
      <w:sz w:val="28"/>
      <w:szCs w:val="32"/>
    </w:rPr>
  </w:style>
  <w:style w:type="paragraph" w:styleId="Ttulo2">
    <w:name w:val="heading 2"/>
    <w:basedOn w:val="Normal"/>
    <w:next w:val="Normal"/>
    <w:link w:val="Ttulo2Car"/>
    <w:uiPriority w:val="9"/>
    <w:unhideWhenUsed/>
    <w:qFormat/>
    <w:rsid w:val="006D6C4C"/>
    <w:pPr>
      <w:keepNext/>
      <w:keepLines/>
      <w:spacing w:before="40" w:after="0"/>
      <w:outlineLvl w:val="1"/>
    </w:pPr>
    <w:rPr>
      <w:rFonts w:asciiTheme="majorHAnsi" w:eastAsiaTheme="majorEastAsia" w:hAnsiTheme="majorHAnsi" w:cstheme="majorBidi"/>
      <w:b/>
      <w:i/>
      <w:color w:val="70AD47" w:themeColor="accent6"/>
      <w:sz w:val="24"/>
      <w:szCs w:val="26"/>
    </w:rPr>
  </w:style>
  <w:style w:type="paragraph" w:styleId="Ttulo3">
    <w:name w:val="heading 3"/>
    <w:basedOn w:val="Normal"/>
    <w:next w:val="Normal"/>
    <w:link w:val="Ttulo3Car"/>
    <w:uiPriority w:val="9"/>
    <w:unhideWhenUsed/>
    <w:qFormat/>
    <w:rsid w:val="003B52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
    <w:name w:val="Footnote"/>
    <w:basedOn w:val="Textonotapie"/>
    <w:autoRedefine/>
    <w:qFormat/>
    <w:rsid w:val="00A9765D"/>
    <w:pPr>
      <w:spacing w:after="60" w:line="276" w:lineRule="auto"/>
    </w:pPr>
    <w:rPr>
      <w:sz w:val="20"/>
      <w:szCs w:val="22"/>
    </w:rPr>
  </w:style>
  <w:style w:type="paragraph" w:styleId="Textonotapie">
    <w:name w:val="footnote text"/>
    <w:basedOn w:val="Normal"/>
    <w:link w:val="TextonotapieCar"/>
    <w:uiPriority w:val="99"/>
    <w:unhideWhenUsed/>
    <w:rsid w:val="00A9765D"/>
    <w:pPr>
      <w:spacing w:after="0" w:line="240" w:lineRule="auto"/>
    </w:pPr>
    <w:rPr>
      <w:szCs w:val="24"/>
    </w:rPr>
  </w:style>
  <w:style w:type="character" w:customStyle="1" w:styleId="TextonotapieCar">
    <w:name w:val="Texto nota pie Car"/>
    <w:basedOn w:val="Fuentedeprrafopredeter"/>
    <w:link w:val="Textonotapie"/>
    <w:uiPriority w:val="99"/>
    <w:rsid w:val="00A9765D"/>
    <w:rPr>
      <w:rFonts w:ascii="Times New Roman" w:hAnsi="Times New Roman" w:cs="Times New Roman"/>
      <w:lang w:val="en-GB"/>
    </w:rPr>
  </w:style>
  <w:style w:type="paragraph" w:styleId="Puesto">
    <w:name w:val="Title"/>
    <w:basedOn w:val="Normal"/>
    <w:next w:val="Normal"/>
    <w:link w:val="PuestoCar"/>
    <w:uiPriority w:val="10"/>
    <w:qFormat/>
    <w:rsid w:val="008A1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A1C73"/>
    <w:rPr>
      <w:rFonts w:asciiTheme="majorHAnsi" w:eastAsiaTheme="majorEastAsia" w:hAnsiTheme="majorHAnsi" w:cstheme="majorBidi"/>
      <w:spacing w:val="-10"/>
      <w:kern w:val="28"/>
      <w:sz w:val="56"/>
      <w:szCs w:val="56"/>
      <w:lang w:val="es-ES"/>
    </w:rPr>
  </w:style>
  <w:style w:type="character" w:customStyle="1" w:styleId="Ttulo2Car">
    <w:name w:val="Título 2 Car"/>
    <w:basedOn w:val="Fuentedeprrafopredeter"/>
    <w:link w:val="Ttulo2"/>
    <w:uiPriority w:val="9"/>
    <w:rsid w:val="006D6C4C"/>
    <w:rPr>
      <w:rFonts w:asciiTheme="majorHAnsi" w:eastAsiaTheme="majorEastAsia" w:hAnsiTheme="majorHAnsi" w:cstheme="majorBidi"/>
      <w:b/>
      <w:i/>
      <w:color w:val="70AD47" w:themeColor="accent6"/>
      <w:szCs w:val="26"/>
      <w:lang w:val="es-ES"/>
    </w:rPr>
  </w:style>
  <w:style w:type="character" w:styleId="nfasisintenso">
    <w:name w:val="Intense Emphasis"/>
    <w:basedOn w:val="Fuentedeprrafopredeter"/>
    <w:uiPriority w:val="21"/>
    <w:qFormat/>
    <w:rsid w:val="008A1C73"/>
    <w:rPr>
      <w:i/>
      <w:iCs/>
      <w:color w:val="BB1700"/>
    </w:rPr>
  </w:style>
  <w:style w:type="character" w:styleId="Referenciaintensa">
    <w:name w:val="Intense Reference"/>
    <w:basedOn w:val="Fuentedeprrafopredeter"/>
    <w:uiPriority w:val="32"/>
    <w:qFormat/>
    <w:rsid w:val="008A1C73"/>
    <w:rPr>
      <w:b/>
      <w:bCs/>
      <w:smallCaps/>
      <w:color w:val="BC1700"/>
      <w:spacing w:val="5"/>
    </w:rPr>
  </w:style>
  <w:style w:type="character" w:customStyle="1" w:styleId="Ttulo1Car">
    <w:name w:val="Título 1 Car"/>
    <w:basedOn w:val="Fuentedeprrafopredeter"/>
    <w:link w:val="Ttulo1"/>
    <w:uiPriority w:val="9"/>
    <w:rsid w:val="00FA0FDA"/>
    <w:rPr>
      <w:rFonts w:asciiTheme="majorHAnsi" w:eastAsiaTheme="majorEastAsia" w:hAnsiTheme="majorHAnsi" w:cstheme="majorBidi"/>
      <w:color w:val="70AD47" w:themeColor="accent6"/>
      <w:sz w:val="28"/>
      <w:szCs w:val="32"/>
      <w:lang w:val="es-ES"/>
    </w:rPr>
  </w:style>
  <w:style w:type="paragraph" w:styleId="Textonotaalfinal">
    <w:name w:val="endnote text"/>
    <w:basedOn w:val="Normal"/>
    <w:link w:val="TextonotaalfinalCar"/>
    <w:uiPriority w:val="99"/>
    <w:unhideWhenUsed/>
    <w:rsid w:val="00AF0290"/>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AF0290"/>
    <w:rPr>
      <w:rFonts w:ascii="Calibri Light" w:hAnsi="Calibri Light"/>
      <w:lang w:val="es-ES"/>
    </w:rPr>
  </w:style>
  <w:style w:type="character" w:styleId="Refdenotaalfinal">
    <w:name w:val="endnote reference"/>
    <w:basedOn w:val="Fuentedeprrafopredeter"/>
    <w:uiPriority w:val="99"/>
    <w:unhideWhenUsed/>
    <w:rsid w:val="00AF0290"/>
    <w:rPr>
      <w:vertAlign w:val="superscript"/>
    </w:rPr>
  </w:style>
  <w:style w:type="character" w:styleId="Refdenotaalpie">
    <w:name w:val="footnote reference"/>
    <w:basedOn w:val="Fuentedeprrafopredeter"/>
    <w:uiPriority w:val="99"/>
    <w:unhideWhenUsed/>
    <w:rsid w:val="0054744C"/>
    <w:rPr>
      <w:vertAlign w:val="superscript"/>
    </w:rPr>
  </w:style>
  <w:style w:type="paragraph" w:styleId="Prrafodelista">
    <w:name w:val="List Paragraph"/>
    <w:basedOn w:val="Normal"/>
    <w:link w:val="PrrafodelistaCar"/>
    <w:uiPriority w:val="34"/>
    <w:qFormat/>
    <w:rsid w:val="00C66DBA"/>
    <w:pPr>
      <w:ind w:left="720"/>
      <w:contextualSpacing/>
    </w:pPr>
  </w:style>
  <w:style w:type="paragraph" w:customStyle="1" w:styleId="Bibliography1">
    <w:name w:val="Bibliography1"/>
    <w:basedOn w:val="Normal"/>
    <w:rsid w:val="00DD3CCE"/>
    <w:pPr>
      <w:spacing w:after="0" w:line="240" w:lineRule="auto"/>
      <w:ind w:left="720" w:hanging="720"/>
    </w:pPr>
  </w:style>
  <w:style w:type="paragraph" w:styleId="Encabezado">
    <w:name w:val="header"/>
    <w:basedOn w:val="Normal"/>
    <w:link w:val="EncabezadoCar"/>
    <w:uiPriority w:val="99"/>
    <w:unhideWhenUsed/>
    <w:rsid w:val="00896F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6FE6"/>
    <w:rPr>
      <w:rFonts w:ascii="Calibri Light" w:hAnsi="Calibri Light"/>
      <w:sz w:val="22"/>
      <w:szCs w:val="22"/>
      <w:lang w:val="es-ES"/>
    </w:rPr>
  </w:style>
  <w:style w:type="paragraph" w:styleId="Piedepgina">
    <w:name w:val="footer"/>
    <w:basedOn w:val="Normal"/>
    <w:link w:val="PiedepginaCar"/>
    <w:uiPriority w:val="99"/>
    <w:unhideWhenUsed/>
    <w:rsid w:val="00896F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6FE6"/>
    <w:rPr>
      <w:rFonts w:ascii="Calibri Light" w:hAnsi="Calibri Light"/>
      <w:sz w:val="22"/>
      <w:szCs w:val="22"/>
      <w:lang w:val="es-ES"/>
    </w:rPr>
  </w:style>
  <w:style w:type="character" w:styleId="Hipervnculo">
    <w:name w:val="Hyperlink"/>
    <w:basedOn w:val="Fuentedeprrafopredeter"/>
    <w:uiPriority w:val="99"/>
    <w:unhideWhenUsed/>
    <w:rsid w:val="00221915"/>
    <w:rPr>
      <w:color w:val="0563C1" w:themeColor="hyperlink"/>
      <w:u w:val="single"/>
    </w:rPr>
  </w:style>
  <w:style w:type="character" w:customStyle="1" w:styleId="PrrafodelistaCar">
    <w:name w:val="Párrafo de lista Car"/>
    <w:link w:val="Prrafodelista"/>
    <w:uiPriority w:val="34"/>
    <w:locked/>
    <w:rsid w:val="007C3A44"/>
    <w:rPr>
      <w:rFonts w:ascii="Calibri Light" w:hAnsi="Calibri Light"/>
      <w:sz w:val="22"/>
      <w:szCs w:val="22"/>
      <w:lang w:val="es-ES"/>
    </w:rPr>
  </w:style>
  <w:style w:type="character" w:customStyle="1" w:styleId="Ttulo3Car">
    <w:name w:val="Título 3 Car"/>
    <w:basedOn w:val="Fuentedeprrafopredeter"/>
    <w:link w:val="Ttulo3"/>
    <w:uiPriority w:val="9"/>
    <w:rsid w:val="003B52A4"/>
    <w:rPr>
      <w:rFonts w:asciiTheme="majorHAnsi" w:eastAsiaTheme="majorEastAsia" w:hAnsiTheme="majorHAnsi" w:cstheme="majorBidi"/>
      <w:color w:val="1F3763"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0A4C9-F929-4DE6-A22F-8FF5413E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3755</Words>
  <Characters>20655</Characters>
  <Application>Microsoft Office Word</Application>
  <DocSecurity>0</DocSecurity>
  <Lines>172</Lines>
  <Paragraphs>48</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Proemio</vt:lpstr>
      <vt:lpstr>    Terminología Internacional</vt:lpstr>
      <vt:lpstr>    Neutralidad de red en México</vt:lpstr>
      <vt:lpstr>    Antecedentes y motivación para regular</vt:lpstr>
      <vt:lpstr>Propuesta</vt:lpstr>
      <vt:lpstr>Fuentes</vt:lpstr>
    </vt:vector>
  </TitlesOfParts>
  <Manager/>
  <Company/>
  <LinksUpToDate>false</LinksUpToDate>
  <CharactersWithSpaces>24362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Gutiérrez</dc:creator>
  <cp:keywords/>
  <dc:description/>
  <cp:lastModifiedBy>Cynthia Fabiola Dominguez Jacobo</cp:lastModifiedBy>
  <cp:revision>15</cp:revision>
  <dcterms:created xsi:type="dcterms:W3CDTF">2017-04-10T21:20:00Z</dcterms:created>
  <dcterms:modified xsi:type="dcterms:W3CDTF">2017-04-20T17:24:00Z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id="Ll5rqzI4"/&gt;&lt;style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