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D8" w:rsidRPr="00F4286E" w:rsidRDefault="009713D8" w:rsidP="00F4286E">
      <w:pPr>
        <w:pStyle w:val="Ttulo1"/>
        <w:jc w:val="center"/>
        <w:rPr>
          <w:b/>
          <w:color w:val="auto"/>
          <w:sz w:val="24"/>
          <w:szCs w:val="24"/>
        </w:rPr>
      </w:pPr>
      <w:r w:rsidRPr="0060571D">
        <w:rPr>
          <w:b/>
          <w:color w:val="auto"/>
          <w:sz w:val="24"/>
          <w:szCs w:val="24"/>
        </w:rPr>
        <w:t xml:space="preserve">Declaración de Intereses de </w:t>
      </w:r>
      <w:r w:rsidR="0071460F" w:rsidRPr="0060571D">
        <w:rPr>
          <w:b/>
          <w:color w:val="auto"/>
          <w:sz w:val="24"/>
          <w:szCs w:val="24"/>
        </w:rPr>
        <w:t xml:space="preserve">los </w:t>
      </w:r>
      <w:r w:rsidRPr="0060571D">
        <w:rPr>
          <w:b/>
          <w:color w:val="auto"/>
          <w:sz w:val="24"/>
          <w:szCs w:val="24"/>
        </w:rPr>
        <w:t>miembros del</w:t>
      </w:r>
      <w:r w:rsidR="00F4286E">
        <w:rPr>
          <w:b/>
          <w:color w:val="auto"/>
          <w:sz w:val="24"/>
          <w:szCs w:val="24"/>
        </w:rPr>
        <w:t xml:space="preserve"> </w:t>
      </w:r>
      <w:r w:rsidRPr="00F4286E">
        <w:rPr>
          <w:b/>
          <w:color w:val="auto"/>
          <w:sz w:val="24"/>
          <w:szCs w:val="24"/>
        </w:rPr>
        <w:t>Consejo Consultivo del Instituto Federal de Telecomunicaciones</w:t>
      </w:r>
    </w:p>
    <w:p w:rsidR="004573F4" w:rsidRPr="00372D78" w:rsidRDefault="004573F4" w:rsidP="004573F4">
      <w:pPr>
        <w:rPr>
          <w:rFonts w:asciiTheme="majorHAnsi" w:hAnsiTheme="majorHAnsi" w:cs="Arial"/>
          <w:sz w:val="20"/>
          <w:szCs w:val="20"/>
        </w:rPr>
      </w:pPr>
    </w:p>
    <w:p w:rsidR="00F4286E" w:rsidRP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Fecha de la Declaración:</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sz w:val="20"/>
          <w:szCs w:val="20"/>
        </w:rPr>
        <w:t>Abril 2015</w:t>
      </w:r>
    </w:p>
    <w:p w:rsidR="00F4286E" w:rsidRPr="00F4286E" w:rsidRDefault="00F4286E"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Nombre del (de la) Consejero(a)</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sz w:val="20"/>
          <w:szCs w:val="20"/>
        </w:rPr>
        <w:t xml:space="preserve">Ernesto M. Flores </w:t>
      </w:r>
      <w:proofErr w:type="spellStart"/>
      <w:r w:rsidRPr="00F4286E">
        <w:rPr>
          <w:rFonts w:ascii="Calibri" w:hAnsi="Calibri" w:cs="Arial"/>
          <w:sz w:val="20"/>
          <w:szCs w:val="20"/>
        </w:rPr>
        <w:t>Roux</w:t>
      </w:r>
      <w:proofErr w:type="spellEnd"/>
    </w:p>
    <w:p w:rsidR="00F4286E" w:rsidRP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Fecha de ingreso al Consejo Consultivo:</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sz w:val="20"/>
          <w:szCs w:val="20"/>
        </w:rPr>
        <w:t>Febrero 2015</w:t>
      </w:r>
    </w:p>
    <w:p w:rsidR="0060571D" w:rsidRP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 xml:space="preserve">Síntesis curricular: </w:t>
      </w:r>
    </w:p>
    <w:p w:rsidR="0060571D" w:rsidRPr="00372D78" w:rsidRDefault="0060571D" w:rsidP="0060571D">
      <w:pPr>
        <w:pStyle w:val="Prrafodelista"/>
        <w:numPr>
          <w:ilvl w:val="0"/>
          <w:numId w:val="11"/>
        </w:numPr>
        <w:spacing w:after="0"/>
        <w:ind w:left="709" w:hanging="295"/>
        <w:jc w:val="both"/>
        <w:rPr>
          <w:rFonts w:asciiTheme="majorHAnsi" w:hAnsiTheme="majorHAnsi" w:cs="Arial"/>
          <w:sz w:val="20"/>
          <w:szCs w:val="20"/>
        </w:rPr>
      </w:pPr>
      <w:r w:rsidRPr="00372D78">
        <w:rPr>
          <w:rFonts w:asciiTheme="majorHAnsi" w:hAnsiTheme="majorHAnsi" w:cs="Arial"/>
          <w:sz w:val="20"/>
          <w:szCs w:val="20"/>
        </w:rPr>
        <w:t>Licenciatura en Matemática, UNAM (1989)</w:t>
      </w:r>
    </w:p>
    <w:p w:rsidR="0060571D" w:rsidRPr="00372D78" w:rsidRDefault="0060571D" w:rsidP="0060571D">
      <w:pPr>
        <w:pStyle w:val="Prrafodelista"/>
        <w:numPr>
          <w:ilvl w:val="0"/>
          <w:numId w:val="6"/>
        </w:numPr>
        <w:spacing w:after="0"/>
        <w:jc w:val="both"/>
        <w:rPr>
          <w:rFonts w:asciiTheme="majorHAnsi" w:hAnsiTheme="majorHAnsi" w:cs="Arial"/>
          <w:sz w:val="20"/>
          <w:szCs w:val="20"/>
        </w:rPr>
      </w:pPr>
      <w:r w:rsidRPr="00372D78">
        <w:rPr>
          <w:rFonts w:asciiTheme="majorHAnsi" w:hAnsiTheme="majorHAnsi" w:cs="Arial"/>
          <w:sz w:val="20"/>
          <w:szCs w:val="20"/>
        </w:rPr>
        <w:t>Doctorado en Estadística, Universidad de Chicago (1993)</w:t>
      </w:r>
    </w:p>
    <w:p w:rsidR="0060571D" w:rsidRPr="00372D78" w:rsidRDefault="0060571D" w:rsidP="0060571D">
      <w:pPr>
        <w:pStyle w:val="Prrafodelista"/>
        <w:numPr>
          <w:ilvl w:val="0"/>
          <w:numId w:val="6"/>
        </w:numPr>
        <w:spacing w:after="0"/>
        <w:jc w:val="both"/>
        <w:rPr>
          <w:rFonts w:asciiTheme="majorHAnsi" w:hAnsiTheme="majorHAnsi" w:cs="Arial"/>
          <w:sz w:val="20"/>
          <w:szCs w:val="20"/>
        </w:rPr>
      </w:pPr>
      <w:proofErr w:type="spellStart"/>
      <w:r w:rsidRPr="00372D78">
        <w:rPr>
          <w:rFonts w:asciiTheme="majorHAnsi" w:hAnsiTheme="majorHAnsi" w:cs="Arial"/>
          <w:sz w:val="20"/>
          <w:szCs w:val="20"/>
        </w:rPr>
        <w:t>McKinsey</w:t>
      </w:r>
      <w:proofErr w:type="spellEnd"/>
      <w:r w:rsidRPr="00372D78">
        <w:rPr>
          <w:rFonts w:asciiTheme="majorHAnsi" w:hAnsiTheme="majorHAnsi" w:cs="Arial"/>
          <w:sz w:val="20"/>
          <w:szCs w:val="20"/>
        </w:rPr>
        <w:t xml:space="preserve"> &amp; Company, Inc. (México 1993-1996, Brasil 1996-2004) (socio de 1999-2004)</w:t>
      </w:r>
    </w:p>
    <w:p w:rsidR="0060571D" w:rsidRPr="00372D78" w:rsidRDefault="0060571D" w:rsidP="0060571D">
      <w:pPr>
        <w:pStyle w:val="Prrafodelista"/>
        <w:numPr>
          <w:ilvl w:val="0"/>
          <w:numId w:val="6"/>
        </w:numPr>
        <w:spacing w:after="0"/>
        <w:jc w:val="both"/>
        <w:rPr>
          <w:rFonts w:asciiTheme="majorHAnsi" w:hAnsiTheme="majorHAnsi" w:cs="Arial"/>
          <w:sz w:val="20"/>
          <w:szCs w:val="20"/>
        </w:rPr>
      </w:pPr>
      <w:r w:rsidRPr="00372D78">
        <w:rPr>
          <w:rFonts w:asciiTheme="majorHAnsi" w:hAnsiTheme="majorHAnsi" w:cs="Arial"/>
          <w:sz w:val="20"/>
          <w:szCs w:val="20"/>
        </w:rPr>
        <w:t>Telefónica (Director de Estrategia y Marketing, México, 2004-2006; Director, Perú, 2006; Director de Estrategia, China, 2007; Gabinete del Presidente, Brasil, 2008)</w:t>
      </w:r>
    </w:p>
    <w:p w:rsidR="0060571D" w:rsidRPr="00372D78" w:rsidRDefault="0060571D" w:rsidP="0060571D">
      <w:pPr>
        <w:pStyle w:val="Prrafodelista"/>
        <w:numPr>
          <w:ilvl w:val="0"/>
          <w:numId w:val="6"/>
        </w:numPr>
        <w:spacing w:after="0"/>
        <w:jc w:val="both"/>
        <w:rPr>
          <w:rFonts w:asciiTheme="majorHAnsi" w:hAnsiTheme="majorHAnsi" w:cs="Arial"/>
          <w:sz w:val="20"/>
          <w:szCs w:val="20"/>
        </w:rPr>
      </w:pPr>
      <w:r w:rsidRPr="00372D78">
        <w:rPr>
          <w:rFonts w:asciiTheme="majorHAnsi" w:hAnsiTheme="majorHAnsi" w:cs="Arial"/>
          <w:sz w:val="20"/>
          <w:szCs w:val="20"/>
        </w:rPr>
        <w:t>Coordinador de Asesores de la Subsecretaría de Comunicaciones de la SCT (2008-2009)</w:t>
      </w:r>
    </w:p>
    <w:p w:rsidR="0060571D" w:rsidRDefault="0060571D" w:rsidP="0060571D">
      <w:pPr>
        <w:tabs>
          <w:tab w:val="left" w:pos="2631"/>
          <w:tab w:val="left" w:pos="10599"/>
        </w:tabs>
        <w:spacing w:after="0"/>
        <w:ind w:left="363"/>
        <w:rPr>
          <w:rFonts w:asciiTheme="majorHAnsi" w:hAnsiTheme="majorHAnsi" w:cs="Arial"/>
          <w:sz w:val="20"/>
          <w:szCs w:val="20"/>
        </w:rPr>
      </w:pPr>
      <w:r w:rsidRPr="00372D78">
        <w:rPr>
          <w:rFonts w:asciiTheme="majorHAnsi" w:hAnsiTheme="majorHAnsi" w:cs="Arial"/>
          <w:sz w:val="20"/>
          <w:szCs w:val="20"/>
        </w:rPr>
        <w:t>Investigador Asociado, CIDE (2009-2014)</w:t>
      </w:r>
    </w:p>
    <w:p w:rsidR="0060571D" w:rsidRPr="00372D78" w:rsidRDefault="0060571D" w:rsidP="0060571D">
      <w:pPr>
        <w:tabs>
          <w:tab w:val="left" w:pos="2631"/>
          <w:tab w:val="left" w:pos="10599"/>
        </w:tabs>
        <w:spacing w:after="0"/>
        <w:ind w:left="363"/>
        <w:rPr>
          <w:rFonts w:asciiTheme="majorHAnsi" w:hAnsiTheme="majorHAnsi" w:cs="Arial"/>
          <w:sz w:val="20"/>
          <w:szCs w:val="20"/>
        </w:rPr>
      </w:pPr>
      <w:r w:rsidRPr="00372D78">
        <w:rPr>
          <w:rFonts w:asciiTheme="majorHAnsi" w:hAnsiTheme="majorHAnsi" w:cs="Arial"/>
          <w:b/>
          <w:sz w:val="20"/>
          <w:szCs w:val="20"/>
        </w:rPr>
        <w:t xml:space="preserve">Observaciones: </w:t>
      </w:r>
      <w:r w:rsidRPr="00F4286E">
        <w:rPr>
          <w:rFonts w:asciiTheme="majorHAnsi" w:hAnsiTheme="majorHAnsi" w:cs="Arial"/>
          <w:sz w:val="20"/>
          <w:szCs w:val="20"/>
        </w:rPr>
        <w:t>Ninguna</w:t>
      </w:r>
    </w:p>
    <w:p w:rsidR="0060571D" w:rsidRP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Otras actividades profesionales y/o económicas: Consultor por proyecto (2009 a la fecha)</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b/>
          <w:sz w:val="20"/>
          <w:szCs w:val="20"/>
        </w:rPr>
        <w:t>Observaciones:</w:t>
      </w:r>
      <w:r w:rsidRPr="00F4286E">
        <w:rPr>
          <w:rFonts w:ascii="Calibri" w:hAnsi="Calibri" w:cs="Arial"/>
          <w:sz w:val="20"/>
          <w:szCs w:val="20"/>
        </w:rPr>
        <w:t xml:space="preserve"> Ninguna</w:t>
      </w:r>
    </w:p>
    <w:p w:rsid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lastRenderedPageBreak/>
        <w:t>Actividades de docencia:</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sz w:val="20"/>
          <w:szCs w:val="20"/>
        </w:rPr>
        <w:t>Ninguna</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b/>
          <w:sz w:val="20"/>
          <w:szCs w:val="20"/>
        </w:rPr>
        <w:t>Observaciones:</w:t>
      </w:r>
      <w:r w:rsidRPr="00F4286E">
        <w:rPr>
          <w:rFonts w:ascii="Calibri" w:hAnsi="Calibri" w:cs="Arial"/>
          <w:sz w:val="20"/>
          <w:szCs w:val="20"/>
        </w:rPr>
        <w:t xml:space="preserve"> Ninguna</w:t>
      </w:r>
    </w:p>
    <w:p w:rsidR="0060571D" w:rsidRP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Asociaciones profesionales y sin fines de lucro:</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sz w:val="20"/>
          <w:szCs w:val="20"/>
        </w:rPr>
        <w:t xml:space="preserve">Miembro del Consejo de </w:t>
      </w:r>
      <w:proofErr w:type="spellStart"/>
      <w:r w:rsidRPr="00F4286E">
        <w:rPr>
          <w:rFonts w:ascii="Calibri" w:hAnsi="Calibri" w:cs="Arial"/>
          <w:sz w:val="20"/>
          <w:szCs w:val="20"/>
        </w:rPr>
        <w:t>Inoma</w:t>
      </w:r>
      <w:proofErr w:type="spellEnd"/>
      <w:r w:rsidRPr="00F4286E">
        <w:rPr>
          <w:rFonts w:ascii="Calibri" w:hAnsi="Calibri" w:cs="Arial"/>
          <w:sz w:val="20"/>
          <w:szCs w:val="20"/>
        </w:rPr>
        <w:t>, A.C. (www.inoma.mx)</w:t>
      </w:r>
    </w:p>
    <w:p w:rsidR="00F4286E" w:rsidRPr="00F4286E" w:rsidRDefault="0060571D" w:rsidP="00F4286E">
      <w:pPr>
        <w:spacing w:after="0" w:line="240" w:lineRule="auto"/>
        <w:jc w:val="both"/>
        <w:rPr>
          <w:rFonts w:ascii="Calibri" w:hAnsi="Calibri" w:cs="Arial"/>
          <w:sz w:val="20"/>
          <w:szCs w:val="20"/>
        </w:rPr>
      </w:pPr>
      <w:r w:rsidRPr="00F4286E">
        <w:rPr>
          <w:rFonts w:ascii="Calibri" w:hAnsi="Calibri" w:cs="Arial"/>
          <w:sz w:val="20"/>
          <w:szCs w:val="20"/>
        </w:rPr>
        <w:t xml:space="preserve">Mentor de </w:t>
      </w:r>
      <w:proofErr w:type="spellStart"/>
      <w:r w:rsidRPr="00F4286E">
        <w:rPr>
          <w:rFonts w:ascii="Calibri" w:hAnsi="Calibri" w:cs="Arial"/>
          <w:sz w:val="20"/>
          <w:szCs w:val="20"/>
        </w:rPr>
        <w:t>Endeavo</w:t>
      </w:r>
      <w:r w:rsidR="00F4286E" w:rsidRPr="00F4286E">
        <w:rPr>
          <w:rFonts w:ascii="Calibri" w:hAnsi="Calibri" w:cs="Arial"/>
          <w:sz w:val="20"/>
          <w:szCs w:val="20"/>
        </w:rPr>
        <w:t>r.México</w:t>
      </w:r>
      <w:proofErr w:type="spellEnd"/>
      <w:r w:rsidR="00F4286E" w:rsidRPr="00F4286E">
        <w:rPr>
          <w:rFonts w:ascii="Calibri" w:hAnsi="Calibri" w:cs="Arial"/>
          <w:sz w:val="20"/>
          <w:szCs w:val="20"/>
        </w:rPr>
        <w:t xml:space="preserve"> (www.endeavor.org.mx) </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b/>
          <w:sz w:val="20"/>
          <w:szCs w:val="20"/>
        </w:rPr>
        <w:t>Observaciones:</w:t>
      </w:r>
      <w:r w:rsidRPr="00F4286E">
        <w:rPr>
          <w:rFonts w:ascii="Calibri" w:hAnsi="Calibri" w:cs="Arial"/>
          <w:sz w:val="20"/>
          <w:szCs w:val="20"/>
        </w:rPr>
        <w:t xml:space="preserve"> Ninguna</w:t>
      </w:r>
    </w:p>
    <w:p w:rsidR="00F4286E" w:rsidRP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Participación</w:t>
      </w:r>
      <w:r w:rsidRPr="00F4286E">
        <w:rPr>
          <w:rFonts w:ascii="Calibri" w:hAnsi="Calibri" w:cs="Arial"/>
          <w:sz w:val="20"/>
          <w:szCs w:val="20"/>
        </w:rPr>
        <w:t xml:space="preserve"> </w:t>
      </w:r>
      <w:r w:rsidRPr="00F4286E">
        <w:rPr>
          <w:rFonts w:ascii="Calibri" w:hAnsi="Calibri" w:cs="Arial"/>
          <w:b/>
          <w:color w:val="auto"/>
          <w:sz w:val="20"/>
          <w:szCs w:val="20"/>
        </w:rPr>
        <w:t>accionaria o social de más de 5% en agentes regulados por IFT o en agentes con contratos sustanciales con agentes regulados</w:t>
      </w:r>
      <w:r w:rsidR="00F4286E" w:rsidRPr="00F4286E">
        <w:rPr>
          <w:rFonts w:ascii="Calibri" w:hAnsi="Calibri" w:cs="Arial"/>
          <w:b/>
          <w:color w:val="auto"/>
          <w:sz w:val="20"/>
          <w:szCs w:val="20"/>
        </w:rPr>
        <w:t>:</w:t>
      </w:r>
    </w:p>
    <w:p w:rsidR="00F4286E" w:rsidRPr="00F4286E" w:rsidRDefault="0060571D" w:rsidP="00F4286E">
      <w:pPr>
        <w:spacing w:after="0" w:line="240" w:lineRule="auto"/>
        <w:jc w:val="both"/>
        <w:rPr>
          <w:rFonts w:ascii="Calibri" w:hAnsi="Calibri" w:cs="Arial"/>
          <w:sz w:val="20"/>
          <w:szCs w:val="20"/>
        </w:rPr>
      </w:pPr>
      <w:r w:rsidRPr="00F4286E">
        <w:rPr>
          <w:rFonts w:ascii="Calibri" w:hAnsi="Calibri" w:cs="Arial"/>
          <w:sz w:val="20"/>
          <w:szCs w:val="20"/>
        </w:rPr>
        <w:t>Ninguna</w:t>
      </w:r>
    </w:p>
    <w:p w:rsidR="00F4286E" w:rsidRPr="00F4286E" w:rsidRDefault="0060571D" w:rsidP="00F4286E">
      <w:pPr>
        <w:spacing w:after="0" w:line="240" w:lineRule="auto"/>
        <w:jc w:val="both"/>
        <w:rPr>
          <w:rFonts w:ascii="Calibri" w:hAnsi="Calibri" w:cs="Arial"/>
          <w:sz w:val="20"/>
          <w:szCs w:val="20"/>
        </w:rPr>
      </w:pPr>
      <w:r w:rsidRPr="00F4286E">
        <w:rPr>
          <w:rFonts w:ascii="Calibri" w:hAnsi="Calibri" w:cs="Arial"/>
          <w:b/>
          <w:sz w:val="20"/>
          <w:szCs w:val="20"/>
        </w:rPr>
        <w:t>Observaciones:</w:t>
      </w:r>
      <w:r w:rsidRPr="00F4286E">
        <w:rPr>
          <w:rFonts w:ascii="Calibri" w:hAnsi="Calibri" w:cs="Arial"/>
          <w:sz w:val="20"/>
          <w:szCs w:val="20"/>
        </w:rPr>
        <w:t xml:space="preserve"> </w:t>
      </w:r>
      <w:r w:rsidR="00F4286E">
        <w:rPr>
          <w:rFonts w:ascii="Calibri" w:hAnsi="Calibri" w:cs="Arial"/>
          <w:sz w:val="20"/>
          <w:szCs w:val="20"/>
        </w:rPr>
        <w:t>Ninguna</w:t>
      </w:r>
    </w:p>
    <w:p w:rsidR="0060571D" w:rsidRP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Otros proyectos remunerados o relevantes al sector de telecomunicaciones y radiodifusión:</w:t>
      </w:r>
    </w:p>
    <w:p w:rsidR="0060571D" w:rsidRPr="0060571D" w:rsidRDefault="0060571D" w:rsidP="0060571D">
      <w:pPr>
        <w:pStyle w:val="Prrafodelista"/>
        <w:numPr>
          <w:ilvl w:val="0"/>
          <w:numId w:val="12"/>
        </w:numPr>
        <w:spacing w:before="240" w:after="0"/>
        <w:ind w:left="709" w:hanging="425"/>
        <w:rPr>
          <w:rFonts w:asciiTheme="majorHAnsi" w:hAnsiTheme="majorHAnsi" w:cs="Arial"/>
          <w:sz w:val="20"/>
          <w:szCs w:val="20"/>
        </w:rPr>
      </w:pPr>
      <w:r w:rsidRPr="0060571D">
        <w:rPr>
          <w:rFonts w:asciiTheme="majorHAnsi" w:hAnsiTheme="majorHAnsi" w:cs="Arial"/>
          <w:sz w:val="20"/>
          <w:szCs w:val="20"/>
        </w:rPr>
        <w:t>Miembro del Consejo Consultivo de la extinta Comisión Federal de Telecomunicaciones (2011-2013)</w:t>
      </w:r>
    </w:p>
    <w:p w:rsidR="0060571D" w:rsidRPr="00372D78" w:rsidRDefault="0060571D" w:rsidP="0060571D">
      <w:pPr>
        <w:pStyle w:val="Prrafodelista"/>
        <w:numPr>
          <w:ilvl w:val="0"/>
          <w:numId w:val="8"/>
        </w:numPr>
        <w:spacing w:after="0"/>
        <w:rPr>
          <w:rFonts w:asciiTheme="majorHAnsi" w:hAnsiTheme="majorHAnsi" w:cs="Arial"/>
          <w:sz w:val="20"/>
          <w:szCs w:val="20"/>
        </w:rPr>
      </w:pPr>
      <w:r w:rsidRPr="00372D78">
        <w:rPr>
          <w:rFonts w:asciiTheme="majorHAnsi" w:hAnsiTheme="majorHAnsi" w:cs="Arial"/>
          <w:sz w:val="20"/>
          <w:szCs w:val="20"/>
        </w:rPr>
        <w:t xml:space="preserve">Durante los últimos 5 años, varios contratos de asesoría con agentes regulados en México (cuatro empresas de telefonía fija/Internet, dos empresas móviles, dos empresas radiodifusoras), además de asociaciones que los representan a nivel internacional (GSMA, </w:t>
      </w:r>
      <w:proofErr w:type="spellStart"/>
      <w:r w:rsidRPr="00372D78">
        <w:rPr>
          <w:rFonts w:asciiTheme="majorHAnsi" w:hAnsiTheme="majorHAnsi" w:cs="Arial"/>
          <w:sz w:val="20"/>
          <w:szCs w:val="20"/>
        </w:rPr>
        <w:t>Ahciet</w:t>
      </w:r>
      <w:proofErr w:type="spellEnd"/>
      <w:r w:rsidRPr="00372D78">
        <w:rPr>
          <w:rFonts w:asciiTheme="majorHAnsi" w:hAnsiTheme="majorHAnsi" w:cs="Arial"/>
          <w:sz w:val="20"/>
          <w:szCs w:val="20"/>
        </w:rPr>
        <w:t>)</w:t>
      </w:r>
    </w:p>
    <w:p w:rsidR="0060571D" w:rsidRPr="00372D78" w:rsidRDefault="0060571D" w:rsidP="0060571D">
      <w:pPr>
        <w:pStyle w:val="Prrafodelista"/>
        <w:numPr>
          <w:ilvl w:val="0"/>
          <w:numId w:val="8"/>
        </w:numPr>
        <w:spacing w:after="0"/>
        <w:rPr>
          <w:rFonts w:asciiTheme="majorHAnsi" w:hAnsiTheme="majorHAnsi" w:cs="Arial"/>
          <w:sz w:val="20"/>
          <w:szCs w:val="20"/>
        </w:rPr>
      </w:pPr>
      <w:r w:rsidRPr="00372D78">
        <w:rPr>
          <w:rFonts w:asciiTheme="majorHAnsi" w:hAnsiTheme="majorHAnsi" w:cs="Arial"/>
          <w:sz w:val="20"/>
          <w:szCs w:val="20"/>
        </w:rPr>
        <w:t>Varios estudios con organismos internacionales (OCDE, BID, CAF); todos han sido publicados</w:t>
      </w:r>
    </w:p>
    <w:p w:rsidR="0060571D" w:rsidRPr="00372D78" w:rsidRDefault="0060571D" w:rsidP="0060571D">
      <w:pPr>
        <w:pStyle w:val="Prrafodelista"/>
        <w:numPr>
          <w:ilvl w:val="0"/>
          <w:numId w:val="8"/>
        </w:numPr>
        <w:spacing w:after="0"/>
        <w:rPr>
          <w:rFonts w:asciiTheme="majorHAnsi" w:hAnsiTheme="majorHAnsi" w:cs="Arial"/>
          <w:sz w:val="20"/>
          <w:szCs w:val="20"/>
        </w:rPr>
      </w:pPr>
      <w:r w:rsidRPr="00372D78">
        <w:rPr>
          <w:rFonts w:asciiTheme="majorHAnsi" w:hAnsiTheme="majorHAnsi" w:cs="Arial"/>
          <w:sz w:val="20"/>
          <w:szCs w:val="20"/>
        </w:rPr>
        <w:t xml:space="preserve">Varios contratos de asesoría con firmas internacionales de consultoría contratadas por dependencias federales (IFT, SCT) </w:t>
      </w:r>
    </w:p>
    <w:p w:rsidR="0060571D" w:rsidRPr="00372D78" w:rsidRDefault="0060571D" w:rsidP="0060571D">
      <w:pPr>
        <w:pStyle w:val="Prrafodelista"/>
        <w:numPr>
          <w:ilvl w:val="0"/>
          <w:numId w:val="8"/>
        </w:numPr>
        <w:spacing w:after="0"/>
        <w:rPr>
          <w:rFonts w:asciiTheme="majorHAnsi" w:hAnsiTheme="majorHAnsi" w:cs="Arial"/>
          <w:sz w:val="20"/>
          <w:szCs w:val="20"/>
        </w:rPr>
      </w:pPr>
      <w:r w:rsidRPr="00372D78">
        <w:rPr>
          <w:rFonts w:asciiTheme="majorHAnsi" w:hAnsiTheme="majorHAnsi" w:cs="Arial"/>
          <w:sz w:val="20"/>
          <w:szCs w:val="20"/>
        </w:rPr>
        <w:t xml:space="preserve">Varios trabajos con CFT, IFT y SCT, además de otros trabajos con otras dependencias (SHCP, </w:t>
      </w:r>
      <w:proofErr w:type="spellStart"/>
      <w:r w:rsidRPr="00372D78">
        <w:rPr>
          <w:rFonts w:asciiTheme="majorHAnsi" w:hAnsiTheme="majorHAnsi" w:cs="Arial"/>
          <w:sz w:val="20"/>
          <w:szCs w:val="20"/>
        </w:rPr>
        <w:t>Sedesol</w:t>
      </w:r>
      <w:proofErr w:type="spellEnd"/>
      <w:r w:rsidRPr="00372D78">
        <w:rPr>
          <w:rFonts w:asciiTheme="majorHAnsi" w:hAnsiTheme="majorHAnsi" w:cs="Arial"/>
          <w:sz w:val="20"/>
          <w:szCs w:val="20"/>
        </w:rPr>
        <w:t>)</w:t>
      </w:r>
    </w:p>
    <w:p w:rsidR="0060571D" w:rsidRPr="00372D78" w:rsidRDefault="0060571D" w:rsidP="0060571D">
      <w:pPr>
        <w:pStyle w:val="Prrafodelista"/>
        <w:numPr>
          <w:ilvl w:val="0"/>
          <w:numId w:val="8"/>
        </w:numPr>
        <w:spacing w:after="0"/>
        <w:rPr>
          <w:rFonts w:asciiTheme="majorHAnsi" w:hAnsiTheme="majorHAnsi" w:cs="Arial"/>
          <w:sz w:val="20"/>
          <w:szCs w:val="20"/>
        </w:rPr>
      </w:pPr>
      <w:r w:rsidRPr="00372D78">
        <w:rPr>
          <w:rFonts w:asciiTheme="majorHAnsi" w:hAnsiTheme="majorHAnsi" w:cs="Arial"/>
          <w:sz w:val="20"/>
          <w:szCs w:val="20"/>
        </w:rPr>
        <w:t xml:space="preserve">Participación remunerada en proyectos de asociaciones civiles (IMCO, Centro de Estudios Espinosa </w:t>
      </w:r>
      <w:proofErr w:type="spellStart"/>
      <w:r w:rsidRPr="00372D78">
        <w:rPr>
          <w:rFonts w:asciiTheme="majorHAnsi" w:hAnsiTheme="majorHAnsi" w:cs="Arial"/>
          <w:sz w:val="20"/>
          <w:szCs w:val="20"/>
        </w:rPr>
        <w:t>Yglesias</w:t>
      </w:r>
      <w:proofErr w:type="spellEnd"/>
      <w:r w:rsidRPr="00372D78">
        <w:rPr>
          <w:rFonts w:asciiTheme="majorHAnsi" w:hAnsiTheme="majorHAnsi" w:cs="Arial"/>
          <w:sz w:val="20"/>
          <w:szCs w:val="20"/>
        </w:rPr>
        <w:t>)</w:t>
      </w:r>
    </w:p>
    <w:p w:rsidR="0060571D" w:rsidRPr="00372D78" w:rsidRDefault="0060571D" w:rsidP="0060571D">
      <w:pPr>
        <w:pStyle w:val="Prrafodelista"/>
        <w:numPr>
          <w:ilvl w:val="0"/>
          <w:numId w:val="8"/>
        </w:numPr>
        <w:spacing w:after="0"/>
        <w:rPr>
          <w:rFonts w:asciiTheme="majorHAnsi" w:hAnsiTheme="majorHAnsi" w:cs="Arial"/>
          <w:sz w:val="20"/>
          <w:szCs w:val="20"/>
        </w:rPr>
      </w:pPr>
      <w:r w:rsidRPr="00372D78">
        <w:rPr>
          <w:rFonts w:asciiTheme="majorHAnsi" w:hAnsiTheme="majorHAnsi" w:cs="Arial"/>
          <w:sz w:val="20"/>
          <w:szCs w:val="20"/>
        </w:rPr>
        <w:t>Múltiples colaboraciones con empresas, asociaciones y órganos reguladores en América Latina (principalmente, Brasil y Colombia)</w:t>
      </w:r>
    </w:p>
    <w:p w:rsidR="0060571D" w:rsidRPr="0060571D" w:rsidRDefault="0060571D" w:rsidP="0060571D">
      <w:pPr>
        <w:pStyle w:val="Prrafodelista"/>
        <w:numPr>
          <w:ilvl w:val="0"/>
          <w:numId w:val="8"/>
        </w:numPr>
        <w:spacing w:after="0"/>
        <w:rPr>
          <w:rFonts w:asciiTheme="majorHAnsi" w:hAnsiTheme="majorHAnsi" w:cs="Arial"/>
          <w:b/>
          <w:sz w:val="20"/>
          <w:szCs w:val="20"/>
        </w:rPr>
      </w:pPr>
      <w:r w:rsidRPr="0060571D">
        <w:rPr>
          <w:rFonts w:asciiTheme="majorHAnsi" w:hAnsiTheme="majorHAnsi" w:cs="Arial"/>
          <w:sz w:val="20"/>
          <w:szCs w:val="20"/>
        </w:rPr>
        <w:t>Varios proyectos de evaluación de adquisiciones de empresas relacionadas con el sector de telecomunicaciones en varios países de América Latina (todos los países excepto Paraguay, Cuba y República Dominicana)</w:t>
      </w:r>
    </w:p>
    <w:p w:rsidR="0060571D" w:rsidRPr="0060571D" w:rsidRDefault="0060571D" w:rsidP="0060571D">
      <w:pPr>
        <w:pStyle w:val="Prrafodelista"/>
        <w:spacing w:after="0"/>
        <w:rPr>
          <w:rFonts w:asciiTheme="majorHAnsi" w:hAnsiTheme="majorHAnsi" w:cs="Arial"/>
          <w:b/>
          <w:sz w:val="20"/>
          <w:szCs w:val="20"/>
        </w:rPr>
      </w:pPr>
      <w:r w:rsidRPr="0060571D">
        <w:rPr>
          <w:rFonts w:asciiTheme="majorHAnsi" w:hAnsiTheme="majorHAnsi" w:cs="Arial"/>
          <w:b/>
          <w:sz w:val="20"/>
          <w:szCs w:val="20"/>
        </w:rPr>
        <w:t xml:space="preserve">Observaciones: </w:t>
      </w:r>
    </w:p>
    <w:p w:rsidR="0060571D" w:rsidRPr="00F4286E" w:rsidRDefault="0060571D" w:rsidP="0060571D">
      <w:pPr>
        <w:pStyle w:val="Prrafodelista"/>
        <w:numPr>
          <w:ilvl w:val="0"/>
          <w:numId w:val="13"/>
        </w:numPr>
        <w:spacing w:before="240" w:after="0"/>
        <w:rPr>
          <w:rFonts w:asciiTheme="majorHAnsi" w:hAnsiTheme="majorHAnsi" w:cs="Arial"/>
          <w:sz w:val="20"/>
          <w:szCs w:val="20"/>
        </w:rPr>
      </w:pPr>
      <w:r w:rsidRPr="00F4286E">
        <w:rPr>
          <w:rFonts w:asciiTheme="majorHAnsi" w:hAnsiTheme="majorHAnsi" w:cs="Arial"/>
          <w:sz w:val="20"/>
          <w:szCs w:val="20"/>
        </w:rPr>
        <w:t>Algunas contrataciones han sido directas, pero la mayor parte son a través de terceros (principalmente, empresas de consultoría y CIDE)</w:t>
      </w:r>
    </w:p>
    <w:p w:rsidR="0060571D" w:rsidRPr="00F4286E" w:rsidRDefault="0060571D" w:rsidP="0060571D">
      <w:pPr>
        <w:pStyle w:val="Prrafodelista"/>
        <w:numPr>
          <w:ilvl w:val="0"/>
          <w:numId w:val="13"/>
        </w:numPr>
        <w:rPr>
          <w:rFonts w:asciiTheme="majorHAnsi" w:hAnsiTheme="majorHAnsi" w:cs="Arial"/>
          <w:sz w:val="20"/>
          <w:szCs w:val="20"/>
        </w:rPr>
      </w:pPr>
      <w:r w:rsidRPr="00F4286E">
        <w:rPr>
          <w:rFonts w:asciiTheme="majorHAnsi" w:hAnsiTheme="majorHAnsi" w:cs="Arial"/>
          <w:sz w:val="20"/>
          <w:szCs w:val="20"/>
        </w:rPr>
        <w:lastRenderedPageBreak/>
        <w:t>Adicional a lo anterior, de 2009 a 2013 recibí remuneración por parte del CIDE (Proyecto Telecom CIDE), cuyos recursos provienen principalmente de las empresas que han patrocinado el programa durante ese período (Telmex, América Móvil, Telefónica, Nextel, Televisa, Grupo Salinas)</w:t>
      </w:r>
    </w:p>
    <w:p w:rsidR="0060571D" w:rsidRPr="00F4286E" w:rsidRDefault="0060571D" w:rsidP="0060571D">
      <w:pPr>
        <w:pStyle w:val="Prrafodelista"/>
        <w:numPr>
          <w:ilvl w:val="0"/>
          <w:numId w:val="13"/>
        </w:numPr>
        <w:tabs>
          <w:tab w:val="left" w:pos="2631"/>
          <w:tab w:val="left" w:pos="10599"/>
        </w:tabs>
        <w:spacing w:before="240" w:after="0"/>
        <w:rPr>
          <w:rFonts w:asciiTheme="majorHAnsi" w:hAnsiTheme="majorHAnsi" w:cs="Arial"/>
          <w:sz w:val="20"/>
          <w:szCs w:val="20"/>
        </w:rPr>
      </w:pPr>
      <w:r w:rsidRPr="00F4286E">
        <w:rPr>
          <w:rFonts w:asciiTheme="majorHAnsi" w:hAnsiTheme="majorHAnsi" w:cs="Arial"/>
          <w:sz w:val="20"/>
          <w:szCs w:val="20"/>
        </w:rPr>
        <w:t xml:space="preserve">Excepto aquellos trabajos que se han hecho públicos, los contratos de asesoría cuentan todos con cláusulas de confidencialidad (o bien, NDA – “non </w:t>
      </w:r>
      <w:proofErr w:type="spellStart"/>
      <w:r w:rsidRPr="00F4286E">
        <w:rPr>
          <w:rFonts w:asciiTheme="majorHAnsi" w:hAnsiTheme="majorHAnsi" w:cs="Arial"/>
          <w:sz w:val="20"/>
          <w:szCs w:val="20"/>
        </w:rPr>
        <w:t>disclosure</w:t>
      </w:r>
      <w:proofErr w:type="spellEnd"/>
      <w:r w:rsidRPr="00F4286E">
        <w:rPr>
          <w:rFonts w:asciiTheme="majorHAnsi" w:hAnsiTheme="majorHAnsi" w:cs="Arial"/>
          <w:sz w:val="20"/>
          <w:szCs w:val="20"/>
        </w:rPr>
        <w:t xml:space="preserve"> </w:t>
      </w:r>
      <w:proofErr w:type="spellStart"/>
      <w:r w:rsidRPr="00F4286E">
        <w:rPr>
          <w:rFonts w:asciiTheme="majorHAnsi" w:hAnsiTheme="majorHAnsi" w:cs="Arial"/>
          <w:sz w:val="20"/>
          <w:szCs w:val="20"/>
        </w:rPr>
        <w:t>agreements</w:t>
      </w:r>
      <w:proofErr w:type="spellEnd"/>
      <w:r w:rsidRPr="00F4286E">
        <w:rPr>
          <w:rFonts w:asciiTheme="majorHAnsi" w:hAnsiTheme="majorHAnsi" w:cs="Arial"/>
          <w:sz w:val="20"/>
          <w:szCs w:val="20"/>
        </w:rPr>
        <w:t>”)</w:t>
      </w:r>
    </w:p>
    <w:p w:rsidR="00F4286E" w:rsidRP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Intereses relevantes de miembros de familia (ascendientes, descendientes o pareja)</w:t>
      </w:r>
      <w:r w:rsidR="00F4286E" w:rsidRPr="00F4286E">
        <w:rPr>
          <w:rFonts w:ascii="Calibri" w:hAnsi="Calibri" w:cs="Arial"/>
          <w:b/>
          <w:color w:val="auto"/>
          <w:sz w:val="20"/>
          <w:szCs w:val="20"/>
        </w:rPr>
        <w:t>:</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sz w:val="20"/>
          <w:szCs w:val="20"/>
        </w:rPr>
        <w:t>Ninguno</w:t>
      </w:r>
    </w:p>
    <w:p w:rsidR="0060571D" w:rsidRPr="00F4286E" w:rsidRDefault="0060571D" w:rsidP="00F4286E">
      <w:pPr>
        <w:spacing w:after="0" w:line="240" w:lineRule="auto"/>
        <w:jc w:val="both"/>
        <w:rPr>
          <w:rFonts w:ascii="Calibri" w:hAnsi="Calibri" w:cs="Arial"/>
          <w:sz w:val="20"/>
          <w:szCs w:val="20"/>
        </w:rPr>
      </w:pPr>
      <w:r w:rsidRPr="00F4286E">
        <w:rPr>
          <w:rFonts w:ascii="Calibri" w:hAnsi="Calibri" w:cs="Arial"/>
          <w:b/>
          <w:sz w:val="20"/>
          <w:szCs w:val="20"/>
        </w:rPr>
        <w:t>Observaciones:</w:t>
      </w:r>
      <w:r w:rsidR="00F4286E" w:rsidRPr="00F4286E">
        <w:rPr>
          <w:rFonts w:ascii="Calibri" w:hAnsi="Calibri" w:cs="Arial"/>
          <w:sz w:val="20"/>
          <w:szCs w:val="20"/>
        </w:rPr>
        <w:t xml:space="preserve"> </w:t>
      </w:r>
      <w:r w:rsidR="00F4286E">
        <w:rPr>
          <w:rFonts w:ascii="Calibri" w:hAnsi="Calibri" w:cs="Arial"/>
          <w:sz w:val="20"/>
          <w:szCs w:val="20"/>
        </w:rPr>
        <w:t>Ninguna</w:t>
      </w:r>
    </w:p>
    <w:p w:rsidR="0060571D" w:rsidRPr="00F4286E" w:rsidRDefault="0060571D" w:rsidP="00F4286E">
      <w:pPr>
        <w:pStyle w:val="Ttulo2"/>
        <w:spacing w:before="240" w:after="240"/>
        <w:rPr>
          <w:rFonts w:ascii="Calibri" w:hAnsi="Calibri" w:cs="Arial"/>
          <w:b/>
          <w:color w:val="auto"/>
          <w:sz w:val="20"/>
          <w:szCs w:val="20"/>
        </w:rPr>
      </w:pPr>
      <w:r w:rsidRPr="00F4286E">
        <w:rPr>
          <w:rFonts w:ascii="Calibri" w:hAnsi="Calibri" w:cs="Arial"/>
          <w:b/>
          <w:color w:val="auto"/>
          <w:sz w:val="20"/>
          <w:szCs w:val="20"/>
        </w:rPr>
        <w:t>Observaciones adicionales:</w:t>
      </w:r>
    </w:p>
    <w:p w:rsidR="009713D8" w:rsidRPr="00F4286E" w:rsidRDefault="00F4286E" w:rsidP="00F4286E">
      <w:pPr>
        <w:spacing w:after="0" w:line="240" w:lineRule="auto"/>
        <w:jc w:val="both"/>
        <w:rPr>
          <w:rFonts w:ascii="Calibri" w:hAnsi="Calibri" w:cs="Arial"/>
          <w:sz w:val="20"/>
          <w:szCs w:val="20"/>
        </w:rPr>
      </w:pPr>
      <w:r w:rsidRPr="00F4286E">
        <w:rPr>
          <w:rFonts w:ascii="Calibri" w:hAnsi="Calibri" w:cs="Arial"/>
          <w:sz w:val="20"/>
          <w:szCs w:val="20"/>
        </w:rPr>
        <w:t>Ninguna</w:t>
      </w:r>
    </w:p>
    <w:sectPr w:rsidR="009713D8" w:rsidRPr="00F4286E" w:rsidSect="004573F4">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28" w:rsidRDefault="002D7128" w:rsidP="00EE2A3C">
      <w:pPr>
        <w:spacing w:after="0" w:line="240" w:lineRule="auto"/>
      </w:pPr>
      <w:r>
        <w:separator/>
      </w:r>
    </w:p>
  </w:endnote>
  <w:endnote w:type="continuationSeparator" w:id="0">
    <w:p w:rsidR="002D7128" w:rsidRDefault="002D7128" w:rsidP="00EE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2A3C" w:rsidRDefault="00EE2A3C" w:rsidP="00EE2A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30EF">
      <w:rPr>
        <w:rStyle w:val="Nmerodepgina"/>
        <w:noProof/>
      </w:rPr>
      <w:t>1</w:t>
    </w:r>
    <w:r>
      <w:rPr>
        <w:rStyle w:val="Nmerodepgina"/>
      </w:rPr>
      <w:fldChar w:fldCharType="end"/>
    </w:r>
  </w:p>
  <w:p w:rsidR="00EE2A3C" w:rsidRDefault="00EE2A3C" w:rsidP="00EE2A3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EF" w:rsidRDefault="00F730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28" w:rsidRDefault="002D7128" w:rsidP="00EE2A3C">
      <w:pPr>
        <w:spacing w:after="0" w:line="240" w:lineRule="auto"/>
      </w:pPr>
      <w:r>
        <w:separator/>
      </w:r>
    </w:p>
  </w:footnote>
  <w:footnote w:type="continuationSeparator" w:id="0">
    <w:p w:rsidR="002D7128" w:rsidRDefault="002D7128" w:rsidP="00EE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EF" w:rsidRDefault="00F730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F9" w:rsidRDefault="00F160F9">
    <w:pPr>
      <w:pStyle w:val="Encabezado"/>
    </w:pPr>
    <w:bookmarkStart w:id="0" w:name="_GoBack"/>
    <w:r>
      <w:rPr>
        <w:noProof/>
        <w:lang w:eastAsia="es-MX"/>
      </w:rPr>
      <w:drawing>
        <wp:inline distT="0" distB="0" distL="0" distR="0" wp14:anchorId="4F750E65" wp14:editId="073440CF">
          <wp:extent cx="3773805" cy="956945"/>
          <wp:effectExtent l="0" t="0" r="0" b="0"/>
          <wp:docPr id="3" name="Imagen 3" descr="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956945"/>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EF" w:rsidRDefault="00F730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C76"/>
    <w:multiLevelType w:val="hybridMultilevel"/>
    <w:tmpl w:val="65667E8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8D57247"/>
    <w:multiLevelType w:val="hybridMultilevel"/>
    <w:tmpl w:val="DEAAD86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 w15:restartNumberingAfterBreak="0">
    <w:nsid w:val="0FFF622B"/>
    <w:multiLevelType w:val="hybridMultilevel"/>
    <w:tmpl w:val="B4189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26059C"/>
    <w:multiLevelType w:val="hybridMultilevel"/>
    <w:tmpl w:val="B30A312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350220B"/>
    <w:multiLevelType w:val="hybridMultilevel"/>
    <w:tmpl w:val="744849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BE1BC7"/>
    <w:multiLevelType w:val="hybridMultilevel"/>
    <w:tmpl w:val="407C3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AB1D07"/>
    <w:multiLevelType w:val="hybridMultilevel"/>
    <w:tmpl w:val="E4425F8E"/>
    <w:lvl w:ilvl="0" w:tplc="6FBACF14">
      <w:start w:val="9"/>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1E48D3"/>
    <w:multiLevelType w:val="hybridMultilevel"/>
    <w:tmpl w:val="BC2A3C5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AD7792C"/>
    <w:multiLevelType w:val="hybridMultilevel"/>
    <w:tmpl w:val="DC9CCB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41794F"/>
    <w:multiLevelType w:val="hybridMultilevel"/>
    <w:tmpl w:val="3CA4B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FE5845"/>
    <w:multiLevelType w:val="hybridMultilevel"/>
    <w:tmpl w:val="5AE0C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1E4461"/>
    <w:multiLevelType w:val="hybridMultilevel"/>
    <w:tmpl w:val="C4FC74A8"/>
    <w:lvl w:ilvl="0" w:tplc="8DCC6CF0">
      <w:start w:val="1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CE0B1A"/>
    <w:multiLevelType w:val="hybridMultilevel"/>
    <w:tmpl w:val="087A8CD0"/>
    <w:lvl w:ilvl="0" w:tplc="0C0A0001">
      <w:start w:val="1"/>
      <w:numFmt w:val="bullet"/>
      <w:lvlText w:val=""/>
      <w:lvlJc w:val="left"/>
      <w:pPr>
        <w:ind w:left="1130" w:hanging="360"/>
      </w:pPr>
      <w:rPr>
        <w:rFonts w:ascii="Symbol" w:hAnsi="Symbol" w:hint="default"/>
      </w:rPr>
    </w:lvl>
    <w:lvl w:ilvl="1" w:tplc="0C0A0003" w:tentative="1">
      <w:start w:val="1"/>
      <w:numFmt w:val="bullet"/>
      <w:lvlText w:val="o"/>
      <w:lvlJc w:val="left"/>
      <w:pPr>
        <w:ind w:left="1850" w:hanging="360"/>
      </w:pPr>
      <w:rPr>
        <w:rFonts w:ascii="Courier New" w:hAnsi="Courier New" w:cs="Courier New" w:hint="default"/>
      </w:rPr>
    </w:lvl>
    <w:lvl w:ilvl="2" w:tplc="0C0A0005" w:tentative="1">
      <w:start w:val="1"/>
      <w:numFmt w:val="bullet"/>
      <w:lvlText w:val=""/>
      <w:lvlJc w:val="left"/>
      <w:pPr>
        <w:ind w:left="2570" w:hanging="360"/>
      </w:pPr>
      <w:rPr>
        <w:rFonts w:ascii="Wingdings" w:hAnsi="Wingdings" w:hint="default"/>
      </w:rPr>
    </w:lvl>
    <w:lvl w:ilvl="3" w:tplc="0C0A0001" w:tentative="1">
      <w:start w:val="1"/>
      <w:numFmt w:val="bullet"/>
      <w:lvlText w:val=""/>
      <w:lvlJc w:val="left"/>
      <w:pPr>
        <w:ind w:left="3290" w:hanging="360"/>
      </w:pPr>
      <w:rPr>
        <w:rFonts w:ascii="Symbol" w:hAnsi="Symbol" w:hint="default"/>
      </w:rPr>
    </w:lvl>
    <w:lvl w:ilvl="4" w:tplc="0C0A0003" w:tentative="1">
      <w:start w:val="1"/>
      <w:numFmt w:val="bullet"/>
      <w:lvlText w:val="o"/>
      <w:lvlJc w:val="left"/>
      <w:pPr>
        <w:ind w:left="4010" w:hanging="360"/>
      </w:pPr>
      <w:rPr>
        <w:rFonts w:ascii="Courier New" w:hAnsi="Courier New" w:cs="Courier New" w:hint="default"/>
      </w:rPr>
    </w:lvl>
    <w:lvl w:ilvl="5" w:tplc="0C0A0005" w:tentative="1">
      <w:start w:val="1"/>
      <w:numFmt w:val="bullet"/>
      <w:lvlText w:val=""/>
      <w:lvlJc w:val="left"/>
      <w:pPr>
        <w:ind w:left="4730" w:hanging="360"/>
      </w:pPr>
      <w:rPr>
        <w:rFonts w:ascii="Wingdings" w:hAnsi="Wingdings" w:hint="default"/>
      </w:rPr>
    </w:lvl>
    <w:lvl w:ilvl="6" w:tplc="0C0A0001" w:tentative="1">
      <w:start w:val="1"/>
      <w:numFmt w:val="bullet"/>
      <w:lvlText w:val=""/>
      <w:lvlJc w:val="left"/>
      <w:pPr>
        <w:ind w:left="5450" w:hanging="360"/>
      </w:pPr>
      <w:rPr>
        <w:rFonts w:ascii="Symbol" w:hAnsi="Symbol" w:hint="default"/>
      </w:rPr>
    </w:lvl>
    <w:lvl w:ilvl="7" w:tplc="0C0A0003" w:tentative="1">
      <w:start w:val="1"/>
      <w:numFmt w:val="bullet"/>
      <w:lvlText w:val="o"/>
      <w:lvlJc w:val="left"/>
      <w:pPr>
        <w:ind w:left="6170" w:hanging="360"/>
      </w:pPr>
      <w:rPr>
        <w:rFonts w:ascii="Courier New" w:hAnsi="Courier New" w:cs="Courier New" w:hint="default"/>
      </w:rPr>
    </w:lvl>
    <w:lvl w:ilvl="8" w:tplc="0C0A0005" w:tentative="1">
      <w:start w:val="1"/>
      <w:numFmt w:val="bullet"/>
      <w:lvlText w:val=""/>
      <w:lvlJc w:val="left"/>
      <w:pPr>
        <w:ind w:left="689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8"/>
  </w:num>
  <w:num w:numId="6">
    <w:abstractNumId w:val="1"/>
  </w:num>
  <w:num w:numId="7">
    <w:abstractNumId w:val="12"/>
  </w:num>
  <w:num w:numId="8">
    <w:abstractNumId w:val="5"/>
  </w:num>
  <w:num w:numId="9">
    <w:abstractNumId w:val="2"/>
  </w:num>
  <w:num w:numId="10">
    <w:abstractNumId w:val="9"/>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A"/>
    <w:rsid w:val="00031BF3"/>
    <w:rsid w:val="0003636A"/>
    <w:rsid w:val="00041D08"/>
    <w:rsid w:val="0009450B"/>
    <w:rsid w:val="000C35B5"/>
    <w:rsid w:val="001A6B12"/>
    <w:rsid w:val="001F3E38"/>
    <w:rsid w:val="001F5C7D"/>
    <w:rsid w:val="002D7128"/>
    <w:rsid w:val="003003CA"/>
    <w:rsid w:val="00313FA9"/>
    <w:rsid w:val="00352D49"/>
    <w:rsid w:val="0036382B"/>
    <w:rsid w:val="00372D78"/>
    <w:rsid w:val="00452A33"/>
    <w:rsid w:val="004573F4"/>
    <w:rsid w:val="00587676"/>
    <w:rsid w:val="0060571D"/>
    <w:rsid w:val="0071460F"/>
    <w:rsid w:val="0073292F"/>
    <w:rsid w:val="007B6E84"/>
    <w:rsid w:val="008F2C1A"/>
    <w:rsid w:val="009713D8"/>
    <w:rsid w:val="009F0B55"/>
    <w:rsid w:val="00B434EA"/>
    <w:rsid w:val="00B4547A"/>
    <w:rsid w:val="00B469C2"/>
    <w:rsid w:val="00BC30ED"/>
    <w:rsid w:val="00C21D85"/>
    <w:rsid w:val="00C404AD"/>
    <w:rsid w:val="00C547E3"/>
    <w:rsid w:val="00D6527C"/>
    <w:rsid w:val="00DB6D99"/>
    <w:rsid w:val="00DD0198"/>
    <w:rsid w:val="00E76267"/>
    <w:rsid w:val="00E865C0"/>
    <w:rsid w:val="00EE2A3C"/>
    <w:rsid w:val="00F024D1"/>
    <w:rsid w:val="00F03E62"/>
    <w:rsid w:val="00F160F9"/>
    <w:rsid w:val="00F4286E"/>
    <w:rsid w:val="00F730EF"/>
    <w:rsid w:val="00F94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41B6F2F-E482-4AFD-8DBB-E5EBB7A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7A"/>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6057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469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47A"/>
    <w:pPr>
      <w:ind w:left="720"/>
      <w:contextualSpacing/>
    </w:pPr>
  </w:style>
  <w:style w:type="character" w:customStyle="1" w:styleId="yshortcuts2">
    <w:name w:val="yshortcuts2"/>
    <w:basedOn w:val="Fuentedeprrafopredeter"/>
    <w:rsid w:val="00B4547A"/>
  </w:style>
  <w:style w:type="character" w:styleId="Hipervnculo">
    <w:name w:val="Hyperlink"/>
    <w:basedOn w:val="Fuentedeprrafopredeter"/>
    <w:uiPriority w:val="99"/>
    <w:unhideWhenUsed/>
    <w:rsid w:val="00B4547A"/>
    <w:rPr>
      <w:color w:val="0000FF" w:themeColor="hyperlink"/>
      <w:u w:val="single"/>
    </w:rPr>
  </w:style>
  <w:style w:type="paragraph" w:styleId="Piedepgina">
    <w:name w:val="footer"/>
    <w:basedOn w:val="Normal"/>
    <w:link w:val="PiedepginaCar"/>
    <w:uiPriority w:val="99"/>
    <w:unhideWhenUsed/>
    <w:rsid w:val="00EE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A3C"/>
    <w:rPr>
      <w:rFonts w:eastAsiaTheme="minorHAnsi"/>
      <w:sz w:val="22"/>
      <w:szCs w:val="22"/>
      <w:lang w:val="es-MX" w:eastAsia="en-US"/>
    </w:rPr>
  </w:style>
  <w:style w:type="character" w:styleId="Nmerodepgina">
    <w:name w:val="page number"/>
    <w:basedOn w:val="Fuentedeprrafopredeter"/>
    <w:uiPriority w:val="99"/>
    <w:semiHidden/>
    <w:unhideWhenUsed/>
    <w:rsid w:val="00EE2A3C"/>
  </w:style>
  <w:style w:type="table" w:styleId="Tablaconcuadrcula">
    <w:name w:val="Table Grid"/>
    <w:basedOn w:val="Tablanormal"/>
    <w:uiPriority w:val="59"/>
    <w:rsid w:val="0045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6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0F9"/>
    <w:rPr>
      <w:rFonts w:eastAsiaTheme="minorHAnsi"/>
      <w:sz w:val="22"/>
      <w:szCs w:val="22"/>
      <w:lang w:val="es-MX" w:eastAsia="en-US"/>
    </w:rPr>
  </w:style>
  <w:style w:type="paragraph" w:styleId="Textodeglobo">
    <w:name w:val="Balloon Text"/>
    <w:basedOn w:val="Normal"/>
    <w:link w:val="TextodegloboCar"/>
    <w:uiPriority w:val="99"/>
    <w:semiHidden/>
    <w:unhideWhenUsed/>
    <w:rsid w:val="00452A3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2A33"/>
    <w:rPr>
      <w:rFonts w:ascii="Lucida Grande" w:eastAsiaTheme="minorHAnsi" w:hAnsi="Lucida Grande" w:cs="Lucida Grande"/>
      <w:sz w:val="18"/>
      <w:szCs w:val="18"/>
      <w:lang w:val="es-MX" w:eastAsia="en-US"/>
    </w:rPr>
  </w:style>
  <w:style w:type="character" w:customStyle="1" w:styleId="Ttulo1Car">
    <w:name w:val="Título 1 Car"/>
    <w:basedOn w:val="Fuentedeprrafopredeter"/>
    <w:link w:val="Ttulo1"/>
    <w:uiPriority w:val="9"/>
    <w:rsid w:val="0060571D"/>
    <w:rPr>
      <w:rFonts w:asciiTheme="majorHAnsi" w:eastAsiaTheme="majorEastAsia" w:hAnsiTheme="majorHAnsi" w:cstheme="majorBidi"/>
      <w:color w:val="365F91" w:themeColor="accent1" w:themeShade="BF"/>
      <w:sz w:val="32"/>
      <w:szCs w:val="32"/>
      <w:lang w:val="es-MX" w:eastAsia="en-US"/>
    </w:rPr>
  </w:style>
  <w:style w:type="character" w:customStyle="1" w:styleId="Ttulo2Car">
    <w:name w:val="Título 2 Car"/>
    <w:basedOn w:val="Fuentedeprrafopredeter"/>
    <w:link w:val="Ttulo2"/>
    <w:uiPriority w:val="9"/>
    <w:rsid w:val="00B469C2"/>
    <w:rPr>
      <w:rFonts w:asciiTheme="majorHAnsi" w:eastAsiaTheme="majorEastAsia" w:hAnsiTheme="majorHAnsi" w:cstheme="majorBidi"/>
      <w:color w:val="365F91" w:themeColor="accent1" w:themeShade="BF"/>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UDLAP</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Luz Alvarez</dc:creator>
  <cp:keywords/>
  <dc:description/>
  <cp:lastModifiedBy>Maria del Consuelo Gonzalez Moreno</cp:lastModifiedBy>
  <cp:revision>5</cp:revision>
  <dcterms:created xsi:type="dcterms:W3CDTF">2016-09-23T15:07:00Z</dcterms:created>
  <dcterms:modified xsi:type="dcterms:W3CDTF">2016-10-11T21:31:00Z</dcterms:modified>
</cp:coreProperties>
</file>