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E2" w:rsidRPr="00CA63E2" w:rsidRDefault="00CA63E2" w:rsidP="00CA63E2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CA63E2">
        <w:rPr>
          <w:rFonts w:ascii="ITC Avant Garde" w:hAnsi="ITC Avant Garde"/>
          <w:b/>
          <w:color w:val="000000" w:themeColor="text1"/>
          <w:sz w:val="25"/>
          <w:szCs w:val="25"/>
        </w:rPr>
        <w:t xml:space="preserve">LISTA DE </w:t>
      </w:r>
      <w:r w:rsidRPr="00CA63E2">
        <w:rPr>
          <w:rFonts w:ascii="ITC Avant Garde" w:hAnsi="ITC Avant Garde"/>
          <w:b/>
          <w:color w:val="000000" w:themeColor="text1"/>
          <w:sz w:val="28"/>
          <w:szCs w:val="28"/>
        </w:rPr>
        <w:t>ASISTENCIA</w:t>
      </w:r>
    </w:p>
    <w:p w:rsidR="00CA63E2" w:rsidRPr="00CA63E2" w:rsidRDefault="00CA63E2" w:rsidP="00CA63E2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CA63E2">
        <w:rPr>
          <w:rFonts w:ascii="ITC Avant Garde" w:hAnsi="ITC Avant Garde"/>
          <w:b/>
          <w:color w:val="000000" w:themeColor="text1"/>
          <w:sz w:val="25"/>
          <w:szCs w:val="25"/>
        </w:rPr>
        <w:t>14 DE ABRIL DE 2015</w:t>
      </w:r>
    </w:p>
    <w:p w:rsidR="00CA63E2" w:rsidRPr="00CA63E2" w:rsidRDefault="00CA63E2" w:rsidP="00CA63E2">
      <w:pPr>
        <w:pStyle w:val="Ttulo2"/>
        <w:rPr>
          <w:rFonts w:ascii="ITC Avant Garde" w:hAnsi="ITC Avant Garde"/>
          <w:b/>
          <w:color w:val="000000" w:themeColor="text1"/>
          <w:sz w:val="28"/>
          <w:szCs w:val="28"/>
        </w:rPr>
      </w:pPr>
      <w:r w:rsidRPr="00CA63E2">
        <w:rPr>
          <w:rFonts w:ascii="ITC Avant Garde" w:hAnsi="ITC Avant Garde"/>
          <w:b/>
          <w:color w:val="000000" w:themeColor="text1"/>
          <w:sz w:val="28"/>
          <w:szCs w:val="28"/>
        </w:rPr>
        <w:t xml:space="preserve">INTEGRANTES </w:t>
      </w:r>
      <w:r w:rsidRPr="00CA63E2">
        <w:rPr>
          <w:rFonts w:ascii="ITC Avant Garde" w:hAnsi="ITC Avant Garde"/>
          <w:b/>
          <w:color w:val="000000" w:themeColor="text1"/>
          <w:sz w:val="25"/>
          <w:szCs w:val="25"/>
        </w:rPr>
        <w:t>DEL</w:t>
      </w:r>
      <w:r w:rsidRPr="00CA63E2">
        <w:rPr>
          <w:rFonts w:ascii="ITC Avant Garde" w:hAnsi="ITC Avant Garde"/>
          <w:b/>
          <w:color w:val="000000" w:themeColor="text1"/>
          <w:sz w:val="28"/>
          <w:szCs w:val="28"/>
        </w:rPr>
        <w:t xml:space="preserve"> CONSEJO CONSULTIVO</w:t>
      </w:r>
    </w:p>
    <w:p w:rsidR="00CA63E2" w:rsidRDefault="00CA63E2" w:rsidP="007B2195">
      <w:pPr>
        <w:rPr>
          <w:rFonts w:ascii="ITC Avant Garde" w:hAnsi="ITC Avant Garde"/>
          <w:b/>
          <w:sz w:val="24"/>
          <w:szCs w:val="24"/>
        </w:rPr>
      </w:pP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Clara Luz Álvarez González de Castilla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 xml:space="preserve">Irma Ávila </w:t>
      </w:r>
      <w:proofErr w:type="spellStart"/>
      <w:r w:rsidRPr="00CA63E2">
        <w:rPr>
          <w:rFonts w:ascii="ITC Avant Garde" w:hAnsi="ITC Avant Garde"/>
          <w:b/>
          <w:sz w:val="28"/>
          <w:szCs w:val="28"/>
        </w:rPr>
        <w:t>Pietrasanta</w:t>
      </w:r>
      <w:proofErr w:type="spellEnd"/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 xml:space="preserve">Carlos Arturo Bello Hernández 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 xml:space="preserve">Aleida </w:t>
      </w:r>
      <w:proofErr w:type="spellStart"/>
      <w:r w:rsidRPr="00CA63E2">
        <w:rPr>
          <w:rFonts w:ascii="ITC Avant Garde" w:hAnsi="ITC Avant Garde"/>
          <w:b/>
          <w:sz w:val="28"/>
          <w:szCs w:val="28"/>
        </w:rPr>
        <w:t>Elsi</w:t>
      </w:r>
      <w:proofErr w:type="spellEnd"/>
      <w:r w:rsidRPr="00CA63E2">
        <w:rPr>
          <w:rFonts w:ascii="ITC Avant Garde" w:hAnsi="ITC Avant Garde"/>
          <w:b/>
          <w:sz w:val="28"/>
          <w:szCs w:val="28"/>
        </w:rPr>
        <w:t xml:space="preserve"> Calleja Gutiérrez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Ernesto M. Flores-</w:t>
      </w:r>
      <w:proofErr w:type="spellStart"/>
      <w:r w:rsidRPr="00CA63E2">
        <w:rPr>
          <w:rFonts w:ascii="ITC Avant Garde" w:hAnsi="ITC Avant Garde"/>
          <w:b/>
          <w:sz w:val="28"/>
          <w:szCs w:val="28"/>
        </w:rPr>
        <w:t>Roux</w:t>
      </w:r>
      <w:proofErr w:type="spellEnd"/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Gerardo Francisco González Abarca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lastRenderedPageBreak/>
        <w:t>Santiago Gutiérrez Fernández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Erick Huerta Velázquez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 xml:space="preserve">Salma Leticia </w:t>
      </w:r>
      <w:proofErr w:type="spellStart"/>
      <w:r w:rsidRPr="00CA63E2">
        <w:rPr>
          <w:rFonts w:ascii="ITC Avant Garde" w:hAnsi="ITC Avant Garde"/>
          <w:b/>
          <w:sz w:val="28"/>
          <w:szCs w:val="28"/>
        </w:rPr>
        <w:t>Jalife</w:t>
      </w:r>
      <w:proofErr w:type="spellEnd"/>
      <w:r w:rsidRPr="00CA63E2">
        <w:rPr>
          <w:rFonts w:ascii="ITC Avant Garde" w:hAnsi="ITC Avant Garde"/>
          <w:b/>
          <w:sz w:val="28"/>
          <w:szCs w:val="28"/>
        </w:rPr>
        <w:t xml:space="preserve"> Villalón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 xml:space="preserve">Irene Levy </w:t>
      </w:r>
      <w:proofErr w:type="spellStart"/>
      <w:r w:rsidRPr="00CA63E2">
        <w:rPr>
          <w:rFonts w:ascii="ITC Avant Garde" w:hAnsi="ITC Avant Garde"/>
          <w:b/>
          <w:sz w:val="28"/>
          <w:szCs w:val="28"/>
        </w:rPr>
        <w:t>Mustri</w:t>
      </w:r>
      <w:proofErr w:type="spellEnd"/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Elisa V. Mariscal Medina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Consejera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Luis Miguel Martínez Cervantes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Carlos Alejandro Merchán Escalante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lastRenderedPageBreak/>
        <w:t>Carlos Ponce Beltrán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Carlos Manuel Urzúa Macías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Consejero</w:t>
      </w:r>
    </w:p>
    <w:p w:rsidR="007B2195" w:rsidRPr="00CA63E2" w:rsidRDefault="007B2195" w:rsidP="00CA63E2">
      <w:pPr>
        <w:spacing w:after="0" w:line="600" w:lineRule="auto"/>
        <w:rPr>
          <w:rFonts w:ascii="ITC Avant Garde" w:hAnsi="ITC Avant Garde"/>
          <w:b/>
          <w:sz w:val="28"/>
          <w:szCs w:val="28"/>
        </w:rPr>
      </w:pPr>
      <w:r w:rsidRPr="00CA63E2">
        <w:rPr>
          <w:rFonts w:ascii="ITC Avant Garde" w:hAnsi="ITC Avant Garde"/>
          <w:b/>
          <w:sz w:val="28"/>
          <w:szCs w:val="28"/>
        </w:rPr>
        <w:t>Yaratzet Funes López</w:t>
      </w:r>
    </w:p>
    <w:p w:rsidR="007736ED" w:rsidRPr="00CA63E2" w:rsidRDefault="007B2195" w:rsidP="00CA63E2">
      <w:pPr>
        <w:spacing w:after="0" w:line="600" w:lineRule="auto"/>
        <w:rPr>
          <w:rFonts w:ascii="ITC Avant Garde" w:hAnsi="ITC Avant Garde"/>
          <w:sz w:val="28"/>
          <w:szCs w:val="28"/>
        </w:rPr>
      </w:pPr>
      <w:r w:rsidRPr="00CA63E2">
        <w:rPr>
          <w:rFonts w:ascii="ITC Avant Garde" w:hAnsi="ITC Avant Garde"/>
          <w:sz w:val="28"/>
          <w:szCs w:val="28"/>
        </w:rPr>
        <w:t>Prosecretaria Técnica del Pleno</w:t>
      </w:r>
    </w:p>
    <w:sectPr w:rsidR="007736ED" w:rsidRPr="00CA63E2" w:rsidSect="00245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2B" w:rsidRDefault="00682B2B" w:rsidP="00E7283F">
      <w:pPr>
        <w:spacing w:after="0" w:line="240" w:lineRule="auto"/>
      </w:pPr>
      <w:r>
        <w:separator/>
      </w:r>
    </w:p>
  </w:endnote>
  <w:endnote w:type="continuationSeparator" w:id="0">
    <w:p w:rsidR="00682B2B" w:rsidRDefault="00682B2B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E2" w:rsidRDefault="00CA63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E2" w:rsidRDefault="00CA63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E2" w:rsidRDefault="00CA63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2B" w:rsidRDefault="00682B2B" w:rsidP="00E7283F">
      <w:pPr>
        <w:spacing w:after="0" w:line="240" w:lineRule="auto"/>
      </w:pPr>
      <w:r>
        <w:separator/>
      </w:r>
    </w:p>
  </w:footnote>
  <w:footnote w:type="continuationSeparator" w:id="0">
    <w:p w:rsidR="00682B2B" w:rsidRDefault="00682B2B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82B2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95" w:rsidRDefault="001E72B6" w:rsidP="007B2195">
    <w:pPr>
      <w:pStyle w:val="Encabezado"/>
      <w:ind w:left="4678" w:right="-2284"/>
      <w:rPr>
        <w:rFonts w:ascii="ITC Avant Garde" w:hAnsi="ITC Avant Garde"/>
        <w:b/>
        <w:i/>
        <w:sz w:val="25"/>
        <w:szCs w:val="25"/>
      </w:rPr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3" name="Imagen 3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82B2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A0407"/>
    <w:rsid w:val="001E72B6"/>
    <w:rsid w:val="00231AC0"/>
    <w:rsid w:val="00397A30"/>
    <w:rsid w:val="00440762"/>
    <w:rsid w:val="0064401D"/>
    <w:rsid w:val="00682B2B"/>
    <w:rsid w:val="007736ED"/>
    <w:rsid w:val="007B2195"/>
    <w:rsid w:val="009731C0"/>
    <w:rsid w:val="009E5754"/>
    <w:rsid w:val="00CA63E2"/>
    <w:rsid w:val="00D368C5"/>
    <w:rsid w:val="00D866FC"/>
    <w:rsid w:val="00E06244"/>
    <w:rsid w:val="00E7283F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A6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6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A6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A6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3</cp:revision>
  <cp:lastPrinted>2015-02-10T01:03:00Z</cp:lastPrinted>
  <dcterms:created xsi:type="dcterms:W3CDTF">2016-09-23T19:16:00Z</dcterms:created>
  <dcterms:modified xsi:type="dcterms:W3CDTF">2016-10-11T23:45:00Z</dcterms:modified>
</cp:coreProperties>
</file>