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71" w:rsidRPr="003327CC" w:rsidRDefault="0025668C" w:rsidP="003327CC">
      <w:pPr>
        <w:pStyle w:val="Ttulo1"/>
        <w:jc w:val="both"/>
        <w:rPr>
          <w:b/>
          <w:color w:val="auto"/>
          <w:sz w:val="24"/>
          <w:szCs w:val="24"/>
          <w:lang w:val="es-ES"/>
        </w:rPr>
      </w:pPr>
      <w:r w:rsidRPr="003327CC">
        <w:rPr>
          <w:b/>
          <w:color w:val="auto"/>
          <w:sz w:val="24"/>
          <w:szCs w:val="24"/>
          <w:lang w:val="es-ES"/>
        </w:rPr>
        <w:t>RECOMENDACIÓN DEL CONSEJO CONSULTIVO DEL INSTITUTO FEDERAL DE TELECOMUNICACIONES SOBRE LA REVISIÓN DE LA PREPONDERANCIA DE LOS AEP EN LOS SECTORES DE TELECOMUNICACIONES Y RADIODIFUSIÓN.</w:t>
      </w:r>
    </w:p>
    <w:p w:rsidR="0025668C" w:rsidRPr="0025668C" w:rsidRDefault="0025668C" w:rsidP="0025668C">
      <w:pPr>
        <w:jc w:val="both"/>
        <w:rPr>
          <w:color w:val="0D0D0D" w:themeColor="text1" w:themeTint="F2"/>
          <w:lang w:val="es-ES"/>
        </w:rPr>
      </w:pPr>
    </w:p>
    <w:p w:rsidR="00362E10" w:rsidRDefault="00362E10" w:rsidP="0025668C">
      <w:pPr>
        <w:pStyle w:val="Ttulo2"/>
        <w:spacing w:before="0" w:after="120"/>
        <w:jc w:val="both"/>
        <w:rPr>
          <w:rFonts w:asciiTheme="minorHAnsi" w:hAnsiTheme="minorHAnsi"/>
          <w:color w:val="0D0D0D" w:themeColor="text1" w:themeTint="F2"/>
          <w:sz w:val="24"/>
          <w:szCs w:val="24"/>
          <w:u w:val="single"/>
          <w:lang w:val="es-ES"/>
        </w:rPr>
      </w:pPr>
      <w:r w:rsidRPr="0025668C">
        <w:rPr>
          <w:rFonts w:asciiTheme="minorHAnsi" w:hAnsiTheme="minorHAnsi"/>
          <w:color w:val="0D0D0D" w:themeColor="text1" w:themeTint="F2"/>
          <w:sz w:val="24"/>
          <w:szCs w:val="24"/>
          <w:u w:val="single"/>
          <w:lang w:val="es-ES"/>
        </w:rPr>
        <w:t>Resumen</w:t>
      </w:r>
      <w:r w:rsidR="0025668C" w:rsidRPr="0025668C">
        <w:rPr>
          <w:rFonts w:asciiTheme="minorHAnsi" w:hAnsiTheme="minorHAnsi"/>
          <w:color w:val="0D0D0D" w:themeColor="text1" w:themeTint="F2"/>
          <w:sz w:val="24"/>
          <w:szCs w:val="24"/>
          <w:u w:val="single"/>
          <w:lang w:val="es-ES"/>
        </w:rPr>
        <w:t>:</w:t>
      </w:r>
      <w:bookmarkStart w:id="0" w:name="_GoBack"/>
      <w:bookmarkEnd w:id="0"/>
    </w:p>
    <w:p w:rsidR="00206E73" w:rsidRPr="0025668C" w:rsidRDefault="00206E73" w:rsidP="0025668C">
      <w:pPr>
        <w:pStyle w:val="Prrafodelista"/>
        <w:numPr>
          <w:ilvl w:val="0"/>
          <w:numId w:val="1"/>
        </w:numPr>
        <w:spacing w:after="120"/>
        <w:jc w:val="both"/>
        <w:rPr>
          <w:bCs/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 xml:space="preserve">De acuerdo con el mandato constitucional </w:t>
      </w:r>
      <w:r w:rsidR="00874A01" w:rsidRPr="0025668C">
        <w:rPr>
          <w:color w:val="0D0D0D" w:themeColor="text1" w:themeTint="F2"/>
          <w:lang w:val="es-ES"/>
        </w:rPr>
        <w:t xml:space="preserve">(Octavo Transitorio del </w:t>
      </w:r>
      <w:r w:rsidR="00874A01" w:rsidRPr="0025668C">
        <w:rPr>
          <w:bCs/>
          <w:color w:val="0D0D0D" w:themeColor="text1" w:themeTint="F2"/>
          <w:lang w:val="es-ES"/>
        </w:rPr>
        <w:t>DECRETO por el que se reforman y adicionan diversas disposiciones de los artículos 6o., 7o., 27, 28, 73, 78, 94 y 105 de la Constitución Política de los Estados Unidos Mexicanos, en materia de telecomunicaciones del 11 de junio de 2013) y del TÍTULO DÉCIMO SEGUNDO De la Regulación Asimétrica Capítulo I</w:t>
      </w:r>
      <w:r w:rsidR="0068552D" w:rsidRPr="0025668C">
        <w:rPr>
          <w:bCs/>
          <w:color w:val="0D0D0D" w:themeColor="text1" w:themeTint="F2"/>
          <w:lang w:val="es-ES"/>
        </w:rPr>
        <w:t xml:space="preserve">, </w:t>
      </w:r>
      <w:r w:rsidR="00874A01" w:rsidRPr="0025668C">
        <w:rPr>
          <w:bCs/>
          <w:color w:val="0D0D0D" w:themeColor="text1" w:themeTint="F2"/>
          <w:lang w:val="es-ES"/>
        </w:rPr>
        <w:t>De la Preponderancia</w:t>
      </w:r>
      <w:r w:rsidR="00874A01" w:rsidRPr="0025668C">
        <w:rPr>
          <w:b/>
          <w:bCs/>
          <w:color w:val="0D0D0D" w:themeColor="text1" w:themeTint="F2"/>
          <w:lang w:val="es-ES"/>
        </w:rPr>
        <w:t xml:space="preserve"> </w:t>
      </w:r>
      <w:r w:rsidR="00874A01" w:rsidRPr="0025668C">
        <w:rPr>
          <w:color w:val="0D0D0D" w:themeColor="text1" w:themeTint="F2"/>
          <w:lang w:val="es-ES"/>
        </w:rPr>
        <w:t>de la Ley Federal de Telecomunicaciones y Radiodifusión del 14 de julio de 2014 (</w:t>
      </w:r>
      <w:proofErr w:type="spellStart"/>
      <w:r w:rsidRPr="0025668C">
        <w:rPr>
          <w:color w:val="0D0D0D" w:themeColor="text1" w:themeTint="F2"/>
          <w:lang w:val="es-ES"/>
        </w:rPr>
        <w:t>LFTyR</w:t>
      </w:r>
      <w:proofErr w:type="spellEnd"/>
      <w:r w:rsidR="00874A01" w:rsidRPr="0025668C">
        <w:rPr>
          <w:color w:val="0D0D0D" w:themeColor="text1" w:themeTint="F2"/>
          <w:lang w:val="es-ES"/>
        </w:rPr>
        <w:t>)</w:t>
      </w:r>
      <w:r w:rsidRPr="0025668C">
        <w:rPr>
          <w:color w:val="0D0D0D" w:themeColor="text1" w:themeTint="F2"/>
          <w:lang w:val="es-ES"/>
        </w:rPr>
        <w:t>,</w:t>
      </w:r>
      <w:r w:rsidR="00FC2E7F" w:rsidRPr="0025668C">
        <w:rPr>
          <w:color w:val="0D0D0D" w:themeColor="text1" w:themeTint="F2"/>
          <w:lang w:val="es-ES"/>
        </w:rPr>
        <w:t xml:space="preserve"> </w:t>
      </w:r>
      <w:r w:rsidR="0068552D" w:rsidRPr="0025668C">
        <w:rPr>
          <w:color w:val="0D0D0D" w:themeColor="text1" w:themeTint="F2"/>
          <w:lang w:val="es-ES"/>
        </w:rPr>
        <w:t>de la Declaratoria de agente económico preponderante en el sector de telecomunicaciones (P/IFT/EXT/060314/76</w:t>
      </w:r>
      <w:r w:rsidR="00FC2E7F" w:rsidRPr="0025668C">
        <w:rPr>
          <w:color w:val="0D0D0D" w:themeColor="text1" w:themeTint="F2"/>
          <w:lang w:val="es-ES"/>
        </w:rPr>
        <w:t>) del 6 de marzo de 2014 y de la Declaratoria de agente económico preponderante en el sector de radiodifusión (P/IFT/EXCT(060314/77) del 6 de marzo de 2014,</w:t>
      </w:r>
      <w:r w:rsidRPr="0025668C">
        <w:rPr>
          <w:color w:val="0D0D0D" w:themeColor="text1" w:themeTint="F2"/>
          <w:lang w:val="es-ES"/>
        </w:rPr>
        <w:t xml:space="preserve"> el </w:t>
      </w:r>
      <w:r w:rsidR="00874A01" w:rsidRPr="0025668C">
        <w:rPr>
          <w:color w:val="0D0D0D" w:themeColor="text1" w:themeTint="F2"/>
          <w:lang w:val="es-ES"/>
        </w:rPr>
        <w:t>Instituto Federal de Telecomunicaciones (</w:t>
      </w:r>
      <w:r w:rsidRPr="0025668C">
        <w:rPr>
          <w:color w:val="0D0D0D" w:themeColor="text1" w:themeTint="F2"/>
          <w:lang w:val="es-ES"/>
        </w:rPr>
        <w:t>IFT</w:t>
      </w:r>
      <w:r w:rsidR="005C5E6B" w:rsidRPr="0025668C">
        <w:rPr>
          <w:color w:val="0D0D0D" w:themeColor="text1" w:themeTint="F2"/>
          <w:lang w:val="es-ES"/>
        </w:rPr>
        <w:t xml:space="preserve"> o Instituto</w:t>
      </w:r>
      <w:r w:rsidR="00874A01" w:rsidRPr="0025668C">
        <w:rPr>
          <w:color w:val="0D0D0D" w:themeColor="text1" w:themeTint="F2"/>
          <w:lang w:val="es-ES"/>
        </w:rPr>
        <w:t>)</w:t>
      </w:r>
      <w:r w:rsidRPr="0025668C">
        <w:rPr>
          <w:color w:val="0D0D0D" w:themeColor="text1" w:themeTint="F2"/>
          <w:lang w:val="es-ES"/>
        </w:rPr>
        <w:t xml:space="preserve"> deberá revisar el resultado de la aplicación de medidas asimétrica</w:t>
      </w:r>
      <w:r w:rsidR="00FC2E7F" w:rsidRPr="0025668C">
        <w:rPr>
          <w:color w:val="0D0D0D" w:themeColor="text1" w:themeTint="F2"/>
          <w:lang w:val="es-ES"/>
        </w:rPr>
        <w:t>s</w:t>
      </w:r>
      <w:r w:rsidRPr="0025668C">
        <w:rPr>
          <w:color w:val="0D0D0D" w:themeColor="text1" w:themeTint="F2"/>
          <w:lang w:val="es-ES"/>
        </w:rPr>
        <w:t xml:space="preserve"> en marzo de 2016. </w:t>
      </w:r>
    </w:p>
    <w:p w:rsidR="002014CD" w:rsidRPr="0025668C" w:rsidRDefault="00206E73" w:rsidP="0025668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>Siguiendo las mejores prácticas internacionales, e</w:t>
      </w:r>
      <w:r w:rsidR="00C85BDB" w:rsidRPr="0025668C">
        <w:rPr>
          <w:color w:val="0D0D0D" w:themeColor="text1" w:themeTint="F2"/>
          <w:lang w:val="es-ES"/>
        </w:rPr>
        <w:t xml:space="preserve">s opinión de este Consejo Consultivo que dicha </w:t>
      </w:r>
      <w:r w:rsidRPr="0025668C">
        <w:rPr>
          <w:color w:val="0D0D0D" w:themeColor="text1" w:themeTint="F2"/>
          <w:lang w:val="es-ES"/>
        </w:rPr>
        <w:t>revisión deb</w:t>
      </w:r>
      <w:r w:rsidR="00C85BDB" w:rsidRPr="0025668C">
        <w:rPr>
          <w:color w:val="0D0D0D" w:themeColor="text1" w:themeTint="F2"/>
          <w:lang w:val="es-ES"/>
        </w:rPr>
        <w:t>ería</w:t>
      </w:r>
      <w:r w:rsidRPr="0025668C">
        <w:rPr>
          <w:color w:val="0D0D0D" w:themeColor="text1" w:themeTint="F2"/>
          <w:lang w:val="es-ES"/>
        </w:rPr>
        <w:t xml:space="preserve"> tomar en cuenta</w:t>
      </w:r>
      <w:r w:rsidR="00C85BDB" w:rsidRPr="0025668C">
        <w:rPr>
          <w:color w:val="0D0D0D" w:themeColor="text1" w:themeTint="F2"/>
          <w:lang w:val="es-ES"/>
        </w:rPr>
        <w:t>, como mínimo,</w:t>
      </w:r>
      <w:r w:rsidR="00F001F4" w:rsidRPr="0025668C">
        <w:rPr>
          <w:color w:val="0D0D0D" w:themeColor="text1" w:themeTint="F2"/>
          <w:lang w:val="es-ES"/>
        </w:rPr>
        <w:t xml:space="preserve"> los siguientes elementos:</w:t>
      </w:r>
    </w:p>
    <w:p w:rsidR="00206E73" w:rsidRPr="0025668C" w:rsidRDefault="00F001F4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i/>
          <w:color w:val="0D0D0D" w:themeColor="text1" w:themeTint="F2"/>
          <w:lang w:val="es-ES"/>
        </w:rPr>
        <w:t>Revisión de mercados</w:t>
      </w:r>
      <w:r w:rsidRPr="0025668C">
        <w:rPr>
          <w:color w:val="0D0D0D" w:themeColor="text1" w:themeTint="F2"/>
          <w:lang w:val="es-ES"/>
        </w:rPr>
        <w:t xml:space="preserve">: </w:t>
      </w:r>
      <w:r w:rsidR="00A23FEF" w:rsidRPr="0025668C">
        <w:rPr>
          <w:color w:val="0D0D0D" w:themeColor="text1" w:themeTint="F2"/>
          <w:lang w:val="es-ES"/>
        </w:rPr>
        <w:t xml:space="preserve">Examinar </w:t>
      </w:r>
      <w:r w:rsidR="003E5D1F" w:rsidRPr="0025668C">
        <w:rPr>
          <w:color w:val="0D0D0D" w:themeColor="text1" w:themeTint="F2"/>
          <w:lang w:val="es-ES"/>
        </w:rPr>
        <w:t>e</w:t>
      </w:r>
      <w:r w:rsidR="00206E73" w:rsidRPr="0025668C">
        <w:rPr>
          <w:color w:val="0D0D0D" w:themeColor="text1" w:themeTint="F2"/>
          <w:lang w:val="es-ES"/>
        </w:rPr>
        <w:t xml:space="preserve">l estado </w:t>
      </w:r>
      <w:r w:rsidRPr="0025668C">
        <w:rPr>
          <w:color w:val="0D0D0D" w:themeColor="text1" w:themeTint="F2"/>
          <w:lang w:val="es-ES"/>
        </w:rPr>
        <w:t xml:space="preserve">actual </w:t>
      </w:r>
      <w:r w:rsidR="00206E73" w:rsidRPr="0025668C">
        <w:rPr>
          <w:color w:val="0D0D0D" w:themeColor="text1" w:themeTint="F2"/>
          <w:lang w:val="es-ES"/>
        </w:rPr>
        <w:t>de los mercados en donde se han aplicado estas medidas</w:t>
      </w:r>
      <w:r w:rsidRPr="0025668C">
        <w:rPr>
          <w:color w:val="0D0D0D" w:themeColor="text1" w:themeTint="F2"/>
          <w:lang w:val="es-ES"/>
        </w:rPr>
        <w:t>.</w:t>
      </w:r>
    </w:p>
    <w:p w:rsidR="00206E73" w:rsidRPr="0025668C" w:rsidRDefault="00F001F4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i/>
          <w:color w:val="0D0D0D" w:themeColor="text1" w:themeTint="F2"/>
          <w:lang w:val="es-ES"/>
        </w:rPr>
        <w:t>Revisión de políticas</w:t>
      </w:r>
      <w:r w:rsidR="003E5D1F" w:rsidRPr="0025668C">
        <w:rPr>
          <w:i/>
          <w:color w:val="0D0D0D" w:themeColor="text1" w:themeTint="F2"/>
          <w:lang w:val="es-ES"/>
        </w:rPr>
        <w:t xml:space="preserve"> y medidas asimétricas</w:t>
      </w:r>
      <w:r w:rsidRPr="0025668C">
        <w:rPr>
          <w:color w:val="0D0D0D" w:themeColor="text1" w:themeTint="F2"/>
          <w:lang w:val="es-ES"/>
        </w:rPr>
        <w:t xml:space="preserve">: </w:t>
      </w:r>
      <w:r w:rsidR="00A23FEF" w:rsidRPr="0025668C">
        <w:rPr>
          <w:color w:val="0D0D0D" w:themeColor="text1" w:themeTint="F2"/>
          <w:lang w:val="es-ES"/>
        </w:rPr>
        <w:t>Examinar</w:t>
      </w:r>
      <w:r w:rsidR="00130B22" w:rsidRPr="0025668C">
        <w:rPr>
          <w:color w:val="0D0D0D" w:themeColor="text1" w:themeTint="F2"/>
          <w:lang w:val="es-ES"/>
        </w:rPr>
        <w:t xml:space="preserve"> la</w:t>
      </w:r>
      <w:r w:rsidR="00A23FEF" w:rsidRPr="0025668C">
        <w:rPr>
          <w:color w:val="0D0D0D" w:themeColor="text1" w:themeTint="F2"/>
          <w:lang w:val="es-ES"/>
        </w:rPr>
        <w:t>s</w:t>
      </w:r>
      <w:r w:rsidR="00130B22" w:rsidRPr="0025668C">
        <w:rPr>
          <w:color w:val="0D0D0D" w:themeColor="text1" w:themeTint="F2"/>
          <w:lang w:val="es-ES"/>
        </w:rPr>
        <w:t xml:space="preserve"> </w:t>
      </w:r>
      <w:r w:rsidR="00206E73" w:rsidRPr="0025668C">
        <w:rPr>
          <w:color w:val="0D0D0D" w:themeColor="text1" w:themeTint="F2"/>
          <w:lang w:val="es-ES"/>
        </w:rPr>
        <w:t xml:space="preserve">políticas </w:t>
      </w:r>
      <w:r w:rsidR="003E5D1F" w:rsidRPr="0025668C">
        <w:rPr>
          <w:color w:val="0D0D0D" w:themeColor="text1" w:themeTint="F2"/>
          <w:lang w:val="es-ES"/>
        </w:rPr>
        <w:t xml:space="preserve">y medidas asimétricas </w:t>
      </w:r>
      <w:r w:rsidR="00206E73" w:rsidRPr="0025668C">
        <w:rPr>
          <w:color w:val="0D0D0D" w:themeColor="text1" w:themeTint="F2"/>
          <w:lang w:val="es-ES"/>
        </w:rPr>
        <w:t xml:space="preserve">que </w:t>
      </w:r>
      <w:r w:rsidRPr="0025668C">
        <w:rPr>
          <w:color w:val="0D0D0D" w:themeColor="text1" w:themeTint="F2"/>
          <w:lang w:val="es-ES"/>
        </w:rPr>
        <w:t xml:space="preserve">hasta ahora </w:t>
      </w:r>
      <w:r w:rsidR="00206E73" w:rsidRPr="0025668C">
        <w:rPr>
          <w:color w:val="0D0D0D" w:themeColor="text1" w:themeTint="F2"/>
          <w:lang w:val="es-ES"/>
        </w:rPr>
        <w:t xml:space="preserve">se están llevando a cabo en </w:t>
      </w:r>
      <w:r w:rsidRPr="0025668C">
        <w:rPr>
          <w:color w:val="0D0D0D" w:themeColor="text1" w:themeTint="F2"/>
          <w:lang w:val="es-ES"/>
        </w:rPr>
        <w:t xml:space="preserve">los diferentes </w:t>
      </w:r>
      <w:r w:rsidR="00206E73" w:rsidRPr="0025668C">
        <w:rPr>
          <w:color w:val="0D0D0D" w:themeColor="text1" w:themeTint="F2"/>
          <w:lang w:val="es-ES"/>
        </w:rPr>
        <w:t>mercados</w:t>
      </w:r>
      <w:r w:rsidR="00A23FEF" w:rsidRPr="0025668C">
        <w:rPr>
          <w:color w:val="0D0D0D" w:themeColor="text1" w:themeTint="F2"/>
          <w:lang w:val="es-ES"/>
        </w:rPr>
        <w:t>, estableciendo cuál</w:t>
      </w:r>
      <w:r w:rsidR="0019299E" w:rsidRPr="0025668C">
        <w:rPr>
          <w:color w:val="0D0D0D" w:themeColor="text1" w:themeTint="F2"/>
          <w:lang w:val="es-ES"/>
        </w:rPr>
        <w:t>es</w:t>
      </w:r>
      <w:r w:rsidR="00A23FEF" w:rsidRPr="0025668C">
        <w:rPr>
          <w:color w:val="0D0D0D" w:themeColor="text1" w:themeTint="F2"/>
          <w:lang w:val="es-ES"/>
        </w:rPr>
        <w:t xml:space="preserve"> ha</w:t>
      </w:r>
      <w:r w:rsidR="00C85BDB" w:rsidRPr="0025668C">
        <w:rPr>
          <w:color w:val="0D0D0D" w:themeColor="text1" w:themeTint="F2"/>
          <w:lang w:val="es-ES"/>
        </w:rPr>
        <w:t>n</w:t>
      </w:r>
      <w:r w:rsidR="00A23FEF" w:rsidRPr="0025668C">
        <w:rPr>
          <w:color w:val="0D0D0D" w:themeColor="text1" w:themeTint="F2"/>
          <w:lang w:val="es-ES"/>
        </w:rPr>
        <w:t xml:space="preserve"> sido sus objetivos específicos y </w:t>
      </w:r>
      <w:r w:rsidR="0019299E" w:rsidRPr="0025668C">
        <w:rPr>
          <w:color w:val="0D0D0D" w:themeColor="text1" w:themeTint="F2"/>
          <w:lang w:val="es-ES"/>
        </w:rPr>
        <w:t xml:space="preserve">su </w:t>
      </w:r>
      <w:r w:rsidR="00A23FEF" w:rsidRPr="0025668C">
        <w:rPr>
          <w:color w:val="0D0D0D" w:themeColor="text1" w:themeTint="F2"/>
          <w:lang w:val="es-ES"/>
        </w:rPr>
        <w:t xml:space="preserve">efectividad en alcanzar condiciones de competencia efectiva en </w:t>
      </w:r>
      <w:r w:rsidR="005C5E6B" w:rsidRPr="0025668C">
        <w:rPr>
          <w:color w:val="0D0D0D" w:themeColor="text1" w:themeTint="F2"/>
          <w:lang w:val="es-ES"/>
        </w:rPr>
        <w:t xml:space="preserve">los </w:t>
      </w:r>
      <w:r w:rsidR="00A23FEF" w:rsidRPr="0025668C">
        <w:rPr>
          <w:color w:val="0D0D0D" w:themeColor="text1" w:themeTint="F2"/>
          <w:lang w:val="es-ES"/>
        </w:rPr>
        <w:t>sector</w:t>
      </w:r>
      <w:r w:rsidR="005C5E6B" w:rsidRPr="0025668C">
        <w:rPr>
          <w:color w:val="0D0D0D" w:themeColor="text1" w:themeTint="F2"/>
          <w:lang w:val="es-ES"/>
        </w:rPr>
        <w:t>es</w:t>
      </w:r>
      <w:r w:rsidR="00A23FEF" w:rsidRPr="0025668C">
        <w:rPr>
          <w:color w:val="0D0D0D" w:themeColor="text1" w:themeTint="F2"/>
          <w:lang w:val="es-ES"/>
        </w:rPr>
        <w:t xml:space="preserve"> de las telecomunicaciones</w:t>
      </w:r>
      <w:r w:rsidR="005C5E6B" w:rsidRPr="0025668C">
        <w:rPr>
          <w:color w:val="0D0D0D" w:themeColor="text1" w:themeTint="F2"/>
          <w:lang w:val="es-ES"/>
        </w:rPr>
        <w:t xml:space="preserve"> y de radiodifusión</w:t>
      </w:r>
      <w:r w:rsidRPr="0025668C">
        <w:rPr>
          <w:color w:val="0D0D0D" w:themeColor="text1" w:themeTint="F2"/>
          <w:lang w:val="es-ES"/>
        </w:rPr>
        <w:t>.</w:t>
      </w:r>
    </w:p>
    <w:p w:rsidR="00F001F4" w:rsidRPr="0025668C" w:rsidRDefault="00F001F4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i/>
          <w:color w:val="0D0D0D" w:themeColor="text1" w:themeTint="F2"/>
          <w:lang w:val="es-ES"/>
        </w:rPr>
        <w:t>Exhaustividad de políticas</w:t>
      </w:r>
      <w:r w:rsidR="003E5D1F" w:rsidRPr="0025668C">
        <w:rPr>
          <w:i/>
          <w:color w:val="0D0D0D" w:themeColor="text1" w:themeTint="F2"/>
          <w:lang w:val="es-ES"/>
        </w:rPr>
        <w:t xml:space="preserve"> y medidas asimétricas</w:t>
      </w:r>
      <w:r w:rsidRPr="0025668C">
        <w:rPr>
          <w:color w:val="0D0D0D" w:themeColor="text1" w:themeTint="F2"/>
          <w:lang w:val="es-ES"/>
        </w:rPr>
        <w:t xml:space="preserve">: </w:t>
      </w:r>
      <w:r w:rsidR="003E5D1F" w:rsidRPr="0025668C">
        <w:rPr>
          <w:color w:val="0D0D0D" w:themeColor="text1" w:themeTint="F2"/>
          <w:lang w:val="es-ES"/>
        </w:rPr>
        <w:t xml:space="preserve">Examinar </w:t>
      </w:r>
      <w:r w:rsidR="0019299E" w:rsidRPr="0025668C">
        <w:rPr>
          <w:color w:val="0D0D0D" w:themeColor="text1" w:themeTint="F2"/>
          <w:lang w:val="es-ES"/>
        </w:rPr>
        <w:t>en qué medida e</w:t>
      </w:r>
      <w:r w:rsidRPr="0025668C">
        <w:rPr>
          <w:color w:val="0D0D0D" w:themeColor="text1" w:themeTint="F2"/>
          <w:lang w:val="es-ES"/>
        </w:rPr>
        <w:t xml:space="preserve">stas políticas </w:t>
      </w:r>
      <w:r w:rsidR="003E5D1F" w:rsidRPr="0025668C">
        <w:rPr>
          <w:color w:val="0D0D0D" w:themeColor="text1" w:themeTint="F2"/>
          <w:lang w:val="es-ES"/>
        </w:rPr>
        <w:t xml:space="preserve">y medidas asimétricas </w:t>
      </w:r>
      <w:r w:rsidRPr="0025668C">
        <w:rPr>
          <w:color w:val="0D0D0D" w:themeColor="text1" w:themeTint="F2"/>
          <w:lang w:val="es-ES"/>
        </w:rPr>
        <w:t xml:space="preserve">se han aplicado en todos los mercados que requieren de regulación para asegurar que se alcance una competencia efectiva en </w:t>
      </w:r>
      <w:r w:rsidR="005C5E6B" w:rsidRPr="0025668C">
        <w:rPr>
          <w:color w:val="0D0D0D" w:themeColor="text1" w:themeTint="F2"/>
          <w:lang w:val="es-ES"/>
        </w:rPr>
        <w:t>los</w:t>
      </w:r>
      <w:r w:rsidRPr="0025668C">
        <w:rPr>
          <w:color w:val="0D0D0D" w:themeColor="text1" w:themeTint="F2"/>
          <w:lang w:val="es-ES"/>
        </w:rPr>
        <w:t xml:space="preserve"> sector</w:t>
      </w:r>
      <w:r w:rsidR="005C5E6B" w:rsidRPr="0025668C">
        <w:rPr>
          <w:color w:val="0D0D0D" w:themeColor="text1" w:themeTint="F2"/>
          <w:lang w:val="es-ES"/>
        </w:rPr>
        <w:t>es</w:t>
      </w:r>
      <w:r w:rsidRPr="0025668C">
        <w:rPr>
          <w:color w:val="0D0D0D" w:themeColor="text1" w:themeTint="F2"/>
          <w:lang w:val="es-ES"/>
        </w:rPr>
        <w:t xml:space="preserve"> de las telecomunicaciones</w:t>
      </w:r>
      <w:r w:rsidR="005C5E6B" w:rsidRPr="0025668C">
        <w:rPr>
          <w:color w:val="0D0D0D" w:themeColor="text1" w:themeTint="F2"/>
          <w:lang w:val="es-ES"/>
        </w:rPr>
        <w:t xml:space="preserve"> y de radiodifusión</w:t>
      </w:r>
      <w:r w:rsidRPr="0025668C">
        <w:rPr>
          <w:color w:val="0D0D0D" w:themeColor="text1" w:themeTint="F2"/>
          <w:lang w:val="es-ES"/>
        </w:rPr>
        <w:t>.</w:t>
      </w:r>
    </w:p>
    <w:p w:rsidR="0019299E" w:rsidRPr="0025668C" w:rsidRDefault="0019299E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i/>
          <w:color w:val="0D0D0D" w:themeColor="text1" w:themeTint="F2"/>
          <w:lang w:val="es-ES"/>
        </w:rPr>
        <w:t xml:space="preserve">Ajuste </w:t>
      </w:r>
      <w:r w:rsidR="00861BCB" w:rsidRPr="0025668C">
        <w:rPr>
          <w:i/>
          <w:color w:val="0D0D0D" w:themeColor="text1" w:themeTint="F2"/>
          <w:lang w:val="es-ES"/>
        </w:rPr>
        <w:t>de</w:t>
      </w:r>
      <w:r w:rsidRPr="0025668C">
        <w:rPr>
          <w:i/>
          <w:color w:val="0D0D0D" w:themeColor="text1" w:themeTint="F2"/>
          <w:lang w:val="es-ES"/>
        </w:rPr>
        <w:t xml:space="preserve"> políticas y medidas asimétricas</w:t>
      </w:r>
      <w:r w:rsidRPr="0025668C">
        <w:rPr>
          <w:color w:val="0D0D0D" w:themeColor="text1" w:themeTint="F2"/>
          <w:lang w:val="es-ES"/>
        </w:rPr>
        <w:t>: Con base en los resultados alcanzado</w:t>
      </w:r>
      <w:r w:rsidR="00C85BDB" w:rsidRPr="0025668C">
        <w:rPr>
          <w:color w:val="0D0D0D" w:themeColor="text1" w:themeTint="F2"/>
          <w:lang w:val="es-ES"/>
        </w:rPr>
        <w:t>s</w:t>
      </w:r>
      <w:r w:rsidRPr="0025668C">
        <w:rPr>
          <w:color w:val="0D0D0D" w:themeColor="text1" w:themeTint="F2"/>
          <w:lang w:val="es-ES"/>
        </w:rPr>
        <w:t xml:space="preserve"> en materia de competencia efectiva en cada uno de los mercados analizados, </w:t>
      </w:r>
      <w:r w:rsidR="00E05FA7" w:rsidRPr="0025668C">
        <w:rPr>
          <w:color w:val="0D0D0D" w:themeColor="text1" w:themeTint="F2"/>
          <w:lang w:val="es-ES"/>
        </w:rPr>
        <w:t>aj</w:t>
      </w:r>
      <w:r w:rsidR="00C85BDB" w:rsidRPr="0025668C">
        <w:rPr>
          <w:color w:val="0D0D0D" w:themeColor="text1" w:themeTint="F2"/>
          <w:lang w:val="es-ES"/>
        </w:rPr>
        <w:t xml:space="preserve">ustar el grado de las medidas </w:t>
      </w:r>
      <w:r w:rsidR="00E05FA7" w:rsidRPr="0025668C">
        <w:rPr>
          <w:color w:val="0D0D0D" w:themeColor="text1" w:themeTint="F2"/>
          <w:lang w:val="es-ES"/>
        </w:rPr>
        <w:t xml:space="preserve">o </w:t>
      </w:r>
      <w:r w:rsidR="00861BCB" w:rsidRPr="0025668C">
        <w:rPr>
          <w:color w:val="0D0D0D" w:themeColor="text1" w:themeTint="F2"/>
          <w:lang w:val="es-ES"/>
        </w:rPr>
        <w:t xml:space="preserve">establecer </w:t>
      </w:r>
      <w:r w:rsidR="007E00FB" w:rsidRPr="0025668C">
        <w:rPr>
          <w:color w:val="0D0D0D" w:themeColor="text1" w:themeTint="F2"/>
          <w:lang w:val="es-ES"/>
        </w:rPr>
        <w:t xml:space="preserve">medidas adicionales </w:t>
      </w:r>
      <w:r w:rsidR="00E05FA7" w:rsidRPr="0025668C">
        <w:rPr>
          <w:color w:val="0D0D0D" w:themeColor="text1" w:themeTint="F2"/>
          <w:lang w:val="es-ES"/>
        </w:rPr>
        <w:t xml:space="preserve">de regulación y competencia. </w:t>
      </w:r>
    </w:p>
    <w:p w:rsidR="0025668C" w:rsidRPr="003327CC" w:rsidRDefault="00F001F4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i/>
          <w:color w:val="0D0D0D" w:themeColor="text1" w:themeTint="F2"/>
          <w:lang w:val="es-ES"/>
        </w:rPr>
        <w:t>Cumplimiento</w:t>
      </w:r>
      <w:r w:rsidR="00130B22" w:rsidRPr="0025668C">
        <w:rPr>
          <w:i/>
          <w:color w:val="0D0D0D" w:themeColor="text1" w:themeTint="F2"/>
          <w:lang w:val="es-ES"/>
        </w:rPr>
        <w:t xml:space="preserve"> de las medidas</w:t>
      </w:r>
      <w:r w:rsidRPr="0025668C">
        <w:rPr>
          <w:color w:val="0D0D0D" w:themeColor="text1" w:themeTint="F2"/>
          <w:lang w:val="es-ES"/>
        </w:rPr>
        <w:t xml:space="preserve">: </w:t>
      </w:r>
      <w:r w:rsidR="003E5D1F" w:rsidRPr="0025668C">
        <w:rPr>
          <w:color w:val="0D0D0D" w:themeColor="text1" w:themeTint="F2"/>
          <w:lang w:val="es-ES"/>
        </w:rPr>
        <w:t>F</w:t>
      </w:r>
      <w:r w:rsidR="00206E73" w:rsidRPr="0025668C">
        <w:rPr>
          <w:color w:val="0D0D0D" w:themeColor="text1" w:themeTint="F2"/>
          <w:lang w:val="es-ES"/>
        </w:rPr>
        <w:t xml:space="preserve">inalmente, reportar acerca del cumplimiento que lleva a cabo el </w:t>
      </w:r>
      <w:r w:rsidR="00C85BDB" w:rsidRPr="0025668C">
        <w:rPr>
          <w:color w:val="0D0D0D" w:themeColor="text1" w:themeTint="F2"/>
          <w:lang w:val="es-ES"/>
        </w:rPr>
        <w:t>Agente Económico Preponderante (AEP)</w:t>
      </w:r>
      <w:r w:rsidR="00206E73" w:rsidRPr="0025668C">
        <w:rPr>
          <w:color w:val="0D0D0D" w:themeColor="text1" w:themeTint="F2"/>
          <w:lang w:val="es-ES"/>
        </w:rPr>
        <w:t xml:space="preserve"> en seguir estas medidas. Este último punto, sin embargo, no forma parte de la revisión sobre la efectividad en la aplicación de las políticas regulatorias aplicadas al </w:t>
      </w:r>
      <w:r w:rsidR="00C85BDB" w:rsidRPr="0025668C">
        <w:rPr>
          <w:color w:val="0D0D0D" w:themeColor="text1" w:themeTint="F2"/>
          <w:lang w:val="es-ES"/>
        </w:rPr>
        <w:t>AEP</w:t>
      </w:r>
      <w:r w:rsidR="00206E73" w:rsidRPr="0025668C">
        <w:rPr>
          <w:color w:val="0D0D0D" w:themeColor="text1" w:themeTint="F2"/>
          <w:lang w:val="es-ES"/>
        </w:rPr>
        <w:t xml:space="preserve"> encaminadas a fomentar y alcanzar la competencia efectiva en los diferentes mercados en donde se ha aplicado la regulación asimétrica.</w:t>
      </w:r>
    </w:p>
    <w:p w:rsidR="00362E10" w:rsidRDefault="00362E10" w:rsidP="0025668C">
      <w:pPr>
        <w:pStyle w:val="Ttulo2"/>
        <w:spacing w:before="0" w:after="120"/>
        <w:jc w:val="both"/>
        <w:rPr>
          <w:rFonts w:asciiTheme="minorHAnsi" w:hAnsiTheme="minorHAnsi"/>
          <w:color w:val="0D0D0D" w:themeColor="text1" w:themeTint="F2"/>
          <w:sz w:val="24"/>
          <w:szCs w:val="24"/>
          <w:u w:val="single"/>
          <w:lang w:val="es-ES"/>
        </w:rPr>
      </w:pPr>
      <w:r w:rsidRPr="0025668C">
        <w:rPr>
          <w:rFonts w:asciiTheme="minorHAnsi" w:hAnsiTheme="minorHAnsi"/>
          <w:color w:val="0D0D0D" w:themeColor="text1" w:themeTint="F2"/>
          <w:sz w:val="24"/>
          <w:szCs w:val="24"/>
          <w:u w:val="single"/>
          <w:lang w:val="es-ES"/>
        </w:rPr>
        <w:lastRenderedPageBreak/>
        <w:t>Argumentación</w:t>
      </w:r>
      <w:r w:rsidR="0025668C" w:rsidRPr="0025668C">
        <w:rPr>
          <w:rFonts w:asciiTheme="minorHAnsi" w:hAnsiTheme="minorHAnsi"/>
          <w:color w:val="0D0D0D" w:themeColor="text1" w:themeTint="F2"/>
          <w:sz w:val="24"/>
          <w:szCs w:val="24"/>
          <w:u w:val="single"/>
          <w:lang w:val="es-ES"/>
        </w:rPr>
        <w:t>:</w:t>
      </w:r>
    </w:p>
    <w:p w:rsidR="008943F5" w:rsidRPr="0025668C" w:rsidRDefault="00C85BDB" w:rsidP="0025668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>E</w:t>
      </w:r>
      <w:r w:rsidR="00206E73" w:rsidRPr="0025668C">
        <w:rPr>
          <w:color w:val="0D0D0D" w:themeColor="text1" w:themeTint="F2"/>
          <w:lang w:val="es-ES"/>
        </w:rPr>
        <w:t xml:space="preserve">ste </w:t>
      </w:r>
      <w:r w:rsidRPr="0025668C">
        <w:rPr>
          <w:color w:val="0D0D0D" w:themeColor="text1" w:themeTint="F2"/>
          <w:lang w:val="es-ES"/>
        </w:rPr>
        <w:t>C</w:t>
      </w:r>
      <w:r w:rsidR="00206E73" w:rsidRPr="0025668C">
        <w:rPr>
          <w:color w:val="0D0D0D" w:themeColor="text1" w:themeTint="F2"/>
          <w:lang w:val="es-ES"/>
        </w:rPr>
        <w:t xml:space="preserve">onsejo </w:t>
      </w:r>
      <w:r w:rsidRPr="0025668C">
        <w:rPr>
          <w:color w:val="0D0D0D" w:themeColor="text1" w:themeTint="F2"/>
          <w:lang w:val="es-ES"/>
        </w:rPr>
        <w:t xml:space="preserve">Consultivo </w:t>
      </w:r>
      <w:r w:rsidR="00206E73" w:rsidRPr="0025668C">
        <w:rPr>
          <w:color w:val="0D0D0D" w:themeColor="text1" w:themeTint="F2"/>
          <w:lang w:val="es-ES"/>
        </w:rPr>
        <w:t>consi</w:t>
      </w:r>
      <w:r w:rsidR="008943F5" w:rsidRPr="0025668C">
        <w:rPr>
          <w:color w:val="0D0D0D" w:themeColor="text1" w:themeTint="F2"/>
          <w:lang w:val="es-ES"/>
        </w:rPr>
        <w:t>d</w:t>
      </w:r>
      <w:r w:rsidR="00206E73" w:rsidRPr="0025668C">
        <w:rPr>
          <w:color w:val="0D0D0D" w:themeColor="text1" w:themeTint="F2"/>
          <w:lang w:val="es-ES"/>
        </w:rPr>
        <w:t xml:space="preserve">era que </w:t>
      </w:r>
      <w:r w:rsidR="008943F5" w:rsidRPr="0025668C">
        <w:rPr>
          <w:color w:val="0D0D0D" w:themeColor="text1" w:themeTint="F2"/>
          <w:lang w:val="es-ES"/>
        </w:rPr>
        <w:t>la revisión de la aplicación</w:t>
      </w:r>
      <w:r w:rsidRPr="0025668C">
        <w:rPr>
          <w:color w:val="0D0D0D" w:themeColor="text1" w:themeTint="F2"/>
          <w:lang w:val="es-ES"/>
        </w:rPr>
        <w:t xml:space="preserve"> de medidas asimétricas implica</w:t>
      </w:r>
      <w:r w:rsidR="008943F5" w:rsidRPr="0025668C">
        <w:rPr>
          <w:color w:val="0D0D0D" w:themeColor="text1" w:themeTint="F2"/>
          <w:lang w:val="es-ES"/>
        </w:rPr>
        <w:t xml:space="preserve"> el análisis de </w:t>
      </w:r>
      <w:r w:rsidR="00206E73" w:rsidRPr="0025668C">
        <w:rPr>
          <w:color w:val="0D0D0D" w:themeColor="text1" w:themeTint="F2"/>
          <w:lang w:val="es-ES"/>
        </w:rPr>
        <w:t>ciertos temas técnicos</w:t>
      </w:r>
      <w:r w:rsidR="008943F5" w:rsidRPr="0025668C">
        <w:rPr>
          <w:color w:val="0D0D0D" w:themeColor="text1" w:themeTint="F2"/>
          <w:lang w:val="es-ES"/>
        </w:rPr>
        <w:t>, los cuales</w:t>
      </w:r>
      <w:r w:rsidR="00206E73" w:rsidRPr="0025668C">
        <w:rPr>
          <w:color w:val="0D0D0D" w:themeColor="text1" w:themeTint="F2"/>
          <w:lang w:val="es-ES"/>
        </w:rPr>
        <w:t xml:space="preserve"> requieren de clarificación </w:t>
      </w:r>
      <w:r w:rsidR="008943F5" w:rsidRPr="0025668C">
        <w:rPr>
          <w:color w:val="0D0D0D" w:themeColor="text1" w:themeTint="F2"/>
          <w:lang w:val="es-ES"/>
        </w:rPr>
        <w:t>por parte del Instituto</w:t>
      </w:r>
      <w:r w:rsidR="00A23FEF" w:rsidRPr="0025668C">
        <w:rPr>
          <w:color w:val="0D0D0D" w:themeColor="text1" w:themeTint="F2"/>
          <w:lang w:val="es-ES"/>
        </w:rPr>
        <w:t xml:space="preserve"> en cuanto a sus objetivos, alcance y efectividad</w:t>
      </w:r>
      <w:r w:rsidR="003E5D1F" w:rsidRPr="0025668C">
        <w:rPr>
          <w:color w:val="0D0D0D" w:themeColor="text1" w:themeTint="F2"/>
          <w:lang w:val="es-ES"/>
        </w:rPr>
        <w:t>.</w:t>
      </w:r>
    </w:p>
    <w:p w:rsidR="008943F5" w:rsidRPr="0025668C" w:rsidRDefault="00224F31" w:rsidP="0025668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>C</w:t>
      </w:r>
      <w:r w:rsidR="00F001F4" w:rsidRPr="0025668C">
        <w:rPr>
          <w:color w:val="0D0D0D" w:themeColor="text1" w:themeTint="F2"/>
          <w:lang w:val="es-ES"/>
        </w:rPr>
        <w:t xml:space="preserve">on el propósito de revisar </w:t>
      </w:r>
      <w:r w:rsidR="008943F5" w:rsidRPr="0025668C">
        <w:rPr>
          <w:color w:val="0D0D0D" w:themeColor="text1" w:themeTint="F2"/>
          <w:lang w:val="es-ES"/>
        </w:rPr>
        <w:t xml:space="preserve">la efectividad </w:t>
      </w:r>
      <w:r w:rsidR="00206E73" w:rsidRPr="0025668C">
        <w:rPr>
          <w:color w:val="0D0D0D" w:themeColor="text1" w:themeTint="F2"/>
          <w:lang w:val="es-ES"/>
        </w:rPr>
        <w:t>de las medidas asimétricas impuestas al AEP</w:t>
      </w:r>
      <w:r w:rsidR="00C85BDB" w:rsidRPr="0025668C">
        <w:rPr>
          <w:color w:val="0D0D0D" w:themeColor="text1" w:themeTint="F2"/>
          <w:lang w:val="es-ES"/>
        </w:rPr>
        <w:t xml:space="preserve"> </w:t>
      </w:r>
      <w:r w:rsidR="00F001F4" w:rsidRPr="0025668C">
        <w:rPr>
          <w:color w:val="0D0D0D" w:themeColor="text1" w:themeTint="F2"/>
          <w:lang w:val="es-ES"/>
        </w:rPr>
        <w:t>—</w:t>
      </w:r>
      <w:r w:rsidR="008943F5" w:rsidRPr="0025668C">
        <w:rPr>
          <w:color w:val="0D0D0D" w:themeColor="text1" w:themeTint="F2"/>
          <w:lang w:val="es-ES"/>
        </w:rPr>
        <w:t>ya</w:t>
      </w:r>
      <w:r w:rsidR="00F001F4" w:rsidRPr="0025668C">
        <w:rPr>
          <w:color w:val="0D0D0D" w:themeColor="text1" w:themeTint="F2"/>
          <w:lang w:val="es-ES"/>
        </w:rPr>
        <w:t xml:space="preserve"> </w:t>
      </w:r>
      <w:r w:rsidR="008943F5" w:rsidRPr="0025668C">
        <w:rPr>
          <w:color w:val="0D0D0D" w:themeColor="text1" w:themeTint="F2"/>
          <w:lang w:val="es-ES"/>
        </w:rPr>
        <w:t xml:space="preserve">sea su </w:t>
      </w:r>
      <w:r w:rsidR="00206E73" w:rsidRPr="0025668C">
        <w:rPr>
          <w:color w:val="0D0D0D" w:themeColor="text1" w:themeTint="F2"/>
          <w:lang w:val="es-ES"/>
        </w:rPr>
        <w:t>profundización</w:t>
      </w:r>
      <w:r w:rsidR="008943F5" w:rsidRPr="0025668C">
        <w:rPr>
          <w:color w:val="0D0D0D" w:themeColor="text1" w:themeTint="F2"/>
          <w:lang w:val="es-ES"/>
        </w:rPr>
        <w:t>,</w:t>
      </w:r>
      <w:r w:rsidR="00206E73" w:rsidRPr="0025668C">
        <w:rPr>
          <w:color w:val="0D0D0D" w:themeColor="text1" w:themeTint="F2"/>
          <w:lang w:val="es-ES"/>
        </w:rPr>
        <w:t xml:space="preserve"> </w:t>
      </w:r>
      <w:r w:rsidR="00C85BDB" w:rsidRPr="0025668C">
        <w:rPr>
          <w:color w:val="0D0D0D" w:themeColor="text1" w:themeTint="F2"/>
          <w:lang w:val="es-ES"/>
        </w:rPr>
        <w:t xml:space="preserve">su </w:t>
      </w:r>
      <w:r w:rsidR="00206E73" w:rsidRPr="0025668C">
        <w:rPr>
          <w:color w:val="0D0D0D" w:themeColor="text1" w:themeTint="F2"/>
          <w:lang w:val="es-ES"/>
        </w:rPr>
        <w:t xml:space="preserve">eventual reducción o </w:t>
      </w:r>
      <w:r w:rsidR="00C85BDB" w:rsidRPr="0025668C">
        <w:rPr>
          <w:color w:val="0D0D0D" w:themeColor="text1" w:themeTint="F2"/>
          <w:lang w:val="es-ES"/>
        </w:rPr>
        <w:t xml:space="preserve">su </w:t>
      </w:r>
      <w:r w:rsidR="00206E73" w:rsidRPr="0025668C">
        <w:rPr>
          <w:color w:val="0D0D0D" w:themeColor="text1" w:themeTint="F2"/>
          <w:lang w:val="es-ES"/>
        </w:rPr>
        <w:t xml:space="preserve">levantamiento cuando se </w:t>
      </w:r>
      <w:r w:rsidR="00C85BDB" w:rsidRPr="0025668C">
        <w:rPr>
          <w:color w:val="0D0D0D" w:themeColor="text1" w:themeTint="F2"/>
          <w:lang w:val="es-ES"/>
        </w:rPr>
        <w:t xml:space="preserve">considere que se ha </w:t>
      </w:r>
      <w:r w:rsidR="00206E73" w:rsidRPr="0025668C">
        <w:rPr>
          <w:color w:val="0D0D0D" w:themeColor="text1" w:themeTint="F2"/>
          <w:lang w:val="es-ES"/>
        </w:rPr>
        <w:t>alcan</w:t>
      </w:r>
      <w:r w:rsidR="00C85BDB" w:rsidRPr="0025668C">
        <w:rPr>
          <w:color w:val="0D0D0D" w:themeColor="text1" w:themeTint="F2"/>
          <w:lang w:val="es-ES"/>
        </w:rPr>
        <w:t>zado</w:t>
      </w:r>
      <w:r w:rsidR="00206E73" w:rsidRPr="0025668C">
        <w:rPr>
          <w:color w:val="0D0D0D" w:themeColor="text1" w:themeTint="F2"/>
          <w:lang w:val="es-ES"/>
        </w:rPr>
        <w:t xml:space="preserve"> la competencia efectiva en los mercados afectados</w:t>
      </w:r>
      <w:r w:rsidR="00F001F4" w:rsidRPr="0025668C">
        <w:rPr>
          <w:color w:val="0D0D0D" w:themeColor="text1" w:themeTint="F2"/>
          <w:lang w:val="es-ES"/>
        </w:rPr>
        <w:t>—</w:t>
      </w:r>
      <w:r w:rsidR="00C85BDB" w:rsidRPr="0025668C">
        <w:rPr>
          <w:color w:val="0D0D0D" w:themeColor="text1" w:themeTint="F2"/>
          <w:lang w:val="es-ES"/>
        </w:rPr>
        <w:t xml:space="preserve"> </w:t>
      </w:r>
      <w:r w:rsidRPr="0025668C">
        <w:rPr>
          <w:color w:val="0D0D0D" w:themeColor="text1" w:themeTint="F2"/>
          <w:lang w:val="es-ES"/>
        </w:rPr>
        <w:t xml:space="preserve">es necesario contar con </w:t>
      </w:r>
      <w:r w:rsidR="008943F5" w:rsidRPr="0025668C">
        <w:rPr>
          <w:color w:val="0D0D0D" w:themeColor="text1" w:themeTint="F2"/>
          <w:lang w:val="es-ES"/>
        </w:rPr>
        <w:t xml:space="preserve">una base </w:t>
      </w:r>
      <w:r w:rsidR="00362E10" w:rsidRPr="0025668C">
        <w:rPr>
          <w:color w:val="0D0D0D" w:themeColor="text1" w:themeTint="F2"/>
          <w:lang w:val="es-ES"/>
        </w:rPr>
        <w:t xml:space="preserve">conocida, </w:t>
      </w:r>
      <w:r w:rsidR="008943F5" w:rsidRPr="0025668C">
        <w:rPr>
          <w:color w:val="0D0D0D" w:themeColor="text1" w:themeTint="F2"/>
          <w:lang w:val="es-ES"/>
        </w:rPr>
        <w:t>transparente, clara</w:t>
      </w:r>
      <w:r w:rsidR="00362E10" w:rsidRPr="0025668C">
        <w:rPr>
          <w:color w:val="0D0D0D" w:themeColor="text1" w:themeTint="F2"/>
          <w:lang w:val="es-ES"/>
        </w:rPr>
        <w:t xml:space="preserve"> y técnicamente refutable o acatable por todos los agentes económicos en los mercados de que se trate</w:t>
      </w:r>
      <w:r w:rsidR="00F001F4" w:rsidRPr="0025668C">
        <w:rPr>
          <w:color w:val="0D0D0D" w:themeColor="text1" w:themeTint="F2"/>
          <w:lang w:val="es-ES"/>
        </w:rPr>
        <w:t xml:space="preserve">, </w:t>
      </w:r>
      <w:r w:rsidR="00362E10" w:rsidRPr="0025668C">
        <w:rPr>
          <w:color w:val="0D0D0D" w:themeColor="text1" w:themeTint="F2"/>
          <w:lang w:val="es-ES"/>
        </w:rPr>
        <w:t>todos ellos, parte de</w:t>
      </w:r>
      <w:r w:rsidR="005C5E6B" w:rsidRPr="0025668C">
        <w:rPr>
          <w:color w:val="0D0D0D" w:themeColor="text1" w:themeTint="F2"/>
          <w:lang w:val="es-ES"/>
        </w:rPr>
        <w:t xml:space="preserve"> </w:t>
      </w:r>
      <w:r w:rsidR="00362E10" w:rsidRPr="0025668C">
        <w:rPr>
          <w:color w:val="0D0D0D" w:themeColor="text1" w:themeTint="F2"/>
          <w:lang w:val="es-ES"/>
        </w:rPr>
        <w:t>l</w:t>
      </w:r>
      <w:r w:rsidR="005C5E6B" w:rsidRPr="0025668C">
        <w:rPr>
          <w:color w:val="0D0D0D" w:themeColor="text1" w:themeTint="F2"/>
          <w:lang w:val="es-ES"/>
        </w:rPr>
        <w:t>os</w:t>
      </w:r>
      <w:r w:rsidR="00362E10" w:rsidRPr="0025668C">
        <w:rPr>
          <w:color w:val="0D0D0D" w:themeColor="text1" w:themeTint="F2"/>
          <w:lang w:val="es-ES"/>
        </w:rPr>
        <w:t xml:space="preserve"> sector</w:t>
      </w:r>
      <w:r w:rsidR="005C5E6B" w:rsidRPr="0025668C">
        <w:rPr>
          <w:color w:val="0D0D0D" w:themeColor="text1" w:themeTint="F2"/>
          <w:lang w:val="es-ES"/>
        </w:rPr>
        <w:t>es</w:t>
      </w:r>
      <w:r w:rsidR="00362E10" w:rsidRPr="0025668C">
        <w:rPr>
          <w:color w:val="0D0D0D" w:themeColor="text1" w:themeTint="F2"/>
          <w:lang w:val="es-ES"/>
        </w:rPr>
        <w:t xml:space="preserve"> de telecomunicaciones</w:t>
      </w:r>
      <w:r w:rsidR="005C5E6B" w:rsidRPr="0025668C">
        <w:rPr>
          <w:color w:val="0D0D0D" w:themeColor="text1" w:themeTint="F2"/>
          <w:lang w:val="es-ES"/>
        </w:rPr>
        <w:t xml:space="preserve"> y radiodifusión</w:t>
      </w:r>
      <w:r w:rsidR="00362E10" w:rsidRPr="0025668C">
        <w:rPr>
          <w:color w:val="0D0D0D" w:themeColor="text1" w:themeTint="F2"/>
          <w:lang w:val="es-ES"/>
        </w:rPr>
        <w:t>.</w:t>
      </w:r>
    </w:p>
    <w:p w:rsidR="00224F31" w:rsidRPr="0025668C" w:rsidRDefault="00224F31" w:rsidP="0025668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 xml:space="preserve">A continuación se exponen áreas que requieren de aclaraciones que pudieran surgir a partir de un diálogo entre el IFT y otros agentes, ya sean sus regulados, expertos en el tema, el poder judicial, el público en general, </w:t>
      </w:r>
      <w:r w:rsidR="00C85BDB" w:rsidRPr="0025668C">
        <w:rPr>
          <w:color w:val="0D0D0D" w:themeColor="text1" w:themeTint="F2"/>
          <w:lang w:val="es-ES"/>
        </w:rPr>
        <w:t>entre otros</w:t>
      </w:r>
      <w:r w:rsidRPr="0025668C">
        <w:rPr>
          <w:color w:val="0D0D0D" w:themeColor="text1" w:themeTint="F2"/>
          <w:lang w:val="es-ES"/>
        </w:rPr>
        <w:t>.</w:t>
      </w:r>
      <w:r w:rsidR="00A70C0A" w:rsidRPr="0025668C">
        <w:rPr>
          <w:rStyle w:val="Refdenotaalpie"/>
          <w:color w:val="0D0D0D" w:themeColor="text1" w:themeTint="F2"/>
          <w:lang w:val="es-ES"/>
        </w:rPr>
        <w:footnoteReference w:id="1"/>
      </w:r>
    </w:p>
    <w:p w:rsidR="00AF6652" w:rsidRPr="0025668C" w:rsidRDefault="00A70C0A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i/>
          <w:color w:val="0D0D0D" w:themeColor="text1" w:themeTint="F2"/>
          <w:lang w:val="es-ES"/>
        </w:rPr>
        <w:t>Determinación de preponderancia</w:t>
      </w:r>
      <w:r w:rsidRPr="0025668C">
        <w:rPr>
          <w:color w:val="0D0D0D" w:themeColor="text1" w:themeTint="F2"/>
          <w:lang w:val="es-ES"/>
        </w:rPr>
        <w:t xml:space="preserve">: </w:t>
      </w:r>
      <w:r w:rsidR="00AF6652" w:rsidRPr="0025668C">
        <w:rPr>
          <w:color w:val="0D0D0D" w:themeColor="text1" w:themeTint="F2"/>
          <w:lang w:val="es-ES"/>
        </w:rPr>
        <w:t xml:space="preserve">La determinación de un </w:t>
      </w:r>
      <w:r w:rsidR="00C85BDB" w:rsidRPr="0025668C">
        <w:rPr>
          <w:color w:val="0D0D0D" w:themeColor="text1" w:themeTint="F2"/>
          <w:lang w:val="es-ES"/>
        </w:rPr>
        <w:t>AEP</w:t>
      </w:r>
      <w:r w:rsidR="00AF6652" w:rsidRPr="0025668C">
        <w:rPr>
          <w:color w:val="0D0D0D" w:themeColor="text1" w:themeTint="F2"/>
          <w:lang w:val="es-ES"/>
        </w:rPr>
        <w:t>, conforme al mandato constitucional, por sector de acuerdo a una métrica de participación de mercado por arriba del 50%</w:t>
      </w:r>
      <w:r w:rsidR="00874A01" w:rsidRPr="0025668C">
        <w:rPr>
          <w:color w:val="0D0D0D" w:themeColor="text1" w:themeTint="F2"/>
          <w:lang w:val="es-ES"/>
        </w:rPr>
        <w:t>.</w:t>
      </w:r>
    </w:p>
    <w:p w:rsidR="00AF6652" w:rsidRPr="0025668C" w:rsidRDefault="00A70C0A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i/>
          <w:color w:val="0D0D0D" w:themeColor="text1" w:themeTint="F2"/>
          <w:lang w:val="es-ES"/>
        </w:rPr>
        <w:t>Imposición de medidas</w:t>
      </w:r>
      <w:r w:rsidRPr="0025668C">
        <w:rPr>
          <w:color w:val="0D0D0D" w:themeColor="text1" w:themeTint="F2"/>
          <w:lang w:val="es-ES"/>
        </w:rPr>
        <w:t xml:space="preserve">: </w:t>
      </w:r>
      <w:r w:rsidR="00AF6652" w:rsidRPr="0025668C">
        <w:rPr>
          <w:color w:val="0D0D0D" w:themeColor="text1" w:themeTint="F2"/>
          <w:lang w:val="es-ES"/>
        </w:rPr>
        <w:t xml:space="preserve">La imposición de medidas regulatorias asimétricas a este AEP a raíz de la determinación, conforme a la </w:t>
      </w:r>
      <w:proofErr w:type="spellStart"/>
      <w:r w:rsidR="00AF6652" w:rsidRPr="0025668C">
        <w:rPr>
          <w:color w:val="0D0D0D" w:themeColor="text1" w:themeTint="F2"/>
          <w:lang w:val="es-ES"/>
        </w:rPr>
        <w:t>LFTyR</w:t>
      </w:r>
      <w:proofErr w:type="spellEnd"/>
      <w:r w:rsidR="00874A01" w:rsidRPr="0025668C">
        <w:rPr>
          <w:color w:val="0D0D0D" w:themeColor="text1" w:themeTint="F2"/>
          <w:lang w:val="es-ES"/>
        </w:rPr>
        <w:t>.</w:t>
      </w:r>
    </w:p>
    <w:p w:rsidR="00366C97" w:rsidRPr="0025668C" w:rsidRDefault="00A70C0A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i/>
          <w:color w:val="0D0D0D" w:themeColor="text1" w:themeTint="F2"/>
          <w:lang w:val="es-ES"/>
        </w:rPr>
        <w:t xml:space="preserve">Determinación de </w:t>
      </w:r>
      <w:r w:rsidR="00C85BDB" w:rsidRPr="0025668C">
        <w:rPr>
          <w:i/>
          <w:color w:val="0D0D0D" w:themeColor="text1" w:themeTint="F2"/>
          <w:lang w:val="es-ES"/>
        </w:rPr>
        <w:t>c</w:t>
      </w:r>
      <w:r w:rsidRPr="0025668C">
        <w:rPr>
          <w:i/>
          <w:color w:val="0D0D0D" w:themeColor="text1" w:themeTint="F2"/>
          <w:lang w:val="es-ES"/>
        </w:rPr>
        <w:t xml:space="preserve">ompetencia </w:t>
      </w:r>
      <w:r w:rsidR="00C85BDB" w:rsidRPr="0025668C">
        <w:rPr>
          <w:i/>
          <w:color w:val="0D0D0D" w:themeColor="text1" w:themeTint="F2"/>
          <w:lang w:val="es-ES"/>
        </w:rPr>
        <w:t>e</w:t>
      </w:r>
      <w:r w:rsidRPr="0025668C">
        <w:rPr>
          <w:i/>
          <w:color w:val="0D0D0D" w:themeColor="text1" w:themeTint="F2"/>
          <w:lang w:val="es-ES"/>
        </w:rPr>
        <w:t>fectiva</w:t>
      </w:r>
      <w:r w:rsidRPr="0025668C">
        <w:rPr>
          <w:color w:val="0D0D0D" w:themeColor="text1" w:themeTint="F2"/>
          <w:lang w:val="es-ES"/>
        </w:rPr>
        <w:t xml:space="preserve">: </w:t>
      </w:r>
      <w:r w:rsidR="00AF6652" w:rsidRPr="0025668C">
        <w:rPr>
          <w:color w:val="0D0D0D" w:themeColor="text1" w:themeTint="F2"/>
          <w:lang w:val="es-ES"/>
        </w:rPr>
        <w:t xml:space="preserve">La evaluación de la efectividad de estas </w:t>
      </w:r>
      <w:r w:rsidR="00366C97" w:rsidRPr="0025668C">
        <w:rPr>
          <w:color w:val="0D0D0D" w:themeColor="text1" w:themeTint="F2"/>
          <w:lang w:val="es-ES"/>
        </w:rPr>
        <w:t>medidas de acuerdo al concepto de “competencia efectiva” definido en la LFCE como análogo a poder sustancial de mercado (artículo 96) y por tanto</w:t>
      </w:r>
      <w:r w:rsidR="00C85BDB" w:rsidRPr="0025668C">
        <w:rPr>
          <w:color w:val="0D0D0D" w:themeColor="text1" w:themeTint="F2"/>
          <w:lang w:val="es-ES"/>
        </w:rPr>
        <w:t xml:space="preserve"> </w:t>
      </w:r>
      <w:r w:rsidR="00366C97" w:rsidRPr="0025668C">
        <w:rPr>
          <w:color w:val="0D0D0D" w:themeColor="text1" w:themeTint="F2"/>
          <w:lang w:val="es-ES"/>
        </w:rPr>
        <w:t>—se infiere—</w:t>
      </w:r>
      <w:r w:rsidR="00C85BDB" w:rsidRPr="0025668C">
        <w:rPr>
          <w:color w:val="0D0D0D" w:themeColor="text1" w:themeTint="F2"/>
          <w:lang w:val="es-ES"/>
        </w:rPr>
        <w:t xml:space="preserve"> </w:t>
      </w:r>
      <w:r w:rsidR="00366C97" w:rsidRPr="0025668C">
        <w:rPr>
          <w:color w:val="0D0D0D" w:themeColor="text1" w:themeTint="F2"/>
          <w:lang w:val="es-ES"/>
        </w:rPr>
        <w:t>requiere de una declaratoria de la no existencia de poder sustancial de mercado (definido en el artículo 59 y siguiendo el procedimiento que establece el artículo 96, ambos de la LFCE).</w:t>
      </w:r>
      <w:r w:rsidR="00AF6652" w:rsidRPr="0025668C">
        <w:rPr>
          <w:color w:val="0D0D0D" w:themeColor="text1" w:themeTint="F2"/>
          <w:lang w:val="es-ES"/>
        </w:rPr>
        <w:t xml:space="preserve"> </w:t>
      </w:r>
    </w:p>
    <w:p w:rsidR="002748CD" w:rsidRPr="0025668C" w:rsidRDefault="002748CD" w:rsidP="0025668C">
      <w:pPr>
        <w:pStyle w:val="Prrafodelista"/>
        <w:numPr>
          <w:ilvl w:val="2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>Sería importante en este caso que el IFT tuviera lineamientos para la determinación de poder sustancial de mercado, ya sea unos nuevos</w:t>
      </w:r>
      <w:r w:rsidR="00CB400D" w:rsidRPr="0025668C">
        <w:rPr>
          <w:color w:val="0D0D0D" w:themeColor="text1" w:themeTint="F2"/>
          <w:lang w:val="es-ES"/>
        </w:rPr>
        <w:t xml:space="preserve"> propios</w:t>
      </w:r>
      <w:r w:rsidRPr="0025668C">
        <w:rPr>
          <w:color w:val="0D0D0D" w:themeColor="text1" w:themeTint="F2"/>
          <w:lang w:val="es-ES"/>
        </w:rPr>
        <w:t xml:space="preserve"> que elaborara </w:t>
      </w:r>
      <w:r w:rsidR="00CB400D" w:rsidRPr="0025668C">
        <w:rPr>
          <w:color w:val="0D0D0D" w:themeColor="text1" w:themeTint="F2"/>
          <w:lang w:val="es-ES"/>
        </w:rPr>
        <w:t xml:space="preserve">el mismo IFT </w:t>
      </w:r>
      <w:r w:rsidRPr="0025668C">
        <w:rPr>
          <w:color w:val="0D0D0D" w:themeColor="text1" w:themeTint="F2"/>
          <w:lang w:val="es-ES"/>
        </w:rPr>
        <w:t>o siguiendo mejores prácticas internacionales al respecto.</w:t>
      </w:r>
    </w:p>
    <w:p w:rsidR="002748CD" w:rsidRPr="0025668C" w:rsidRDefault="00A70C0A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i/>
          <w:color w:val="0D0D0D" w:themeColor="text1" w:themeTint="F2"/>
          <w:lang w:val="es-ES"/>
        </w:rPr>
        <w:t xml:space="preserve">Métricas de </w:t>
      </w:r>
      <w:r w:rsidR="00C85BDB" w:rsidRPr="0025668C">
        <w:rPr>
          <w:i/>
          <w:color w:val="0D0D0D" w:themeColor="text1" w:themeTint="F2"/>
          <w:lang w:val="es-ES"/>
        </w:rPr>
        <w:t>c</w:t>
      </w:r>
      <w:r w:rsidRPr="0025668C">
        <w:rPr>
          <w:i/>
          <w:color w:val="0D0D0D" w:themeColor="text1" w:themeTint="F2"/>
          <w:lang w:val="es-ES"/>
        </w:rPr>
        <w:t xml:space="preserve">ompetencia </w:t>
      </w:r>
      <w:r w:rsidR="00C85BDB" w:rsidRPr="0025668C">
        <w:rPr>
          <w:i/>
          <w:color w:val="0D0D0D" w:themeColor="text1" w:themeTint="F2"/>
          <w:lang w:val="es-ES"/>
        </w:rPr>
        <w:t>e</w:t>
      </w:r>
      <w:r w:rsidRPr="0025668C">
        <w:rPr>
          <w:i/>
          <w:color w:val="0D0D0D" w:themeColor="text1" w:themeTint="F2"/>
          <w:lang w:val="es-ES"/>
        </w:rPr>
        <w:t>fectiva</w:t>
      </w:r>
      <w:r w:rsidRPr="0025668C">
        <w:rPr>
          <w:color w:val="0D0D0D" w:themeColor="text1" w:themeTint="F2"/>
          <w:lang w:val="es-ES"/>
        </w:rPr>
        <w:t xml:space="preserve">: </w:t>
      </w:r>
      <w:r w:rsidR="00366C97" w:rsidRPr="0025668C">
        <w:rPr>
          <w:color w:val="0D0D0D" w:themeColor="text1" w:themeTint="F2"/>
          <w:lang w:val="es-ES"/>
        </w:rPr>
        <w:t>E</w:t>
      </w:r>
      <w:r w:rsidR="002748CD" w:rsidRPr="0025668C">
        <w:rPr>
          <w:color w:val="0D0D0D" w:themeColor="text1" w:themeTint="F2"/>
          <w:lang w:val="es-ES"/>
        </w:rPr>
        <w:t>l</w:t>
      </w:r>
      <w:r w:rsidR="00366C97" w:rsidRPr="0025668C">
        <w:rPr>
          <w:color w:val="0D0D0D" w:themeColor="text1" w:themeTint="F2"/>
          <w:lang w:val="es-ES"/>
        </w:rPr>
        <w:t xml:space="preserve"> proceso bajo el cual se llevará a cabo este análisis dado que la imposición de las medidas se llevó a cabo </w:t>
      </w:r>
      <w:r w:rsidR="002748CD" w:rsidRPr="0025668C">
        <w:rPr>
          <w:color w:val="0D0D0D" w:themeColor="text1" w:themeTint="F2"/>
          <w:lang w:val="es-ES"/>
        </w:rPr>
        <w:t>a nivel sectorial y la LFCE establece que los análisis de competencia efectiva y poder sustancial de mercado</w:t>
      </w:r>
      <w:r w:rsidR="00C85BDB" w:rsidRPr="0025668C">
        <w:rPr>
          <w:color w:val="0D0D0D" w:themeColor="text1" w:themeTint="F2"/>
          <w:lang w:val="es-ES"/>
        </w:rPr>
        <w:t xml:space="preserve"> </w:t>
      </w:r>
      <w:r w:rsidR="002748CD" w:rsidRPr="0025668C">
        <w:rPr>
          <w:color w:val="0D0D0D" w:themeColor="text1" w:themeTint="F2"/>
          <w:lang w:val="es-ES"/>
        </w:rPr>
        <w:t>—su concepto análogo</w:t>
      </w:r>
      <w:r w:rsidR="005C5E6B" w:rsidRPr="0025668C">
        <w:rPr>
          <w:color w:val="0D0D0D" w:themeColor="text1" w:themeTint="F2"/>
          <w:lang w:val="es-ES"/>
        </w:rPr>
        <w:t xml:space="preserve"> de acuerdo con la ley de competencia</w:t>
      </w:r>
      <w:r w:rsidR="002748CD" w:rsidRPr="0025668C">
        <w:rPr>
          <w:color w:val="0D0D0D" w:themeColor="text1" w:themeTint="F2"/>
          <w:lang w:val="es-ES"/>
        </w:rPr>
        <w:t>—</w:t>
      </w:r>
      <w:r w:rsidR="00C85BDB" w:rsidRPr="0025668C">
        <w:rPr>
          <w:color w:val="0D0D0D" w:themeColor="text1" w:themeTint="F2"/>
          <w:lang w:val="es-ES"/>
        </w:rPr>
        <w:t xml:space="preserve"> </w:t>
      </w:r>
      <w:r w:rsidR="002748CD" w:rsidRPr="0025668C">
        <w:rPr>
          <w:color w:val="0D0D0D" w:themeColor="text1" w:themeTint="F2"/>
          <w:lang w:val="es-ES"/>
        </w:rPr>
        <w:t xml:space="preserve">se deben realizar bajo una lógica de mercados. </w:t>
      </w:r>
    </w:p>
    <w:p w:rsidR="002748CD" w:rsidRPr="0025668C" w:rsidRDefault="002748CD" w:rsidP="0025668C">
      <w:pPr>
        <w:pStyle w:val="Prrafodelista"/>
        <w:numPr>
          <w:ilvl w:val="2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lastRenderedPageBreak/>
        <w:t>Esto implicaría</w:t>
      </w:r>
      <w:r w:rsidR="00C85BDB" w:rsidRPr="0025668C">
        <w:rPr>
          <w:color w:val="0D0D0D" w:themeColor="text1" w:themeTint="F2"/>
          <w:lang w:val="es-ES"/>
        </w:rPr>
        <w:t xml:space="preserve"> </w:t>
      </w:r>
      <w:r w:rsidRPr="0025668C">
        <w:rPr>
          <w:color w:val="0D0D0D" w:themeColor="text1" w:themeTint="F2"/>
          <w:lang w:val="es-ES"/>
        </w:rPr>
        <w:t>—de manera necesaria, consideramos—</w:t>
      </w:r>
      <w:r w:rsidR="00C85BDB" w:rsidRPr="0025668C">
        <w:rPr>
          <w:color w:val="0D0D0D" w:themeColor="text1" w:themeTint="F2"/>
          <w:lang w:val="es-ES"/>
        </w:rPr>
        <w:t xml:space="preserve"> </w:t>
      </w:r>
      <w:r w:rsidRPr="0025668C">
        <w:rPr>
          <w:color w:val="0D0D0D" w:themeColor="text1" w:themeTint="F2"/>
          <w:lang w:val="es-ES"/>
        </w:rPr>
        <w:t xml:space="preserve">que el Instituto </w:t>
      </w:r>
      <w:r w:rsidR="00C85BDB" w:rsidRPr="0025668C">
        <w:rPr>
          <w:color w:val="0D0D0D" w:themeColor="text1" w:themeTint="F2"/>
          <w:lang w:val="es-ES"/>
        </w:rPr>
        <w:t>deba abocarse</w:t>
      </w:r>
      <w:r w:rsidRPr="0025668C">
        <w:rPr>
          <w:color w:val="0D0D0D" w:themeColor="text1" w:themeTint="F2"/>
          <w:lang w:val="es-ES"/>
        </w:rPr>
        <w:t xml:space="preserve"> a determinar mercados y analizar la competencia efectiva en </w:t>
      </w:r>
      <w:r w:rsidR="005C5E6B" w:rsidRPr="0025668C">
        <w:rPr>
          <w:color w:val="0D0D0D" w:themeColor="text1" w:themeTint="F2"/>
          <w:lang w:val="es-ES"/>
        </w:rPr>
        <w:t xml:space="preserve">estos </w:t>
      </w:r>
      <w:r w:rsidRPr="0025668C">
        <w:rPr>
          <w:color w:val="0D0D0D" w:themeColor="text1" w:themeTint="F2"/>
          <w:lang w:val="es-ES"/>
        </w:rPr>
        <w:t xml:space="preserve">mercados </w:t>
      </w:r>
      <w:r w:rsidR="005C5E6B" w:rsidRPr="0025668C">
        <w:rPr>
          <w:color w:val="0D0D0D" w:themeColor="text1" w:themeTint="F2"/>
          <w:lang w:val="es-ES"/>
        </w:rPr>
        <w:t xml:space="preserve">para cada uno de los sectores: telecomunicaciones y radiodifusión. Esto sin que signifique que la aplicación de medidas asimétricas deba tener un enfoque de aplicación cerrado o solo deba de aplicarse a mercados acotados, de manera ex post. La regulación, como se entiende en la constitución debería continuar siendo ex ante. </w:t>
      </w:r>
    </w:p>
    <w:p w:rsidR="002748CD" w:rsidRPr="0025668C" w:rsidRDefault="002748CD" w:rsidP="0025668C">
      <w:pPr>
        <w:pStyle w:val="Prrafodelista"/>
        <w:numPr>
          <w:ilvl w:val="2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>Asimismo</w:t>
      </w:r>
      <w:r w:rsidR="00C85BDB" w:rsidRPr="0025668C">
        <w:rPr>
          <w:color w:val="0D0D0D" w:themeColor="text1" w:themeTint="F2"/>
          <w:lang w:val="es-ES"/>
        </w:rPr>
        <w:t>,</w:t>
      </w:r>
      <w:r w:rsidRPr="0025668C">
        <w:rPr>
          <w:color w:val="0D0D0D" w:themeColor="text1" w:themeTint="F2"/>
          <w:lang w:val="es-ES"/>
        </w:rPr>
        <w:t xml:space="preserve"> el Instituto deberá pronunciarse si la competencia efectiva se habrá alcanzado para el sector cuando todos los mercados que lo conformen hayan alcanzado esta competencia efectiva, o si </w:t>
      </w:r>
      <w:r w:rsidR="00C85BDB" w:rsidRPr="0025668C">
        <w:rPr>
          <w:color w:val="0D0D0D" w:themeColor="text1" w:themeTint="F2"/>
          <w:lang w:val="es-ES"/>
        </w:rPr>
        <w:t>se utilizará</w:t>
      </w:r>
      <w:r w:rsidRPr="0025668C">
        <w:rPr>
          <w:color w:val="0D0D0D" w:themeColor="text1" w:themeTint="F2"/>
          <w:lang w:val="es-ES"/>
        </w:rPr>
        <w:t xml:space="preserve"> otra métrica que considera relevante</w:t>
      </w:r>
      <w:r w:rsidR="00C85BDB" w:rsidRPr="0025668C">
        <w:rPr>
          <w:color w:val="0D0D0D" w:themeColor="text1" w:themeTint="F2"/>
          <w:lang w:val="es-ES"/>
        </w:rPr>
        <w:t>.</w:t>
      </w:r>
    </w:p>
    <w:p w:rsidR="00BC67D2" w:rsidRPr="0025668C" w:rsidRDefault="00BC67D2" w:rsidP="0025668C">
      <w:pPr>
        <w:spacing w:after="120"/>
        <w:jc w:val="both"/>
        <w:rPr>
          <w:color w:val="0D0D0D" w:themeColor="text1" w:themeTint="F2"/>
          <w:lang w:val="es-ES"/>
        </w:rPr>
      </w:pPr>
    </w:p>
    <w:p w:rsidR="00BC67D2" w:rsidRDefault="00874A01" w:rsidP="003327CC">
      <w:pPr>
        <w:pStyle w:val="Ttulo2"/>
        <w:spacing w:after="240"/>
        <w:jc w:val="both"/>
        <w:rPr>
          <w:rFonts w:asciiTheme="minorHAnsi" w:hAnsiTheme="minorHAnsi"/>
          <w:color w:val="0D0D0D" w:themeColor="text1" w:themeTint="F2"/>
          <w:sz w:val="24"/>
          <w:szCs w:val="24"/>
          <w:u w:val="single"/>
          <w:lang w:val="es-ES"/>
        </w:rPr>
      </w:pPr>
      <w:r w:rsidRPr="0025668C">
        <w:rPr>
          <w:rFonts w:asciiTheme="minorHAnsi" w:hAnsiTheme="minorHAnsi"/>
          <w:color w:val="0D0D0D" w:themeColor="text1" w:themeTint="F2"/>
          <w:sz w:val="24"/>
          <w:szCs w:val="24"/>
          <w:u w:val="single"/>
          <w:lang w:val="es-ES"/>
        </w:rPr>
        <w:t>Recomendaciones</w:t>
      </w:r>
      <w:r w:rsidR="0025668C" w:rsidRPr="0025668C">
        <w:rPr>
          <w:rFonts w:asciiTheme="minorHAnsi" w:hAnsiTheme="minorHAnsi"/>
          <w:color w:val="0D0D0D" w:themeColor="text1" w:themeTint="F2"/>
          <w:sz w:val="24"/>
          <w:szCs w:val="24"/>
          <w:u w:val="single"/>
          <w:lang w:val="es-ES"/>
        </w:rPr>
        <w:t>:</w:t>
      </w:r>
    </w:p>
    <w:p w:rsidR="00F001F4" w:rsidRPr="0025668C" w:rsidRDefault="00362E10" w:rsidP="0025668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 xml:space="preserve">Para lograr el anterior propósito, este Consejo </w:t>
      </w:r>
      <w:r w:rsidR="00C85BDB" w:rsidRPr="0025668C">
        <w:rPr>
          <w:color w:val="0D0D0D" w:themeColor="text1" w:themeTint="F2"/>
          <w:lang w:val="es-ES"/>
        </w:rPr>
        <w:t xml:space="preserve">Consultivo </w:t>
      </w:r>
      <w:r w:rsidRPr="0025668C">
        <w:rPr>
          <w:color w:val="0D0D0D" w:themeColor="text1" w:themeTint="F2"/>
          <w:lang w:val="es-ES"/>
        </w:rPr>
        <w:t xml:space="preserve">considera que sería recomendable que </w:t>
      </w:r>
      <w:r w:rsidR="00206E73" w:rsidRPr="0025668C">
        <w:rPr>
          <w:color w:val="0D0D0D" w:themeColor="text1" w:themeTint="F2"/>
          <w:lang w:val="es-ES"/>
        </w:rPr>
        <w:t xml:space="preserve">el IFT </w:t>
      </w:r>
      <w:r w:rsidRPr="0025668C">
        <w:rPr>
          <w:color w:val="0D0D0D" w:themeColor="text1" w:themeTint="F2"/>
          <w:lang w:val="es-ES"/>
        </w:rPr>
        <w:t>abriera</w:t>
      </w:r>
      <w:r w:rsidR="00206E73" w:rsidRPr="0025668C">
        <w:rPr>
          <w:color w:val="0D0D0D" w:themeColor="text1" w:themeTint="F2"/>
          <w:lang w:val="es-ES"/>
        </w:rPr>
        <w:t xml:space="preserve"> un foro público </w:t>
      </w:r>
      <w:r w:rsidRPr="0025668C">
        <w:rPr>
          <w:color w:val="0D0D0D" w:themeColor="text1" w:themeTint="F2"/>
          <w:lang w:val="es-ES"/>
        </w:rPr>
        <w:t xml:space="preserve">en donde se trataran a profundidad </w:t>
      </w:r>
      <w:r w:rsidR="00224F31" w:rsidRPr="0025668C">
        <w:rPr>
          <w:color w:val="0D0D0D" w:themeColor="text1" w:themeTint="F2"/>
          <w:lang w:val="es-ES"/>
        </w:rPr>
        <w:t xml:space="preserve">estos </w:t>
      </w:r>
      <w:r w:rsidR="00206E73" w:rsidRPr="0025668C">
        <w:rPr>
          <w:color w:val="0D0D0D" w:themeColor="text1" w:themeTint="F2"/>
          <w:lang w:val="es-ES"/>
        </w:rPr>
        <w:t xml:space="preserve">temas técnicos </w:t>
      </w:r>
      <w:r w:rsidR="00224F31" w:rsidRPr="0025668C">
        <w:rPr>
          <w:color w:val="0D0D0D" w:themeColor="text1" w:themeTint="F2"/>
          <w:lang w:val="es-ES"/>
        </w:rPr>
        <w:t xml:space="preserve">y otros que pudieran surgir alrededor de las medidas de preponderancia y </w:t>
      </w:r>
      <w:r w:rsidR="00F001F4" w:rsidRPr="0025668C">
        <w:rPr>
          <w:color w:val="0D0D0D" w:themeColor="text1" w:themeTint="F2"/>
          <w:lang w:val="es-ES"/>
        </w:rPr>
        <w:t>que son poco claros</w:t>
      </w:r>
      <w:r w:rsidR="00224F31" w:rsidRPr="0025668C">
        <w:rPr>
          <w:color w:val="0D0D0D" w:themeColor="text1" w:themeTint="F2"/>
          <w:lang w:val="es-ES"/>
        </w:rPr>
        <w:t>,</w:t>
      </w:r>
      <w:r w:rsidR="00F001F4" w:rsidRPr="0025668C">
        <w:rPr>
          <w:color w:val="0D0D0D" w:themeColor="text1" w:themeTint="F2"/>
          <w:lang w:val="es-ES"/>
        </w:rPr>
        <w:t xml:space="preserve"> </w:t>
      </w:r>
      <w:r w:rsidR="00224F31" w:rsidRPr="0025668C">
        <w:rPr>
          <w:color w:val="0D0D0D" w:themeColor="text1" w:themeTint="F2"/>
          <w:lang w:val="es-ES"/>
        </w:rPr>
        <w:t xml:space="preserve">y </w:t>
      </w:r>
      <w:r w:rsidR="00F001F4" w:rsidRPr="0025668C">
        <w:rPr>
          <w:color w:val="0D0D0D" w:themeColor="text1" w:themeTint="F2"/>
          <w:lang w:val="es-ES"/>
        </w:rPr>
        <w:t xml:space="preserve">que requieren de una interpretación por parte del regulador y los juzgados para darles una congruencia que no necesariamente es aparente. </w:t>
      </w:r>
    </w:p>
    <w:p w:rsidR="00BC67D2" w:rsidRPr="0025668C" w:rsidRDefault="00BC67D2" w:rsidP="0025668C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 xml:space="preserve">Para dar mayor certidumbre regulatoria a los agentes económicos que participan en </w:t>
      </w:r>
      <w:r w:rsidR="005C5E6B" w:rsidRPr="0025668C">
        <w:rPr>
          <w:color w:val="0D0D0D" w:themeColor="text1" w:themeTint="F2"/>
          <w:lang w:val="es-ES"/>
        </w:rPr>
        <w:t>los</w:t>
      </w:r>
      <w:r w:rsidRPr="0025668C">
        <w:rPr>
          <w:color w:val="0D0D0D" w:themeColor="text1" w:themeTint="F2"/>
          <w:lang w:val="es-ES"/>
        </w:rPr>
        <w:t xml:space="preserve"> sector</w:t>
      </w:r>
      <w:r w:rsidR="005C5E6B" w:rsidRPr="0025668C">
        <w:rPr>
          <w:color w:val="0D0D0D" w:themeColor="text1" w:themeTint="F2"/>
          <w:lang w:val="es-ES"/>
        </w:rPr>
        <w:t>es</w:t>
      </w:r>
      <w:r w:rsidRPr="0025668C">
        <w:rPr>
          <w:color w:val="0D0D0D" w:themeColor="text1" w:themeTint="F2"/>
          <w:lang w:val="es-ES"/>
        </w:rPr>
        <w:t xml:space="preserve"> de telecomunicaciones</w:t>
      </w:r>
      <w:r w:rsidR="005C5E6B" w:rsidRPr="0025668C">
        <w:rPr>
          <w:color w:val="0D0D0D" w:themeColor="text1" w:themeTint="F2"/>
          <w:lang w:val="es-ES"/>
        </w:rPr>
        <w:t xml:space="preserve"> y radiodifusión</w:t>
      </w:r>
      <w:r w:rsidRPr="0025668C">
        <w:rPr>
          <w:color w:val="0D0D0D" w:themeColor="text1" w:themeTint="F2"/>
          <w:lang w:val="es-ES"/>
        </w:rPr>
        <w:t>, es importante que entre las resoluciones que surjan de estos foros por parte del IFT estén los siguientes puntos:</w:t>
      </w:r>
    </w:p>
    <w:p w:rsidR="00BC67D2" w:rsidRPr="0025668C" w:rsidRDefault="00745B5F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 xml:space="preserve">Aclaración </w:t>
      </w:r>
      <w:r w:rsidR="00BC67D2" w:rsidRPr="0025668C">
        <w:rPr>
          <w:color w:val="0D0D0D" w:themeColor="text1" w:themeTint="F2"/>
          <w:lang w:val="es-ES"/>
        </w:rPr>
        <w:t>que competencia efectiva en materia regulatoria existe cuando hay una ausencia de poder sustancial de mercado</w:t>
      </w:r>
      <w:r w:rsidR="004F7B71" w:rsidRPr="0025668C">
        <w:rPr>
          <w:color w:val="0D0D0D" w:themeColor="text1" w:themeTint="F2"/>
          <w:lang w:val="es-ES"/>
        </w:rPr>
        <w:t>;</w:t>
      </w:r>
    </w:p>
    <w:p w:rsidR="00BC67D2" w:rsidRPr="0025668C" w:rsidRDefault="00745B5F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 xml:space="preserve">Aclaración </w:t>
      </w:r>
      <w:r w:rsidR="00BC67D2" w:rsidRPr="0025668C">
        <w:rPr>
          <w:color w:val="0D0D0D" w:themeColor="text1" w:themeTint="F2"/>
          <w:lang w:val="es-ES"/>
        </w:rPr>
        <w:t xml:space="preserve">que las medidas de preponderancia se realizan a nivel </w:t>
      </w:r>
      <w:r w:rsidR="004F7B71" w:rsidRPr="0025668C">
        <w:rPr>
          <w:color w:val="0D0D0D" w:themeColor="text1" w:themeTint="F2"/>
          <w:lang w:val="es-ES"/>
        </w:rPr>
        <w:t xml:space="preserve">de </w:t>
      </w:r>
      <w:r w:rsidR="00BC67D2" w:rsidRPr="0025668C">
        <w:rPr>
          <w:color w:val="0D0D0D" w:themeColor="text1" w:themeTint="F2"/>
          <w:lang w:val="es-ES"/>
        </w:rPr>
        <w:t>mercado</w:t>
      </w:r>
      <w:r w:rsidR="004F7B71" w:rsidRPr="0025668C">
        <w:rPr>
          <w:color w:val="0D0D0D" w:themeColor="text1" w:themeTint="F2"/>
          <w:lang w:val="es-ES"/>
        </w:rPr>
        <w:t>;</w:t>
      </w:r>
    </w:p>
    <w:p w:rsidR="00BC67D2" w:rsidRPr="0025668C" w:rsidRDefault="00BC67D2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>Determinación de los mercados relevantes que requieran de un análisis de competencia efectiva (o ausencia de poder sustancial) con base en criterios y mejores prácticas internacionales</w:t>
      </w:r>
      <w:r w:rsidR="004F7B71" w:rsidRPr="0025668C">
        <w:rPr>
          <w:color w:val="0D0D0D" w:themeColor="text1" w:themeTint="F2"/>
          <w:lang w:val="es-ES"/>
        </w:rPr>
        <w:t>;</w:t>
      </w:r>
    </w:p>
    <w:p w:rsidR="005C5E6B" w:rsidRPr="0025668C" w:rsidRDefault="005C5E6B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>La aplicación ex ante de medidas de regulación asimétrica en estos mercados;</w:t>
      </w:r>
    </w:p>
    <w:p w:rsidR="00BC67D2" w:rsidRPr="0025668C" w:rsidRDefault="00BC67D2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>Lineamientos para analizar poder sustancial de mercado</w:t>
      </w:r>
      <w:r w:rsidR="004F7B71" w:rsidRPr="0025668C">
        <w:rPr>
          <w:color w:val="0D0D0D" w:themeColor="text1" w:themeTint="F2"/>
          <w:lang w:val="es-ES"/>
        </w:rPr>
        <w:t>;</w:t>
      </w:r>
    </w:p>
    <w:p w:rsidR="00BC67D2" w:rsidRPr="0025668C" w:rsidRDefault="00BC67D2" w:rsidP="0025668C">
      <w:pPr>
        <w:pStyle w:val="Prrafodelista"/>
        <w:numPr>
          <w:ilvl w:val="1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>Métricas claras para revisar el estado de la competencia efectiva y</w:t>
      </w:r>
      <w:r w:rsidR="00BA5FC2" w:rsidRPr="0025668C">
        <w:rPr>
          <w:color w:val="0D0D0D" w:themeColor="text1" w:themeTint="F2"/>
          <w:lang w:val="es-ES"/>
        </w:rPr>
        <w:t>, de no existir todavía,</w:t>
      </w:r>
      <w:r w:rsidRPr="0025668C">
        <w:rPr>
          <w:color w:val="0D0D0D" w:themeColor="text1" w:themeTint="F2"/>
          <w:lang w:val="es-ES"/>
        </w:rPr>
        <w:t xml:space="preserve"> la efectividad de las políticas regulatorias encaminadas a </w:t>
      </w:r>
      <w:r w:rsidR="004F7B71" w:rsidRPr="0025668C">
        <w:rPr>
          <w:color w:val="0D0D0D" w:themeColor="text1" w:themeTint="F2"/>
          <w:lang w:val="es-ES"/>
        </w:rPr>
        <w:t xml:space="preserve">generar o </w:t>
      </w:r>
      <w:r w:rsidRPr="0025668C">
        <w:rPr>
          <w:color w:val="0D0D0D" w:themeColor="text1" w:themeTint="F2"/>
          <w:lang w:val="es-ES"/>
        </w:rPr>
        <w:t>reestablecer la competencia efectiva en los mercados de que se trate</w:t>
      </w:r>
      <w:r w:rsidR="004F7B71" w:rsidRPr="0025668C">
        <w:rPr>
          <w:color w:val="0D0D0D" w:themeColor="text1" w:themeTint="F2"/>
          <w:lang w:val="es-ES"/>
        </w:rPr>
        <w:t>:</w:t>
      </w:r>
    </w:p>
    <w:p w:rsidR="00BA5FC2" w:rsidRDefault="00BA5FC2" w:rsidP="0025668C">
      <w:pPr>
        <w:pStyle w:val="Prrafodelista"/>
        <w:numPr>
          <w:ilvl w:val="2"/>
          <w:numId w:val="1"/>
        </w:numPr>
        <w:spacing w:after="120"/>
        <w:contextualSpacing w:val="0"/>
        <w:jc w:val="both"/>
        <w:rPr>
          <w:color w:val="0D0D0D" w:themeColor="text1" w:themeTint="F2"/>
          <w:lang w:val="es-ES"/>
        </w:rPr>
      </w:pPr>
      <w:r w:rsidRPr="0025668C">
        <w:rPr>
          <w:color w:val="0D0D0D" w:themeColor="text1" w:themeTint="F2"/>
          <w:lang w:val="es-ES"/>
        </w:rPr>
        <w:t>En este punto en particular, consi</w:t>
      </w:r>
      <w:r w:rsidR="0025668C" w:rsidRPr="0025668C">
        <w:rPr>
          <w:color w:val="0D0D0D" w:themeColor="text1" w:themeTint="F2"/>
          <w:lang w:val="es-ES"/>
        </w:rPr>
        <w:t>deraron</w:t>
      </w:r>
      <w:r w:rsidRPr="0025668C">
        <w:rPr>
          <w:color w:val="0D0D0D" w:themeColor="text1" w:themeTint="F2"/>
          <w:lang w:val="es-ES"/>
        </w:rPr>
        <w:t xml:space="preserve"> deseable que se incluya de manera explícita que los efectos de la competencia efectiva no sólo implica</w:t>
      </w:r>
      <w:r w:rsidR="004F7B71" w:rsidRPr="0025668C">
        <w:rPr>
          <w:color w:val="0D0D0D" w:themeColor="text1" w:themeTint="F2"/>
          <w:lang w:val="es-ES"/>
        </w:rPr>
        <w:t>n</w:t>
      </w:r>
      <w:r w:rsidRPr="0025668C">
        <w:rPr>
          <w:color w:val="0D0D0D" w:themeColor="text1" w:themeTint="F2"/>
          <w:lang w:val="es-ES"/>
        </w:rPr>
        <w:t xml:space="preserve"> mejoras en la estructura y el comportamiento de los agentes económicos que participan en los mercados</w:t>
      </w:r>
      <w:r w:rsidR="004F7B71" w:rsidRPr="0025668C">
        <w:rPr>
          <w:color w:val="0D0D0D" w:themeColor="text1" w:themeTint="F2"/>
          <w:lang w:val="es-ES"/>
        </w:rPr>
        <w:t xml:space="preserve"> </w:t>
      </w:r>
      <w:r w:rsidRPr="0025668C">
        <w:rPr>
          <w:color w:val="0D0D0D" w:themeColor="text1" w:themeTint="F2"/>
          <w:lang w:val="es-ES"/>
        </w:rPr>
        <w:t xml:space="preserve">—a cualquier nivel de la cadena (en caso de </w:t>
      </w:r>
      <w:r w:rsidRPr="0025668C">
        <w:rPr>
          <w:color w:val="0D0D0D" w:themeColor="text1" w:themeTint="F2"/>
          <w:lang w:val="es-ES"/>
        </w:rPr>
        <w:lastRenderedPageBreak/>
        <w:t>mercados con relaciones verticales) y de cualquier lado de una plataforma (en caso de mercados de múltiples lados</w:t>
      </w:r>
      <w:r w:rsidR="0025668C" w:rsidRPr="0025668C">
        <w:rPr>
          <w:color w:val="0D0D0D" w:themeColor="text1" w:themeTint="F2"/>
          <w:lang w:val="es-ES"/>
        </w:rPr>
        <w:t>) —</w:t>
      </w:r>
      <w:r w:rsidR="004F7B71" w:rsidRPr="0025668C">
        <w:rPr>
          <w:color w:val="0D0D0D" w:themeColor="text1" w:themeTint="F2"/>
          <w:lang w:val="es-ES"/>
        </w:rPr>
        <w:t xml:space="preserve"> </w:t>
      </w:r>
      <w:r w:rsidRPr="0025668C">
        <w:rPr>
          <w:color w:val="0D0D0D" w:themeColor="text1" w:themeTint="F2"/>
          <w:lang w:val="es-ES"/>
        </w:rPr>
        <w:t>sino una mejora sustantiva en los servicios que reciben los consumidores.</w:t>
      </w:r>
    </w:p>
    <w:p w:rsidR="005D6329" w:rsidRPr="00451EEE" w:rsidRDefault="005D6329" w:rsidP="003327CC">
      <w:pPr>
        <w:spacing w:before="240" w:line="259" w:lineRule="auto"/>
        <w:jc w:val="center"/>
        <w:rPr>
          <w:rFonts w:ascii="Calibri" w:eastAsia="Times New Roman" w:hAnsi="Calibri" w:cs="Arial"/>
          <w:b/>
          <w:lang w:val="es-ES_tradnl"/>
        </w:rPr>
      </w:pPr>
      <w:r w:rsidRPr="00451EEE">
        <w:rPr>
          <w:rFonts w:ascii="Calibri" w:eastAsia="Times New Roman" w:hAnsi="Calibri" w:cs="Arial"/>
          <w:b/>
          <w:lang w:val="es-ES_tradnl"/>
        </w:rPr>
        <w:t xml:space="preserve">Dr. Ernesto M. Flores-Roux </w:t>
      </w:r>
    </w:p>
    <w:p w:rsidR="005D6329" w:rsidRPr="00451EEE" w:rsidRDefault="005D6329" w:rsidP="003327CC">
      <w:pPr>
        <w:spacing w:line="259" w:lineRule="auto"/>
        <w:jc w:val="center"/>
        <w:rPr>
          <w:rFonts w:ascii="Calibri" w:eastAsia="Times New Roman" w:hAnsi="Calibri" w:cs="Arial"/>
          <w:b/>
          <w:lang w:val="es-ES_tradnl"/>
        </w:rPr>
      </w:pPr>
      <w:r w:rsidRPr="00451EEE">
        <w:rPr>
          <w:rFonts w:ascii="Calibri" w:eastAsia="Times New Roman" w:hAnsi="Calibri" w:cs="Arial"/>
          <w:b/>
          <w:lang w:val="es-ES_tradnl"/>
        </w:rPr>
        <w:t>Presidente</w:t>
      </w:r>
    </w:p>
    <w:p w:rsidR="005D6329" w:rsidRPr="00451EEE" w:rsidRDefault="005D6329" w:rsidP="003327CC">
      <w:pPr>
        <w:spacing w:before="240" w:line="259" w:lineRule="auto"/>
        <w:jc w:val="center"/>
        <w:rPr>
          <w:rFonts w:ascii="Calibri" w:eastAsia="Times New Roman" w:hAnsi="Calibri" w:cs="Arial"/>
          <w:b/>
          <w:lang w:val="es-ES_tradnl"/>
        </w:rPr>
      </w:pPr>
      <w:r w:rsidRPr="00451EEE">
        <w:rPr>
          <w:rFonts w:ascii="Calibri" w:eastAsia="Times New Roman" w:hAnsi="Calibri" w:cs="Arial"/>
          <w:b/>
          <w:lang w:val="es-ES_tradnl"/>
        </w:rPr>
        <w:t>Lic. Juan José Crispín Borbolla</w:t>
      </w:r>
    </w:p>
    <w:p w:rsidR="005D6329" w:rsidRDefault="005D6329" w:rsidP="003327CC">
      <w:pPr>
        <w:spacing w:line="259" w:lineRule="auto"/>
        <w:jc w:val="center"/>
        <w:rPr>
          <w:rFonts w:ascii="Calibri" w:eastAsia="Times New Roman" w:hAnsi="Calibri" w:cs="Arial"/>
          <w:b/>
          <w:lang w:val="es-ES_tradnl"/>
        </w:rPr>
      </w:pPr>
      <w:r w:rsidRPr="00451EEE">
        <w:rPr>
          <w:rFonts w:ascii="Calibri" w:eastAsia="Times New Roman" w:hAnsi="Calibri" w:cs="Arial"/>
          <w:b/>
          <w:lang w:val="es-ES_tradnl"/>
        </w:rPr>
        <w:t>Secretario del Consejo</w:t>
      </w:r>
    </w:p>
    <w:p w:rsidR="005D6329" w:rsidRPr="005D6329" w:rsidRDefault="005D6329" w:rsidP="003327CC">
      <w:pPr>
        <w:spacing w:before="240" w:after="160" w:line="259" w:lineRule="auto"/>
        <w:jc w:val="both"/>
        <w:rPr>
          <w:color w:val="0D0D0D" w:themeColor="text1" w:themeTint="F2"/>
          <w:lang w:val="es-ES"/>
        </w:rPr>
      </w:pP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La presente Recomendación fue aprobada por 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>unanimidad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de votos de los siguientes integrantes del Consejo Consultivo del Instituto Federal de Telecomunicaciones: Clara Luz Álvarez González de Castilla, Irma Ávila </w:t>
      </w:r>
      <w:proofErr w:type="spellStart"/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>Pietrasanta</w:t>
      </w:r>
      <w:proofErr w:type="spellEnd"/>
      <w:r>
        <w:rPr>
          <w:rFonts w:ascii="Calibri Light" w:eastAsia="Times New Roman" w:hAnsi="Calibri Light" w:cs="Arial"/>
          <w:sz w:val="18"/>
          <w:szCs w:val="18"/>
          <w:lang w:val="es-ES_tradnl"/>
        </w:rPr>
        <w:t>,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Carlos Arturo Bello Hernández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>,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Ernesto M. Flores-Roux, Gerardo Francisco González Abarca,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Erick Huerta Velázquez, 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Irene Levy </w:t>
      </w:r>
      <w:proofErr w:type="spellStart"/>
      <w:r>
        <w:rPr>
          <w:rFonts w:ascii="Calibri Light" w:eastAsia="Times New Roman" w:hAnsi="Calibri Light" w:cs="Arial"/>
          <w:sz w:val="18"/>
          <w:szCs w:val="18"/>
          <w:lang w:val="es-ES_tradnl"/>
        </w:rPr>
        <w:t>Mustri</w:t>
      </w:r>
      <w:proofErr w:type="spellEnd"/>
      <w:r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, 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>Elisa V. Mariscal Medina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>,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Luis Miguel Martínez Cervantes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y Carlos Alejandro Merchán Escalante. 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>Lo anterior, en términos del artículo 17 último párrafo, de las Reglas de Operación del Consejo Consultivo, mediante Acuerdo CC/IFT/</w:t>
      </w:r>
      <w:proofErr w:type="spellStart"/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>VotaciónElectrónica</w:t>
      </w:r>
      <w:proofErr w:type="spellEnd"/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>/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>9 de fecha 04 de enero de 2016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>.</w:t>
      </w:r>
      <w:r w:rsidR="003327CC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>La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Consejer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>a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</w:t>
      </w:r>
      <w:r w:rsidRPr="005D6329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Elisa V. Mariscal Medina 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>y el Consejero</w:t>
      </w:r>
      <w:r w:rsidRPr="005319C4">
        <w:t xml:space="preserve"> </w:t>
      </w:r>
      <w:r w:rsidR="0061248D" w:rsidRPr="0061248D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Ernesto M. Flores-Roux 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>fue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>ron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quien</w:t>
      </w:r>
      <w:r>
        <w:rPr>
          <w:rFonts w:ascii="Calibri Light" w:eastAsia="Times New Roman" w:hAnsi="Calibri Light" w:cs="Arial"/>
          <w:sz w:val="18"/>
          <w:szCs w:val="18"/>
          <w:lang w:val="es-ES_tradnl"/>
        </w:rPr>
        <w:t>es desarrollaron</w:t>
      </w:r>
      <w:r w:rsidRPr="00451EEE">
        <w:rPr>
          <w:rFonts w:ascii="Calibri Light" w:eastAsia="Times New Roman" w:hAnsi="Calibri Light" w:cs="Arial"/>
          <w:sz w:val="18"/>
          <w:szCs w:val="18"/>
          <w:lang w:val="es-ES_tradnl"/>
        </w:rPr>
        <w:t xml:space="preserve"> el proyecto de Recomendación.</w:t>
      </w:r>
    </w:p>
    <w:sectPr w:rsidR="005D6329" w:rsidRPr="005D6329" w:rsidSect="002566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C6" w:rsidRDefault="00F41BC6" w:rsidP="00206E73">
      <w:r>
        <w:separator/>
      </w:r>
    </w:p>
  </w:endnote>
  <w:endnote w:type="continuationSeparator" w:id="0">
    <w:p w:rsidR="00F41BC6" w:rsidRDefault="00F41BC6" w:rsidP="0020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874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A2EDB" w:rsidRPr="002A2EDB" w:rsidRDefault="002A2EDB">
        <w:pPr>
          <w:pStyle w:val="Piedepgina"/>
          <w:jc w:val="right"/>
          <w:rPr>
            <w:sz w:val="18"/>
            <w:szCs w:val="18"/>
          </w:rPr>
        </w:pPr>
        <w:r w:rsidRPr="002A2EDB">
          <w:rPr>
            <w:sz w:val="18"/>
            <w:szCs w:val="18"/>
          </w:rPr>
          <w:fldChar w:fldCharType="begin"/>
        </w:r>
        <w:r w:rsidRPr="002A2EDB">
          <w:rPr>
            <w:sz w:val="18"/>
            <w:szCs w:val="18"/>
          </w:rPr>
          <w:instrText>PAGE   \* MERGEFORMAT</w:instrText>
        </w:r>
        <w:r w:rsidRPr="002A2EDB">
          <w:rPr>
            <w:sz w:val="18"/>
            <w:szCs w:val="18"/>
          </w:rPr>
          <w:fldChar w:fldCharType="separate"/>
        </w:r>
        <w:r w:rsidR="00993199" w:rsidRPr="00993199">
          <w:rPr>
            <w:noProof/>
            <w:sz w:val="18"/>
            <w:szCs w:val="18"/>
            <w:lang w:val="es-ES"/>
          </w:rPr>
          <w:t>4</w:t>
        </w:r>
        <w:r w:rsidRPr="002A2EDB">
          <w:rPr>
            <w:sz w:val="18"/>
            <w:szCs w:val="18"/>
          </w:rPr>
          <w:fldChar w:fldCharType="end"/>
        </w:r>
      </w:p>
    </w:sdtContent>
  </w:sdt>
  <w:p w:rsidR="002A2EDB" w:rsidRDefault="002A2E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C6" w:rsidRDefault="00F41BC6" w:rsidP="00206E73">
      <w:r>
        <w:separator/>
      </w:r>
    </w:p>
  </w:footnote>
  <w:footnote w:type="continuationSeparator" w:id="0">
    <w:p w:rsidR="00F41BC6" w:rsidRDefault="00F41BC6" w:rsidP="00206E73">
      <w:r>
        <w:continuationSeparator/>
      </w:r>
    </w:p>
  </w:footnote>
  <w:footnote w:id="1">
    <w:p w:rsidR="00A70C0A" w:rsidRPr="00A70C0A" w:rsidRDefault="00A70C0A">
      <w:pPr>
        <w:pStyle w:val="Textonotapie"/>
        <w:rPr>
          <w:sz w:val="21"/>
          <w:lang w:val="es-ES"/>
        </w:rPr>
      </w:pPr>
      <w:r w:rsidRPr="00A70C0A">
        <w:rPr>
          <w:rStyle w:val="Refdenotaalpie"/>
          <w:sz w:val="21"/>
          <w:lang w:val="es-ES"/>
        </w:rPr>
        <w:footnoteRef/>
      </w:r>
      <w:r w:rsidRPr="00A70C0A">
        <w:rPr>
          <w:sz w:val="21"/>
          <w:lang w:val="es-ES"/>
        </w:rPr>
        <w:t xml:space="preserve"> Estas recomendaciones están basadas en parte en la presentación que se realizara durante el Día de la Competencia, en </w:t>
      </w:r>
      <w:r w:rsidR="00C85BDB">
        <w:rPr>
          <w:sz w:val="21"/>
          <w:lang w:val="es-ES"/>
        </w:rPr>
        <w:t>d</w:t>
      </w:r>
      <w:r w:rsidRPr="00A70C0A">
        <w:rPr>
          <w:sz w:val="21"/>
          <w:lang w:val="es-ES"/>
        </w:rPr>
        <w:t xml:space="preserve">iciembre </w:t>
      </w:r>
      <w:r w:rsidR="00C85BDB">
        <w:rPr>
          <w:sz w:val="21"/>
          <w:lang w:val="es-ES"/>
        </w:rPr>
        <w:t xml:space="preserve">de </w:t>
      </w:r>
      <w:r w:rsidRPr="00A70C0A">
        <w:rPr>
          <w:sz w:val="21"/>
          <w:lang w:val="es-ES"/>
        </w:rPr>
        <w:t xml:space="preserve">2015 por </w:t>
      </w:r>
      <w:r w:rsidR="00C85BDB">
        <w:rPr>
          <w:sz w:val="21"/>
          <w:lang w:val="es-ES"/>
        </w:rPr>
        <w:t xml:space="preserve">E. </w:t>
      </w:r>
      <w:r w:rsidRPr="00A70C0A">
        <w:rPr>
          <w:sz w:val="21"/>
          <w:lang w:val="es-ES"/>
        </w:rPr>
        <w:t xml:space="preserve">Mariscal y </w:t>
      </w:r>
      <w:r w:rsidR="00C85BDB">
        <w:rPr>
          <w:sz w:val="21"/>
          <w:lang w:val="es-ES"/>
        </w:rPr>
        <w:t xml:space="preserve">A. </w:t>
      </w:r>
      <w:proofErr w:type="spellStart"/>
      <w:r w:rsidRPr="00A70C0A">
        <w:rPr>
          <w:sz w:val="21"/>
          <w:lang w:val="es-ES"/>
        </w:rPr>
        <w:t>Elbittar</w:t>
      </w:r>
      <w:proofErr w:type="spellEnd"/>
      <w:r w:rsidRPr="00A70C0A">
        <w:rPr>
          <w:sz w:val="21"/>
          <w:lang w:val="es-ES"/>
        </w:rPr>
        <w:t xml:space="preserve">, misma que puede accederse en </w:t>
      </w:r>
      <w:r w:rsidRPr="003327CC">
        <w:rPr>
          <w:sz w:val="21"/>
          <w:lang w:val="es-ES"/>
        </w:rPr>
        <w:t>http://www.ift.org.mx/sites/default/files/ift_2015_12_03_competencia_efectiva-v2_emariscal-aelbittar.pdf</w:t>
      </w:r>
      <w:r w:rsidRPr="00A70C0A">
        <w:rPr>
          <w:sz w:val="21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8C" w:rsidRDefault="0025668C">
    <w:pPr>
      <w:pStyle w:val="Encabezado"/>
    </w:pPr>
    <w:r>
      <w:rPr>
        <w:noProof/>
        <w:lang w:val="es-MX" w:eastAsia="es-MX"/>
      </w:rPr>
      <w:drawing>
        <wp:inline distT="0" distB="0" distL="0" distR="0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30C63"/>
    <w:multiLevelType w:val="hybridMultilevel"/>
    <w:tmpl w:val="E5A6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73"/>
    <w:rsid w:val="00014152"/>
    <w:rsid w:val="00030610"/>
    <w:rsid w:val="00130B22"/>
    <w:rsid w:val="00155CEA"/>
    <w:rsid w:val="00165BE2"/>
    <w:rsid w:val="0019299E"/>
    <w:rsid w:val="00206E73"/>
    <w:rsid w:val="00224F31"/>
    <w:rsid w:val="0025668C"/>
    <w:rsid w:val="002748CD"/>
    <w:rsid w:val="00287734"/>
    <w:rsid w:val="002A2EDB"/>
    <w:rsid w:val="003327CC"/>
    <w:rsid w:val="00362E10"/>
    <w:rsid w:val="00366C97"/>
    <w:rsid w:val="003D24EC"/>
    <w:rsid w:val="003E5D1F"/>
    <w:rsid w:val="00402BA7"/>
    <w:rsid w:val="004A1CD7"/>
    <w:rsid w:val="004F7B71"/>
    <w:rsid w:val="00523029"/>
    <w:rsid w:val="00561326"/>
    <w:rsid w:val="00584E3E"/>
    <w:rsid w:val="005C489B"/>
    <w:rsid w:val="005C5E6B"/>
    <w:rsid w:val="005D6329"/>
    <w:rsid w:val="005E1653"/>
    <w:rsid w:val="005E5FF9"/>
    <w:rsid w:val="0061248D"/>
    <w:rsid w:val="0068552D"/>
    <w:rsid w:val="00740199"/>
    <w:rsid w:val="00745B5F"/>
    <w:rsid w:val="007C4CEA"/>
    <w:rsid w:val="007E00FB"/>
    <w:rsid w:val="00835BF3"/>
    <w:rsid w:val="00861BCB"/>
    <w:rsid w:val="00870E7B"/>
    <w:rsid w:val="00874A01"/>
    <w:rsid w:val="008943F5"/>
    <w:rsid w:val="008F4940"/>
    <w:rsid w:val="00927654"/>
    <w:rsid w:val="00993199"/>
    <w:rsid w:val="00A14514"/>
    <w:rsid w:val="00A23FEF"/>
    <w:rsid w:val="00A70C0A"/>
    <w:rsid w:val="00A92CB6"/>
    <w:rsid w:val="00AA16F4"/>
    <w:rsid w:val="00AD3B5B"/>
    <w:rsid w:val="00AF6652"/>
    <w:rsid w:val="00BA5FC2"/>
    <w:rsid w:val="00BC67D2"/>
    <w:rsid w:val="00C41D34"/>
    <w:rsid w:val="00C85BDB"/>
    <w:rsid w:val="00CB400D"/>
    <w:rsid w:val="00D8320C"/>
    <w:rsid w:val="00E05FA7"/>
    <w:rsid w:val="00E51EFC"/>
    <w:rsid w:val="00EE1382"/>
    <w:rsid w:val="00F001F4"/>
    <w:rsid w:val="00F41BC6"/>
    <w:rsid w:val="00F80630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2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2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E7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206E73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06E73"/>
  </w:style>
  <w:style w:type="character" w:styleId="Refdenotaalfinal">
    <w:name w:val="endnote reference"/>
    <w:basedOn w:val="Fuentedeprrafopredeter"/>
    <w:uiPriority w:val="99"/>
    <w:unhideWhenUsed/>
    <w:rsid w:val="00206E7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62E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62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65BE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5BE2"/>
  </w:style>
  <w:style w:type="paragraph" w:styleId="Piedepgina">
    <w:name w:val="footer"/>
    <w:basedOn w:val="Normal"/>
    <w:link w:val="PiedepginaCar"/>
    <w:uiPriority w:val="99"/>
    <w:unhideWhenUsed/>
    <w:rsid w:val="00165BE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BE2"/>
  </w:style>
  <w:style w:type="paragraph" w:styleId="Textonotapie">
    <w:name w:val="footnote text"/>
    <w:basedOn w:val="Normal"/>
    <w:link w:val="TextonotapieCar"/>
    <w:uiPriority w:val="99"/>
    <w:unhideWhenUsed/>
    <w:rsid w:val="00A70C0A"/>
  </w:style>
  <w:style w:type="character" w:customStyle="1" w:styleId="TextonotapieCar">
    <w:name w:val="Texto nota pie Car"/>
    <w:basedOn w:val="Fuentedeprrafopredeter"/>
    <w:link w:val="Textonotapie"/>
    <w:uiPriority w:val="99"/>
    <w:rsid w:val="00A70C0A"/>
  </w:style>
  <w:style w:type="character" w:styleId="Refdenotaalpie">
    <w:name w:val="footnote reference"/>
    <w:basedOn w:val="Fuentedeprrafopredeter"/>
    <w:uiPriority w:val="99"/>
    <w:unhideWhenUsed/>
    <w:rsid w:val="00A70C0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70C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D1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D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</Words>
  <Characters>7204</Characters>
  <Application>Microsoft Office Word</Application>
  <DocSecurity>0</DocSecurity>
  <Lines>60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Recomendación XVI Consejo Consultivo IFT</vt:lpstr>
      <vt:lpstr>    </vt:lpstr>
      <vt:lpstr>    Resumen</vt:lpstr>
      <vt:lpstr>    Argumentación</vt:lpstr>
      <vt:lpstr>    Recomendación</vt:lpstr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Mariscal</dc:creator>
  <cp:keywords/>
  <dc:description/>
  <cp:lastModifiedBy>Maria del Consuelo Gonzalez Moreno</cp:lastModifiedBy>
  <cp:revision>4</cp:revision>
  <cp:lastPrinted>2016-02-04T16:49:00Z</cp:lastPrinted>
  <dcterms:created xsi:type="dcterms:W3CDTF">2016-09-30T18:38:00Z</dcterms:created>
  <dcterms:modified xsi:type="dcterms:W3CDTF">2016-11-14T16:45:00Z</dcterms:modified>
</cp:coreProperties>
</file>